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79B5" w:rsidRDefault="005B79B5" w:rsidP="0087391D">
      <w:pPr>
        <w:pStyle w:val="Pagrindiniotekstotrauka2"/>
        <w:tabs>
          <w:tab w:val="left" w:pos="0"/>
        </w:tabs>
        <w:spacing w:after="0" w:line="240" w:lineRule="auto"/>
        <w:ind w:left="0"/>
        <w:jc w:val="center"/>
        <w:outlineLvl w:val="0"/>
      </w:pPr>
      <w:r>
        <w:rPr>
          <w:b/>
        </w:rPr>
        <w:t xml:space="preserve">2004 M. VASARIO 11 D. </w:t>
      </w:r>
      <w:r w:rsidRPr="0050338E">
        <w:rPr>
          <w:b/>
        </w:rPr>
        <w:t>EUROPOS PARLAMENTO IR TARYBOS REGLAMENTO (EB) N</w:t>
      </w:r>
      <w:r>
        <w:rPr>
          <w:b/>
        </w:rPr>
        <w:t>R</w:t>
      </w:r>
      <w:r w:rsidRPr="0050338E">
        <w:rPr>
          <w:b/>
        </w:rPr>
        <w:t>. 273/2004</w:t>
      </w:r>
      <w:r>
        <w:t xml:space="preserve"> </w:t>
      </w:r>
      <w:r w:rsidRPr="0050338E">
        <w:rPr>
          <w:b/>
        </w:rPr>
        <w:t>DĖL NARKOTINIŲ MEDŽIAGŲ PIRMTAKŲ (PREKURSORIŲ)</w:t>
      </w:r>
      <w:r>
        <w:t xml:space="preserve"> </w:t>
      </w:r>
    </w:p>
    <w:p w:rsidR="005B79B5" w:rsidRDefault="005B79B5" w:rsidP="0087391D">
      <w:pPr>
        <w:pStyle w:val="Pagrindiniotekstotrauka2"/>
        <w:tabs>
          <w:tab w:val="left" w:pos="0"/>
        </w:tabs>
        <w:spacing w:after="0" w:line="240" w:lineRule="auto"/>
        <w:ind w:left="0"/>
        <w:jc w:val="center"/>
        <w:outlineLvl w:val="0"/>
        <w:rPr>
          <w:b/>
        </w:rPr>
      </w:pPr>
      <w:r w:rsidRPr="00891F25">
        <w:rPr>
          <w:b/>
        </w:rPr>
        <w:t xml:space="preserve">IR </w:t>
      </w:r>
    </w:p>
    <w:p w:rsidR="005B79B5" w:rsidRDefault="005B79B5" w:rsidP="0087391D">
      <w:pPr>
        <w:pStyle w:val="Pagrindiniotekstotrauka2"/>
        <w:tabs>
          <w:tab w:val="left" w:pos="0"/>
        </w:tabs>
        <w:spacing w:after="0" w:line="240" w:lineRule="auto"/>
        <w:ind w:left="0"/>
        <w:jc w:val="center"/>
        <w:outlineLvl w:val="0"/>
        <w:rPr>
          <w:b/>
          <w:szCs w:val="24"/>
        </w:rPr>
      </w:pPr>
      <w:r w:rsidRPr="00891F25">
        <w:rPr>
          <w:b/>
          <w:szCs w:val="24"/>
        </w:rPr>
        <w:t xml:space="preserve">LIETUVOS RESPUBLIKOS NARKOTINIŲ IR PSICHOTROPINIŲ MEDŽIAGŲ PIRMTAKŲ (PREKURSORIŲ) KONTROLĖS ĮSTATYMO NR. VIII-1207 PAKEITIMO ĮSTATYMO PROJEKTO </w:t>
      </w:r>
    </w:p>
    <w:p w:rsidR="005B79B5" w:rsidRPr="0087391D" w:rsidRDefault="005B79B5" w:rsidP="0087391D">
      <w:pPr>
        <w:pStyle w:val="Pagrindiniotekstotrauka2"/>
        <w:tabs>
          <w:tab w:val="left" w:pos="0"/>
        </w:tabs>
        <w:spacing w:after="0" w:line="240" w:lineRule="auto"/>
        <w:ind w:left="0"/>
        <w:jc w:val="center"/>
        <w:outlineLvl w:val="0"/>
      </w:pPr>
      <w:r w:rsidRPr="00891F25">
        <w:rPr>
          <w:b/>
        </w:rPr>
        <w:t>ATITIKTIES LENTELĖ</w:t>
      </w:r>
    </w:p>
    <w:p w:rsidR="005B79B5" w:rsidRDefault="005B79B5"/>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7"/>
        <w:gridCol w:w="7409"/>
        <w:gridCol w:w="1603"/>
        <w:gridCol w:w="1272"/>
      </w:tblGrid>
      <w:tr w:rsidR="005B79B5" w:rsidRPr="00A863BC" w:rsidTr="00A863BC">
        <w:tc>
          <w:tcPr>
            <w:tcW w:w="4800" w:type="dxa"/>
          </w:tcPr>
          <w:p w:rsidR="005B79B5" w:rsidRPr="00A863BC" w:rsidRDefault="005B79B5" w:rsidP="00A863BC">
            <w:pPr>
              <w:spacing w:after="0" w:line="240" w:lineRule="auto"/>
              <w:rPr>
                <w:rFonts w:ascii="Times New Roman" w:hAnsi="Times New Roman"/>
                <w:b/>
                <w:sz w:val="24"/>
                <w:szCs w:val="24"/>
              </w:rPr>
            </w:pPr>
            <w:r w:rsidRPr="00A863BC">
              <w:rPr>
                <w:rFonts w:ascii="Times New Roman" w:hAnsi="Times New Roman"/>
                <w:b/>
                <w:sz w:val="24"/>
                <w:szCs w:val="24"/>
              </w:rPr>
              <w:t>2004 m. vasario 11 d. Europos Parlamento ir Tarybos reglamentas (EB) Nr. 273/2004 dėl narkotinių medžiagų pirmtakų (</w:t>
            </w:r>
            <w:proofErr w:type="spellStart"/>
            <w:r w:rsidRPr="00A863BC">
              <w:rPr>
                <w:rFonts w:ascii="Times New Roman" w:hAnsi="Times New Roman"/>
                <w:b/>
                <w:sz w:val="24"/>
                <w:szCs w:val="24"/>
              </w:rPr>
              <w:t>prekursorių</w:t>
            </w:r>
            <w:proofErr w:type="spellEnd"/>
            <w:r w:rsidRPr="00A863BC">
              <w:rPr>
                <w:rFonts w:ascii="Times New Roman" w:hAnsi="Times New Roman"/>
                <w:b/>
                <w:sz w:val="24"/>
                <w:szCs w:val="24"/>
              </w:rPr>
              <w:t xml:space="preserve">), su paskutiniais pakeitimais, padarytais 2013 m. lapkričio 20 d. Europos Parlamento ir Tarybos reglamentu (ES) </w:t>
            </w:r>
            <w:r w:rsidRPr="00A863BC">
              <w:rPr>
                <w:rFonts w:ascii="Times New Roman" w:hAnsi="Times New Roman"/>
                <w:b/>
                <w:sz w:val="24"/>
                <w:szCs w:val="24"/>
              </w:rPr>
              <w:br/>
              <w:t>Nr. 1258/2013</w:t>
            </w:r>
          </w:p>
        </w:tc>
        <w:tc>
          <w:tcPr>
            <w:tcW w:w="7528" w:type="dxa"/>
          </w:tcPr>
          <w:p w:rsidR="005B79B5" w:rsidRPr="00A863BC" w:rsidRDefault="005B79B5" w:rsidP="00A863BC">
            <w:pPr>
              <w:spacing w:after="0" w:line="240" w:lineRule="auto"/>
              <w:rPr>
                <w:rFonts w:ascii="Times New Roman" w:hAnsi="Times New Roman"/>
                <w:b/>
                <w:sz w:val="24"/>
                <w:szCs w:val="24"/>
              </w:rPr>
            </w:pPr>
            <w:r w:rsidRPr="00A863BC">
              <w:rPr>
                <w:rFonts w:ascii="Times New Roman" w:hAnsi="Times New Roman"/>
                <w:b/>
                <w:sz w:val="24"/>
                <w:szCs w:val="24"/>
              </w:rPr>
              <w:t>Lietuvos Respublikos narkotinių ir psichotropinių medžiagų pirmtakų (</w:t>
            </w:r>
            <w:proofErr w:type="spellStart"/>
            <w:r w:rsidRPr="00A863BC">
              <w:rPr>
                <w:rFonts w:ascii="Times New Roman" w:hAnsi="Times New Roman"/>
                <w:b/>
                <w:sz w:val="24"/>
                <w:szCs w:val="24"/>
              </w:rPr>
              <w:t>prekursorių</w:t>
            </w:r>
            <w:proofErr w:type="spellEnd"/>
            <w:r w:rsidRPr="00A863BC">
              <w:rPr>
                <w:rFonts w:ascii="Times New Roman" w:hAnsi="Times New Roman"/>
                <w:b/>
                <w:sz w:val="24"/>
                <w:szCs w:val="24"/>
              </w:rPr>
              <w:t>) kontrolės įstatymo Nr. VIII-1207 pakeitimo įstatymo projektas (toliau – Projektas)</w:t>
            </w:r>
          </w:p>
          <w:p w:rsidR="005B79B5" w:rsidRPr="00A863BC" w:rsidRDefault="005B79B5" w:rsidP="00A863BC">
            <w:pPr>
              <w:spacing w:after="0" w:line="240" w:lineRule="auto"/>
              <w:rPr>
                <w:rFonts w:ascii="Times New Roman" w:hAnsi="Times New Roman"/>
                <w:b/>
                <w:sz w:val="24"/>
                <w:szCs w:val="24"/>
              </w:rPr>
            </w:pPr>
          </w:p>
          <w:p w:rsidR="005B79B5" w:rsidRPr="00A863BC" w:rsidRDefault="005B79B5" w:rsidP="00A863BC">
            <w:pPr>
              <w:spacing w:after="0" w:line="240" w:lineRule="auto"/>
              <w:rPr>
                <w:rFonts w:ascii="Times New Roman" w:hAnsi="Times New Roman"/>
                <w:sz w:val="24"/>
                <w:szCs w:val="24"/>
              </w:rPr>
            </w:pPr>
          </w:p>
        </w:tc>
        <w:tc>
          <w:tcPr>
            <w:tcW w:w="1418" w:type="dxa"/>
          </w:tcPr>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b/>
                <w:sz w:val="24"/>
                <w:szCs w:val="24"/>
              </w:rPr>
              <w:t>Perkėlimo ir (ar) įgyvendinimo lygis</w:t>
            </w:r>
          </w:p>
        </w:tc>
        <w:tc>
          <w:tcPr>
            <w:tcW w:w="1275" w:type="dxa"/>
          </w:tcPr>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b/>
                <w:sz w:val="24"/>
                <w:szCs w:val="24"/>
              </w:rPr>
              <w:t>Pastabos</w:t>
            </w:r>
          </w:p>
        </w:tc>
      </w:tr>
      <w:tr w:rsidR="005B79B5" w:rsidRPr="00A863BC" w:rsidTr="00A863BC">
        <w:tc>
          <w:tcPr>
            <w:tcW w:w="4800" w:type="dxa"/>
          </w:tcPr>
          <w:p w:rsidR="005B79B5" w:rsidRPr="00A863BC" w:rsidRDefault="005B79B5" w:rsidP="00A863BC">
            <w:pPr>
              <w:spacing w:after="0" w:line="240" w:lineRule="auto"/>
              <w:rPr>
                <w:rFonts w:ascii="Times New Roman" w:hAnsi="Times New Roman"/>
                <w:b/>
                <w:sz w:val="24"/>
                <w:szCs w:val="24"/>
              </w:rPr>
            </w:pPr>
            <w:r w:rsidRPr="00A863BC">
              <w:rPr>
                <w:rFonts w:ascii="Times New Roman" w:hAnsi="Times New Roman"/>
                <w:b/>
                <w:sz w:val="24"/>
                <w:szCs w:val="24"/>
              </w:rPr>
              <w:t xml:space="preserve">10 straipsnis </w:t>
            </w:r>
          </w:p>
          <w:p w:rsidR="005B79B5" w:rsidRPr="00A863BC" w:rsidRDefault="005B79B5" w:rsidP="00A863BC">
            <w:pPr>
              <w:spacing w:after="0" w:line="240" w:lineRule="auto"/>
              <w:rPr>
                <w:rFonts w:ascii="Times New Roman" w:hAnsi="Times New Roman"/>
                <w:b/>
                <w:sz w:val="24"/>
                <w:szCs w:val="24"/>
              </w:rPr>
            </w:pPr>
            <w:r w:rsidRPr="00A863BC">
              <w:rPr>
                <w:rFonts w:ascii="Times New Roman" w:hAnsi="Times New Roman"/>
                <w:b/>
                <w:sz w:val="24"/>
                <w:szCs w:val="24"/>
              </w:rPr>
              <w:t>Kompetentingų institucijų (gal teisės ir pareigos) įgaliojimai ir prievolės</w:t>
            </w:r>
          </w:p>
          <w:p w:rsidR="005B79B5" w:rsidRPr="00A863BC" w:rsidRDefault="005B79B5" w:rsidP="00A863BC">
            <w:pPr>
              <w:spacing w:after="0" w:line="240" w:lineRule="auto"/>
              <w:rPr>
                <w:rFonts w:ascii="Times New Roman" w:hAnsi="Times New Roman"/>
                <w:bCs/>
                <w:sz w:val="24"/>
                <w:szCs w:val="24"/>
              </w:rPr>
            </w:pPr>
            <w:r w:rsidRPr="00A863BC">
              <w:rPr>
                <w:rFonts w:ascii="Times New Roman" w:hAnsi="Times New Roman"/>
                <w:bCs/>
                <w:sz w:val="24"/>
                <w:szCs w:val="24"/>
              </w:rPr>
              <w:t>&lt;...&gt;</w:t>
            </w:r>
          </w:p>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sz w:val="24"/>
                <w:szCs w:val="24"/>
              </w:rPr>
              <w:t xml:space="preserve">2. Kiekviena valstybė narė gali imtis priemonių, kurios būtinos, kad jos kompetentingos institucijos galėtų kontroliuoti ir stebėti įtartinus sandorius, susijusius su į oficialų sąrašą neįtrauktomis medžiagomis, ir visų pirma: </w:t>
            </w:r>
          </w:p>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sz w:val="24"/>
                <w:szCs w:val="24"/>
              </w:rPr>
              <w:t>&lt;...&gt;</w:t>
            </w:r>
          </w:p>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sz w:val="24"/>
                <w:szCs w:val="24"/>
              </w:rPr>
              <w:t>c) prireikus sulaikyti ir konfiskuoti siuntas siekiant užkirsti kelią konkrečių į oficialų sąrašą neįtrauktų medžiagų naudojimui neteisėtai narkotinių ar psichotropinių medžiagų gamybai.</w:t>
            </w:r>
          </w:p>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sz w:val="24"/>
                <w:szCs w:val="24"/>
              </w:rPr>
              <w:t>&lt;...&gt;</w:t>
            </w:r>
          </w:p>
        </w:tc>
        <w:tc>
          <w:tcPr>
            <w:tcW w:w="7528" w:type="dxa"/>
          </w:tcPr>
          <w:p w:rsidR="005B79B5" w:rsidRPr="00A863BC" w:rsidRDefault="005B79B5" w:rsidP="00A863BC">
            <w:pPr>
              <w:spacing w:after="0" w:line="240" w:lineRule="auto"/>
              <w:jc w:val="both"/>
              <w:rPr>
                <w:rFonts w:ascii="Times New Roman" w:hAnsi="Times New Roman"/>
                <w:b/>
                <w:bCs/>
                <w:sz w:val="24"/>
                <w:szCs w:val="24"/>
                <w:lang w:eastAsia="lt-LT"/>
              </w:rPr>
            </w:pPr>
            <w:r w:rsidRPr="00A863BC">
              <w:rPr>
                <w:rFonts w:ascii="Times New Roman" w:hAnsi="Times New Roman"/>
                <w:b/>
                <w:bCs/>
                <w:sz w:val="24"/>
                <w:szCs w:val="24"/>
                <w:lang w:eastAsia="lt-LT"/>
              </w:rPr>
              <w:t>Projektas</w:t>
            </w:r>
          </w:p>
          <w:p w:rsidR="005B79B5" w:rsidRPr="00A863BC" w:rsidRDefault="005B79B5" w:rsidP="00A863BC">
            <w:pPr>
              <w:spacing w:after="0" w:line="240" w:lineRule="auto"/>
              <w:jc w:val="both"/>
              <w:rPr>
                <w:rFonts w:ascii="Times New Roman" w:hAnsi="Times New Roman"/>
                <w:sz w:val="24"/>
                <w:szCs w:val="24"/>
                <w:lang w:eastAsia="lt-LT"/>
              </w:rPr>
            </w:pPr>
            <w:r w:rsidRPr="00A863BC">
              <w:rPr>
                <w:rFonts w:ascii="Times New Roman" w:hAnsi="Times New Roman"/>
                <w:b/>
                <w:bCs/>
                <w:sz w:val="24"/>
                <w:szCs w:val="24"/>
                <w:lang w:eastAsia="lt-LT"/>
              </w:rPr>
              <w:t xml:space="preserve">14 straipsnis. Institucijų, vykdančių </w:t>
            </w:r>
            <w:r w:rsidRPr="00A863BC">
              <w:rPr>
                <w:rFonts w:ascii="Times New Roman" w:hAnsi="Times New Roman"/>
                <w:b/>
                <w:sz w:val="24"/>
                <w:szCs w:val="24"/>
                <w:lang w:eastAsia="lt-LT"/>
              </w:rPr>
              <w:t>veiklos, susijusios su narkotinių ir psichotropinių medžiagų pirmtakais (</w:t>
            </w:r>
            <w:proofErr w:type="spellStart"/>
            <w:r w:rsidRPr="00A863BC">
              <w:rPr>
                <w:rFonts w:ascii="Times New Roman" w:hAnsi="Times New Roman"/>
                <w:b/>
                <w:sz w:val="24"/>
                <w:szCs w:val="24"/>
                <w:lang w:eastAsia="lt-LT"/>
              </w:rPr>
              <w:t>prekursoriais</w:t>
            </w:r>
            <w:proofErr w:type="spellEnd"/>
            <w:r w:rsidRPr="00A863BC">
              <w:rPr>
                <w:rFonts w:ascii="Times New Roman" w:hAnsi="Times New Roman"/>
                <w:b/>
                <w:sz w:val="24"/>
                <w:szCs w:val="24"/>
                <w:lang w:eastAsia="lt-LT"/>
              </w:rPr>
              <w:t xml:space="preserve">) ir </w:t>
            </w:r>
            <w:r w:rsidRPr="00A863BC">
              <w:rPr>
                <w:rFonts w:ascii="Times New Roman" w:hAnsi="Times New Roman"/>
                <w:b/>
                <w:sz w:val="24"/>
                <w:szCs w:val="24"/>
              </w:rPr>
              <w:t>į oficialų sąrašą neįtrauktomis medžiagomis</w:t>
            </w:r>
            <w:r w:rsidRPr="00A863BC">
              <w:rPr>
                <w:rFonts w:ascii="Times New Roman" w:hAnsi="Times New Roman"/>
                <w:b/>
                <w:sz w:val="24"/>
                <w:szCs w:val="24"/>
                <w:lang w:eastAsia="lt-LT"/>
              </w:rPr>
              <w:t>, kontrolę, funkcijos</w:t>
            </w:r>
          </w:p>
          <w:p w:rsidR="005B79B5" w:rsidRPr="00A863BC" w:rsidRDefault="005B79B5" w:rsidP="00A863BC">
            <w:pPr>
              <w:spacing w:after="0" w:line="240" w:lineRule="auto"/>
              <w:jc w:val="both"/>
              <w:rPr>
                <w:rFonts w:ascii="Times New Roman" w:hAnsi="Times New Roman"/>
                <w:b/>
                <w:bCs/>
                <w:sz w:val="24"/>
                <w:szCs w:val="24"/>
                <w:lang w:eastAsia="lt-LT"/>
              </w:rPr>
            </w:pPr>
            <w:r w:rsidRPr="00A863BC">
              <w:rPr>
                <w:rFonts w:ascii="Times New Roman" w:hAnsi="Times New Roman"/>
                <w:b/>
                <w:bCs/>
                <w:sz w:val="24"/>
                <w:szCs w:val="24"/>
                <w:lang w:eastAsia="lt-LT"/>
              </w:rPr>
              <w:t>&lt;...&gt;</w:t>
            </w:r>
          </w:p>
          <w:p w:rsidR="005B79B5" w:rsidRPr="00A863BC" w:rsidRDefault="005B79B5" w:rsidP="00A863BC">
            <w:pPr>
              <w:spacing w:after="0" w:line="240" w:lineRule="auto"/>
              <w:jc w:val="both"/>
              <w:rPr>
                <w:rFonts w:ascii="Times New Roman" w:hAnsi="Times New Roman"/>
                <w:b/>
                <w:bCs/>
                <w:sz w:val="24"/>
                <w:szCs w:val="24"/>
              </w:rPr>
            </w:pPr>
            <w:r w:rsidRPr="00A863BC">
              <w:rPr>
                <w:rFonts w:ascii="Times New Roman" w:hAnsi="Times New Roman"/>
                <w:b/>
                <w:bCs/>
                <w:sz w:val="24"/>
                <w:szCs w:val="24"/>
              </w:rPr>
              <w:t>3. Muitinės įstaigos:</w:t>
            </w:r>
          </w:p>
          <w:p w:rsidR="005B79B5" w:rsidRPr="00A863BC" w:rsidRDefault="005B79B5" w:rsidP="00A863BC">
            <w:pPr>
              <w:spacing w:after="0" w:line="240" w:lineRule="auto"/>
              <w:jc w:val="both"/>
              <w:rPr>
                <w:rFonts w:ascii="Times New Roman" w:hAnsi="Times New Roman"/>
                <w:b/>
                <w:bCs/>
                <w:sz w:val="24"/>
                <w:szCs w:val="24"/>
              </w:rPr>
            </w:pPr>
            <w:r w:rsidRPr="00A863BC">
              <w:rPr>
                <w:rFonts w:ascii="Times New Roman" w:hAnsi="Times New Roman"/>
                <w:b/>
                <w:bCs/>
                <w:sz w:val="24"/>
                <w:szCs w:val="24"/>
              </w:rPr>
              <w:t>&lt;...&gt;</w:t>
            </w:r>
          </w:p>
          <w:p w:rsidR="005B79B5" w:rsidRPr="00A863BC" w:rsidRDefault="005B79B5" w:rsidP="00A863BC">
            <w:pPr>
              <w:spacing w:after="0" w:line="240" w:lineRule="auto"/>
              <w:jc w:val="both"/>
              <w:rPr>
                <w:rFonts w:ascii="Times New Roman" w:hAnsi="Times New Roman"/>
                <w:b/>
                <w:bCs/>
                <w:sz w:val="24"/>
                <w:szCs w:val="24"/>
                <w:lang w:eastAsia="lt-LT"/>
              </w:rPr>
            </w:pPr>
            <w:r w:rsidRPr="00A863BC">
              <w:rPr>
                <w:rFonts w:ascii="Times New Roman" w:hAnsi="Times New Roman"/>
                <w:b/>
                <w:bCs/>
                <w:sz w:val="24"/>
                <w:szCs w:val="24"/>
              </w:rPr>
              <w:t xml:space="preserve">4) </w:t>
            </w:r>
            <w:r w:rsidRPr="00A863BC">
              <w:rPr>
                <w:rFonts w:ascii="Times New Roman" w:hAnsi="Times New Roman"/>
                <w:b/>
                <w:bCs/>
                <w:sz w:val="24"/>
                <w:szCs w:val="24"/>
                <w:lang w:eastAsia="lt-LT"/>
              </w:rPr>
              <w:t>esant įtarim</w:t>
            </w:r>
            <w:r>
              <w:rPr>
                <w:rFonts w:ascii="Times New Roman" w:hAnsi="Times New Roman"/>
                <w:b/>
                <w:bCs/>
                <w:sz w:val="24"/>
                <w:szCs w:val="24"/>
                <w:lang w:eastAsia="lt-LT"/>
              </w:rPr>
              <w:t>ų</w:t>
            </w:r>
            <w:r w:rsidRPr="00A863BC">
              <w:rPr>
                <w:rFonts w:ascii="Times New Roman" w:hAnsi="Times New Roman"/>
                <w:b/>
                <w:bCs/>
                <w:sz w:val="24"/>
                <w:szCs w:val="24"/>
                <w:lang w:eastAsia="lt-LT"/>
              </w:rPr>
              <w:t xml:space="preserve">, kad </w:t>
            </w:r>
            <w:r w:rsidRPr="00A863BC">
              <w:rPr>
                <w:rFonts w:ascii="Times New Roman" w:hAnsi="Times New Roman"/>
                <w:b/>
                <w:bCs/>
                <w:sz w:val="24"/>
                <w:szCs w:val="24"/>
              </w:rPr>
              <w:t>į oficialų sąrašą neįtrauktos medžiagos gali būti panaudotos nelegaliai narkotinių ir psichotropinių medžiagų gamybai, sulaiko į oficialų sąrašą neįtrauktas medžiagas</w:t>
            </w:r>
            <w:r w:rsidRPr="00A863BC">
              <w:rPr>
                <w:rFonts w:ascii="Times New Roman" w:hAnsi="Times New Roman"/>
                <w:b/>
                <w:bCs/>
                <w:sz w:val="24"/>
                <w:szCs w:val="24"/>
                <w:lang w:eastAsia="lt-LT"/>
              </w:rPr>
              <w:t xml:space="preserve"> </w:t>
            </w:r>
            <w:r w:rsidRPr="00A863BC">
              <w:rPr>
                <w:rFonts w:ascii="Times New Roman" w:hAnsi="Times New Roman"/>
                <w:b/>
                <w:bCs/>
                <w:sz w:val="24"/>
                <w:szCs w:val="24"/>
              </w:rPr>
              <w:t>bei</w:t>
            </w:r>
            <w:r w:rsidRPr="00A863BC">
              <w:rPr>
                <w:rFonts w:ascii="Times New Roman" w:hAnsi="Times New Roman"/>
                <w:b/>
                <w:bCs/>
                <w:sz w:val="24"/>
                <w:szCs w:val="24"/>
                <w:lang w:eastAsia="lt-LT"/>
              </w:rPr>
              <w:t xml:space="preserve"> imasi būtinų priemonių pagal savo kompetenciją.</w:t>
            </w:r>
          </w:p>
          <w:p w:rsidR="005B79B5" w:rsidRPr="00A863BC" w:rsidRDefault="005B79B5" w:rsidP="00A863BC">
            <w:pPr>
              <w:spacing w:after="0" w:line="360" w:lineRule="auto"/>
              <w:jc w:val="both"/>
              <w:rPr>
                <w:rFonts w:ascii="Times New Roman" w:hAnsi="Times New Roman"/>
                <w:b/>
                <w:bCs/>
                <w:sz w:val="24"/>
                <w:szCs w:val="24"/>
              </w:rPr>
            </w:pPr>
          </w:p>
          <w:p w:rsidR="005B79B5" w:rsidRPr="00A863BC" w:rsidRDefault="005B79B5" w:rsidP="00A863BC">
            <w:pPr>
              <w:spacing w:after="0" w:line="240" w:lineRule="auto"/>
              <w:jc w:val="both"/>
              <w:rPr>
                <w:rFonts w:ascii="Times New Roman" w:hAnsi="Times New Roman"/>
                <w:b/>
                <w:bCs/>
                <w:sz w:val="24"/>
                <w:szCs w:val="24"/>
                <w:lang w:eastAsia="lt-LT"/>
              </w:rPr>
            </w:pPr>
          </w:p>
          <w:p w:rsidR="005B79B5" w:rsidRPr="00A863BC" w:rsidRDefault="005B79B5" w:rsidP="00A863BC">
            <w:pPr>
              <w:spacing w:after="0" w:line="240" w:lineRule="auto"/>
              <w:jc w:val="both"/>
              <w:rPr>
                <w:rFonts w:ascii="Times New Roman" w:hAnsi="Times New Roman"/>
                <w:b/>
                <w:bCs/>
                <w:sz w:val="24"/>
                <w:szCs w:val="24"/>
                <w:lang w:eastAsia="lt-LT"/>
              </w:rPr>
            </w:pPr>
          </w:p>
          <w:p w:rsidR="005B79B5" w:rsidRPr="00A863BC" w:rsidRDefault="005B79B5" w:rsidP="00A863BC">
            <w:pPr>
              <w:spacing w:after="0" w:line="240" w:lineRule="auto"/>
              <w:rPr>
                <w:rFonts w:ascii="Times New Roman" w:hAnsi="Times New Roman"/>
                <w:b/>
                <w:bCs/>
                <w:sz w:val="24"/>
                <w:szCs w:val="24"/>
              </w:rPr>
            </w:pPr>
          </w:p>
        </w:tc>
        <w:tc>
          <w:tcPr>
            <w:tcW w:w="1418" w:type="dxa"/>
          </w:tcPr>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sz w:val="24"/>
                <w:szCs w:val="24"/>
              </w:rPr>
              <w:t>Visiškas</w:t>
            </w:r>
          </w:p>
        </w:tc>
        <w:tc>
          <w:tcPr>
            <w:tcW w:w="1275" w:type="dxa"/>
          </w:tcPr>
          <w:p w:rsidR="005B79B5" w:rsidRPr="00A863BC" w:rsidRDefault="005B79B5" w:rsidP="00A863BC">
            <w:pPr>
              <w:spacing w:after="0" w:line="240" w:lineRule="auto"/>
            </w:pPr>
          </w:p>
        </w:tc>
      </w:tr>
      <w:tr w:rsidR="005B79B5" w:rsidRPr="00A863BC" w:rsidTr="00A863BC">
        <w:tc>
          <w:tcPr>
            <w:tcW w:w="4800" w:type="dxa"/>
          </w:tcPr>
          <w:p w:rsidR="005B79B5" w:rsidRPr="00A863BC" w:rsidRDefault="005B79B5" w:rsidP="00A863BC">
            <w:pPr>
              <w:spacing w:after="0" w:line="240" w:lineRule="auto"/>
              <w:rPr>
                <w:rFonts w:ascii="Times New Roman" w:hAnsi="Times New Roman"/>
                <w:b/>
                <w:sz w:val="24"/>
                <w:szCs w:val="24"/>
              </w:rPr>
            </w:pPr>
            <w:r w:rsidRPr="00A863BC">
              <w:rPr>
                <w:rFonts w:ascii="Times New Roman" w:hAnsi="Times New Roman"/>
                <w:b/>
                <w:sz w:val="24"/>
                <w:szCs w:val="24"/>
              </w:rPr>
              <w:t xml:space="preserve">10 straipsnis </w:t>
            </w:r>
          </w:p>
          <w:p w:rsidR="005B79B5" w:rsidRPr="00A863BC" w:rsidRDefault="005B79B5" w:rsidP="00A863BC">
            <w:pPr>
              <w:spacing w:after="0" w:line="240" w:lineRule="auto"/>
              <w:rPr>
                <w:rFonts w:ascii="Times New Roman" w:hAnsi="Times New Roman"/>
                <w:b/>
                <w:sz w:val="24"/>
                <w:szCs w:val="24"/>
              </w:rPr>
            </w:pPr>
            <w:r w:rsidRPr="00A863BC">
              <w:rPr>
                <w:rFonts w:ascii="Times New Roman" w:hAnsi="Times New Roman"/>
                <w:b/>
                <w:sz w:val="24"/>
                <w:szCs w:val="24"/>
              </w:rPr>
              <w:t>Kompetentingų institucijų (gal teisės ir pareigos) įgaliojimai ir prievolės</w:t>
            </w:r>
          </w:p>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sz w:val="24"/>
                <w:szCs w:val="24"/>
              </w:rPr>
              <w:t>&lt;...&gt;</w:t>
            </w:r>
          </w:p>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sz w:val="24"/>
                <w:szCs w:val="24"/>
              </w:rPr>
              <w:t xml:space="preserve">2. Kiekviena valstybė narė gali imtis </w:t>
            </w:r>
            <w:r w:rsidRPr="00A863BC">
              <w:rPr>
                <w:rFonts w:ascii="Times New Roman" w:hAnsi="Times New Roman"/>
                <w:sz w:val="24"/>
                <w:szCs w:val="24"/>
              </w:rPr>
              <w:lastRenderedPageBreak/>
              <w:t xml:space="preserve">priemonių, kurios būtinos, kad jos kompetentingos institucijos galėtų kontroliuoti ir stebėti įtartinus sandorius, susijusius su į oficialų sąrašą neįtrauktomis medžiagomis, ir visų pirma: </w:t>
            </w:r>
          </w:p>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sz w:val="24"/>
                <w:szCs w:val="24"/>
              </w:rPr>
              <w:t xml:space="preserve">a) gauti informaciją apie visus į oficialų sąrašą neįtrauktų medžiagų užsakymus arba veiksmus, susijusius su į oficialų sąrašą neįtrauktomis medžiagomis; </w:t>
            </w:r>
          </w:p>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sz w:val="24"/>
                <w:szCs w:val="24"/>
              </w:rPr>
              <w:t>&lt;...&gt;</w:t>
            </w:r>
          </w:p>
        </w:tc>
        <w:tc>
          <w:tcPr>
            <w:tcW w:w="7528" w:type="dxa"/>
          </w:tcPr>
          <w:p w:rsidR="005B79B5" w:rsidRPr="00A863BC" w:rsidRDefault="005B79B5" w:rsidP="00A863BC">
            <w:pPr>
              <w:spacing w:after="0" w:line="240" w:lineRule="auto"/>
              <w:jc w:val="both"/>
              <w:rPr>
                <w:rFonts w:ascii="Times New Roman" w:hAnsi="Times New Roman"/>
                <w:b/>
                <w:bCs/>
                <w:sz w:val="24"/>
                <w:szCs w:val="24"/>
                <w:lang w:eastAsia="lt-LT"/>
              </w:rPr>
            </w:pPr>
            <w:r w:rsidRPr="00A863BC">
              <w:rPr>
                <w:rFonts w:ascii="Times New Roman" w:hAnsi="Times New Roman"/>
                <w:b/>
                <w:bCs/>
                <w:sz w:val="24"/>
                <w:szCs w:val="24"/>
                <w:lang w:eastAsia="lt-LT"/>
              </w:rPr>
              <w:lastRenderedPageBreak/>
              <w:t>Projektas</w:t>
            </w:r>
          </w:p>
          <w:p w:rsidR="005B79B5" w:rsidRPr="00A863BC" w:rsidRDefault="005B79B5" w:rsidP="00A863BC">
            <w:pPr>
              <w:tabs>
                <w:tab w:val="left" w:pos="7655"/>
              </w:tabs>
              <w:spacing w:after="0" w:line="240" w:lineRule="auto"/>
              <w:jc w:val="both"/>
              <w:rPr>
                <w:rFonts w:ascii="Times New Roman" w:hAnsi="Times New Roman"/>
                <w:b/>
                <w:sz w:val="24"/>
                <w:szCs w:val="24"/>
                <w:lang w:eastAsia="lt-LT"/>
              </w:rPr>
            </w:pPr>
            <w:r w:rsidRPr="00A863BC">
              <w:rPr>
                <w:rFonts w:ascii="Times New Roman" w:hAnsi="Times New Roman"/>
                <w:b/>
                <w:bCs/>
                <w:sz w:val="24"/>
                <w:szCs w:val="24"/>
                <w:lang w:eastAsia="lt-LT"/>
              </w:rPr>
              <w:t>15 straipsnis. Institucijų, vykdančių v</w:t>
            </w:r>
            <w:r w:rsidRPr="00A863BC">
              <w:rPr>
                <w:rFonts w:ascii="Times New Roman" w:hAnsi="Times New Roman"/>
                <w:b/>
                <w:sz w:val="24"/>
                <w:szCs w:val="24"/>
                <w:lang w:eastAsia="lt-LT"/>
              </w:rPr>
              <w:t>eiklos, susijusios su narkotinių ir psichotropinių medžiagų pirmtakais (</w:t>
            </w:r>
            <w:proofErr w:type="spellStart"/>
            <w:r w:rsidRPr="00A863BC">
              <w:rPr>
                <w:rFonts w:ascii="Times New Roman" w:hAnsi="Times New Roman"/>
                <w:b/>
                <w:sz w:val="24"/>
                <w:szCs w:val="24"/>
                <w:lang w:eastAsia="lt-LT"/>
              </w:rPr>
              <w:t>prekursoriais</w:t>
            </w:r>
            <w:proofErr w:type="spellEnd"/>
            <w:r w:rsidRPr="00A863BC">
              <w:rPr>
                <w:rFonts w:ascii="Times New Roman" w:hAnsi="Times New Roman"/>
                <w:b/>
                <w:sz w:val="24"/>
                <w:szCs w:val="24"/>
                <w:lang w:eastAsia="lt-LT"/>
              </w:rPr>
              <w:t>) ir į oficialų sąrašą neįtrauktomis medžiagomis, stebėseną ir informacijos</w:t>
            </w:r>
            <w:r w:rsidRPr="00A863BC">
              <w:rPr>
                <w:rFonts w:ascii="Times New Roman" w:hAnsi="Times New Roman"/>
                <w:b/>
                <w:bCs/>
                <w:sz w:val="24"/>
                <w:szCs w:val="24"/>
                <w:lang w:eastAsia="lt-LT"/>
              </w:rPr>
              <w:t xml:space="preserve"> </w:t>
            </w:r>
            <w:r w:rsidRPr="00A863BC">
              <w:rPr>
                <w:rFonts w:ascii="Times New Roman" w:hAnsi="Times New Roman"/>
                <w:b/>
                <w:sz w:val="24"/>
                <w:szCs w:val="24"/>
                <w:lang w:eastAsia="lt-LT"/>
              </w:rPr>
              <w:t>teikimą, funkcijos</w:t>
            </w:r>
          </w:p>
          <w:p w:rsidR="005B79B5" w:rsidRPr="00A863BC" w:rsidRDefault="005B79B5" w:rsidP="00A863BC">
            <w:pPr>
              <w:spacing w:after="0" w:line="240" w:lineRule="auto"/>
              <w:jc w:val="both"/>
              <w:rPr>
                <w:rFonts w:ascii="Times New Roman" w:hAnsi="Times New Roman"/>
                <w:b/>
                <w:sz w:val="24"/>
                <w:szCs w:val="24"/>
              </w:rPr>
            </w:pPr>
            <w:r w:rsidRPr="00A863BC">
              <w:rPr>
                <w:rFonts w:ascii="Times New Roman" w:hAnsi="Times New Roman"/>
                <w:b/>
                <w:sz w:val="24"/>
                <w:szCs w:val="24"/>
              </w:rPr>
              <w:lastRenderedPageBreak/>
              <w:t>&lt;...&gt;</w:t>
            </w:r>
          </w:p>
          <w:p w:rsidR="005B79B5" w:rsidRPr="00A863BC" w:rsidRDefault="005B79B5" w:rsidP="00A863BC">
            <w:pPr>
              <w:spacing w:after="0" w:line="240" w:lineRule="auto"/>
              <w:jc w:val="both"/>
              <w:rPr>
                <w:rFonts w:ascii="Times New Roman" w:hAnsi="Times New Roman"/>
                <w:b/>
                <w:color w:val="000000"/>
                <w:sz w:val="24"/>
                <w:szCs w:val="24"/>
              </w:rPr>
            </w:pPr>
            <w:r w:rsidRPr="00A863BC">
              <w:rPr>
                <w:rFonts w:ascii="Times New Roman" w:hAnsi="Times New Roman"/>
                <w:b/>
                <w:sz w:val="24"/>
                <w:szCs w:val="24"/>
              </w:rPr>
              <w:t xml:space="preserve">3. Narkotikų, tabako ir alkoholio kontrolės departamentas turi teisę reikalauti ir gauti iš subjektų informaciją apie į oficialų sąrašą neįtrauktas medžiagas prieš pateikiant jas į rinką, prieš vykdant jų importą ir eksportą bei prieš vykdant tarpininkavimo veiklą su šiomis medžiagomis. Informacija, nurodyta Reglamento </w:t>
            </w:r>
            <w:r w:rsidRPr="00A863BC">
              <w:rPr>
                <w:rFonts w:ascii="Times New Roman" w:hAnsi="Times New Roman"/>
                <w:b/>
                <w:sz w:val="24"/>
                <w:szCs w:val="24"/>
                <w:lang w:eastAsia="lt-LT"/>
              </w:rPr>
              <w:t xml:space="preserve">(EB) Nr. 273/2004 </w:t>
            </w:r>
            <w:r w:rsidRPr="00A863BC">
              <w:rPr>
                <w:rFonts w:ascii="Times New Roman" w:hAnsi="Times New Roman"/>
                <w:b/>
                <w:sz w:val="24"/>
                <w:szCs w:val="24"/>
              </w:rPr>
              <w:t xml:space="preserve">10 straipsnio 2 dalies a punkte ir Reglamento (EB) Nr. 111/2005 26 straipsnio 3b dalies a punkte, </w:t>
            </w:r>
            <w:r w:rsidRPr="00A863BC">
              <w:rPr>
                <w:rFonts w:ascii="Times New Roman" w:hAnsi="Times New Roman"/>
                <w:b/>
                <w:color w:val="000000"/>
                <w:sz w:val="24"/>
                <w:szCs w:val="24"/>
              </w:rPr>
              <w:t xml:space="preserve">teikiama nustatyta tvarka. </w:t>
            </w:r>
          </w:p>
          <w:p w:rsidR="005B79B5" w:rsidRPr="00A863BC" w:rsidRDefault="005B79B5" w:rsidP="00A863BC">
            <w:pPr>
              <w:spacing w:after="0" w:line="240" w:lineRule="auto"/>
              <w:jc w:val="both"/>
              <w:rPr>
                <w:rFonts w:ascii="Times New Roman" w:hAnsi="Times New Roman"/>
                <w:b/>
                <w:sz w:val="24"/>
                <w:szCs w:val="24"/>
              </w:rPr>
            </w:pPr>
            <w:r w:rsidRPr="00A863BC">
              <w:rPr>
                <w:rFonts w:ascii="Times New Roman" w:hAnsi="Times New Roman"/>
                <w:b/>
                <w:sz w:val="24"/>
                <w:szCs w:val="24"/>
              </w:rPr>
              <w:t>&lt;...&gt;</w:t>
            </w:r>
          </w:p>
          <w:p w:rsidR="005B79B5" w:rsidRPr="00A863BC" w:rsidRDefault="005B79B5" w:rsidP="00A863BC">
            <w:pPr>
              <w:spacing w:after="0" w:line="240" w:lineRule="auto"/>
              <w:jc w:val="both"/>
              <w:rPr>
                <w:rFonts w:ascii="Times New Roman" w:hAnsi="Times New Roman"/>
                <w:b/>
                <w:sz w:val="24"/>
                <w:szCs w:val="24"/>
                <w:lang w:eastAsia="lt-LT"/>
              </w:rPr>
            </w:pPr>
            <w:r w:rsidRPr="00A863BC">
              <w:rPr>
                <w:rFonts w:ascii="Times New Roman" w:hAnsi="Times New Roman"/>
                <w:b/>
                <w:color w:val="000000"/>
                <w:sz w:val="24"/>
                <w:szCs w:val="24"/>
              </w:rPr>
              <w:t>7. Narkotikų, tabako ir alkoholio kontrolės departamentas, policijos, muitinės įstaigos ir Valstybės sienos apsaugos tarnyba prie Lietuvos Respublikos vidaus reikalų ministerijos</w:t>
            </w:r>
            <w:r w:rsidRPr="00A863BC">
              <w:rPr>
                <w:rFonts w:ascii="Times New Roman" w:hAnsi="Times New Roman"/>
                <w:b/>
                <w:sz w:val="24"/>
                <w:szCs w:val="24"/>
              </w:rPr>
              <w:t xml:space="preserve"> </w:t>
            </w:r>
            <w:r w:rsidRPr="00A863BC">
              <w:rPr>
                <w:rFonts w:ascii="Times New Roman" w:hAnsi="Times New Roman"/>
                <w:b/>
                <w:sz w:val="24"/>
                <w:szCs w:val="24"/>
                <w:lang w:eastAsia="lt-LT"/>
              </w:rPr>
              <w:t>turi nedelsdami informuoti Muitinės departamentą prie Lietuvos Respublikos finansų ministerijos, jei turi informacijos apie gabenamus narkotinių ir psichotropinių medžiagų pirmtakų (</w:t>
            </w:r>
            <w:proofErr w:type="spellStart"/>
            <w:r w:rsidRPr="00A863BC">
              <w:rPr>
                <w:rFonts w:ascii="Times New Roman" w:hAnsi="Times New Roman"/>
                <w:b/>
                <w:sz w:val="24"/>
                <w:szCs w:val="24"/>
                <w:lang w:eastAsia="lt-LT"/>
              </w:rPr>
              <w:t>prekursorių</w:t>
            </w:r>
            <w:proofErr w:type="spellEnd"/>
            <w:r w:rsidRPr="00A863BC">
              <w:rPr>
                <w:rFonts w:ascii="Times New Roman" w:hAnsi="Times New Roman"/>
                <w:b/>
                <w:sz w:val="24"/>
                <w:szCs w:val="24"/>
                <w:lang w:eastAsia="lt-LT"/>
              </w:rPr>
              <w:t>) ir į oficialų sąrašą neįtrauktų medžiagų krovinius, kurie gali būti panaudoti neteisėtai narkotinių ir psichotropinių medžiagų gamybai, išskyrus atvejus, kai tokia informacija yra kriminalinės žvalgybos dalis ir jos perdavimas gali pakenkti atliekamiems tolesniems tyrimams arba vykdomiems veiksmams.</w:t>
            </w:r>
          </w:p>
          <w:p w:rsidR="005B79B5" w:rsidRPr="00A863BC" w:rsidRDefault="005B79B5" w:rsidP="00A863BC">
            <w:pPr>
              <w:spacing w:after="0" w:line="240" w:lineRule="auto"/>
              <w:jc w:val="both"/>
              <w:rPr>
                <w:rFonts w:ascii="Times New Roman" w:hAnsi="Times New Roman"/>
                <w:b/>
                <w:sz w:val="24"/>
                <w:szCs w:val="24"/>
                <w:lang w:eastAsia="lt-LT"/>
              </w:rPr>
            </w:pPr>
            <w:r w:rsidRPr="00A863BC">
              <w:rPr>
                <w:rFonts w:ascii="Times New Roman" w:hAnsi="Times New Roman"/>
                <w:b/>
                <w:sz w:val="24"/>
                <w:szCs w:val="24"/>
                <w:lang w:eastAsia="lt-LT"/>
              </w:rPr>
              <w:t>&lt;...&gt;</w:t>
            </w:r>
          </w:p>
          <w:p w:rsidR="005B79B5" w:rsidRPr="00A863BC" w:rsidRDefault="005B79B5" w:rsidP="00A863BC">
            <w:pPr>
              <w:spacing w:after="0" w:line="240" w:lineRule="auto"/>
              <w:jc w:val="both"/>
              <w:rPr>
                <w:rFonts w:ascii="Times New Roman" w:hAnsi="Times New Roman"/>
                <w:b/>
                <w:bCs/>
                <w:sz w:val="24"/>
                <w:szCs w:val="24"/>
                <w:lang w:eastAsia="lt-LT"/>
              </w:rPr>
            </w:pPr>
          </w:p>
          <w:p w:rsidR="005B79B5" w:rsidRPr="00A863BC" w:rsidRDefault="005B79B5" w:rsidP="00A863BC">
            <w:pPr>
              <w:spacing w:after="0" w:line="240" w:lineRule="auto"/>
              <w:jc w:val="both"/>
              <w:rPr>
                <w:rFonts w:ascii="Times New Roman" w:hAnsi="Times New Roman"/>
                <w:b/>
                <w:bCs/>
                <w:sz w:val="24"/>
                <w:szCs w:val="24"/>
                <w:lang w:eastAsia="lt-LT"/>
              </w:rPr>
            </w:pPr>
            <w:r w:rsidRPr="00A863BC">
              <w:rPr>
                <w:rFonts w:ascii="Times New Roman" w:hAnsi="Times New Roman"/>
                <w:b/>
                <w:bCs/>
                <w:sz w:val="24"/>
                <w:szCs w:val="24"/>
                <w:lang w:eastAsia="lt-LT"/>
              </w:rPr>
              <w:t>16 straipsnis. Subjektų pareigos</w:t>
            </w:r>
          </w:p>
          <w:p w:rsidR="005B79B5" w:rsidRPr="00A863BC" w:rsidRDefault="005B79B5" w:rsidP="00A863BC">
            <w:pPr>
              <w:spacing w:after="0" w:line="240" w:lineRule="auto"/>
              <w:jc w:val="both"/>
              <w:rPr>
                <w:rFonts w:ascii="Times New Roman" w:hAnsi="Times New Roman"/>
                <w:b/>
                <w:bCs/>
                <w:sz w:val="24"/>
                <w:szCs w:val="24"/>
                <w:lang w:eastAsia="lt-LT"/>
              </w:rPr>
            </w:pPr>
            <w:r w:rsidRPr="00A863BC">
              <w:rPr>
                <w:rFonts w:ascii="Times New Roman" w:hAnsi="Times New Roman"/>
                <w:b/>
                <w:bCs/>
                <w:sz w:val="24"/>
                <w:szCs w:val="24"/>
                <w:lang w:eastAsia="lt-LT"/>
              </w:rPr>
              <w:t>&lt;...&gt;</w:t>
            </w:r>
          </w:p>
          <w:p w:rsidR="005B79B5" w:rsidRPr="00A863BC" w:rsidRDefault="005B79B5" w:rsidP="00A863BC">
            <w:pPr>
              <w:spacing w:after="0" w:line="240" w:lineRule="auto"/>
              <w:jc w:val="both"/>
              <w:rPr>
                <w:rFonts w:ascii="Times New Roman" w:hAnsi="Times New Roman"/>
                <w:b/>
                <w:bCs/>
                <w:sz w:val="24"/>
                <w:szCs w:val="24"/>
                <w:lang w:eastAsia="lt-LT"/>
              </w:rPr>
            </w:pPr>
            <w:r w:rsidRPr="00A863BC">
              <w:rPr>
                <w:rFonts w:ascii="Times New Roman" w:hAnsi="Times New Roman"/>
                <w:b/>
                <w:bCs/>
                <w:sz w:val="24"/>
                <w:szCs w:val="24"/>
              </w:rPr>
              <w:t>7. Subjektai privalo pateikti informaciją Narkotikų, tabako ir alkoholio kontrolės departamentui apie į oficialų sąrašą neįtrauktas medžiagas prieš pateikdami jas į rinką, prieš vykdydami jų importą ir eksportą bei prieš vykdydami tarpininkavimo veiklą su šiomis medžiagomis.</w:t>
            </w:r>
            <w:r w:rsidRPr="00A863BC" w:rsidDel="001D0698">
              <w:rPr>
                <w:rFonts w:ascii="Times New Roman" w:hAnsi="Times New Roman"/>
                <w:b/>
                <w:bCs/>
                <w:sz w:val="24"/>
                <w:szCs w:val="24"/>
              </w:rPr>
              <w:t xml:space="preserve"> </w:t>
            </w:r>
          </w:p>
        </w:tc>
        <w:tc>
          <w:tcPr>
            <w:tcW w:w="1418" w:type="dxa"/>
          </w:tcPr>
          <w:p w:rsidR="005B79B5" w:rsidRPr="00A863BC" w:rsidRDefault="005B79B5" w:rsidP="00A863BC">
            <w:pPr>
              <w:spacing w:after="0" w:line="240" w:lineRule="auto"/>
              <w:rPr>
                <w:rFonts w:ascii="Times New Roman" w:hAnsi="Times New Roman"/>
                <w:sz w:val="24"/>
                <w:szCs w:val="24"/>
              </w:rPr>
            </w:pPr>
            <w:r w:rsidRPr="00A863BC">
              <w:rPr>
                <w:rFonts w:ascii="Times New Roman" w:hAnsi="Times New Roman"/>
                <w:sz w:val="24"/>
                <w:szCs w:val="24"/>
              </w:rPr>
              <w:lastRenderedPageBreak/>
              <w:t>Visiškas</w:t>
            </w:r>
          </w:p>
        </w:tc>
        <w:tc>
          <w:tcPr>
            <w:tcW w:w="1275" w:type="dxa"/>
          </w:tcPr>
          <w:p w:rsidR="005B79B5" w:rsidRPr="00A863BC" w:rsidRDefault="005B79B5" w:rsidP="00A863BC">
            <w:pPr>
              <w:spacing w:after="0" w:line="240" w:lineRule="auto"/>
            </w:pPr>
          </w:p>
        </w:tc>
      </w:tr>
    </w:tbl>
    <w:p w:rsidR="005B79B5" w:rsidRDefault="005B79B5" w:rsidP="00436E01">
      <w:pPr>
        <w:jc w:val="center"/>
      </w:pPr>
      <w:r>
        <w:t>_______________________________________________</w:t>
      </w:r>
    </w:p>
    <w:sectPr w:rsidR="005B79B5" w:rsidSect="000D11A4">
      <w:headerReference w:type="default" r:id="rId6"/>
      <w:footerReference w:type="default" r:id="rId7"/>
      <w:pgSz w:w="16838" w:h="11906" w:orient="landscape"/>
      <w:pgMar w:top="1135" w:right="82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558F" w:rsidRDefault="00E4558F" w:rsidP="005A7817">
      <w:pPr>
        <w:spacing w:after="0" w:line="240" w:lineRule="auto"/>
      </w:pPr>
      <w:r>
        <w:separator/>
      </w:r>
    </w:p>
  </w:endnote>
  <w:endnote w:type="continuationSeparator" w:id="0">
    <w:p w:rsidR="00E4558F" w:rsidRDefault="00E4558F" w:rsidP="005A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79B5" w:rsidRPr="00AA6AFE" w:rsidRDefault="005B79B5">
    <w:pPr>
      <w:pStyle w:val="Porat"/>
      <w:jc w:val="center"/>
      <w:rPr>
        <w:rFonts w:ascii="Times New Roman" w:hAnsi="Times New Roman"/>
        <w:sz w:val="24"/>
        <w:szCs w:val="24"/>
      </w:rPr>
    </w:pPr>
  </w:p>
  <w:p w:rsidR="005B79B5" w:rsidRDefault="005B79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558F" w:rsidRDefault="00E4558F" w:rsidP="005A7817">
      <w:pPr>
        <w:spacing w:after="0" w:line="240" w:lineRule="auto"/>
      </w:pPr>
      <w:r>
        <w:separator/>
      </w:r>
    </w:p>
  </w:footnote>
  <w:footnote w:type="continuationSeparator" w:id="0">
    <w:p w:rsidR="00E4558F" w:rsidRDefault="00E4558F" w:rsidP="005A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79B5" w:rsidRPr="00AA6AFE" w:rsidRDefault="005B79B5">
    <w:pPr>
      <w:pStyle w:val="Antrats"/>
      <w:jc w:val="center"/>
      <w:rPr>
        <w:rFonts w:ascii="Times New Roman" w:hAnsi="Times New Roman"/>
        <w:sz w:val="24"/>
        <w:szCs w:val="24"/>
      </w:rPr>
    </w:pPr>
    <w:r w:rsidRPr="00AA6AFE">
      <w:rPr>
        <w:rFonts w:ascii="Times New Roman" w:hAnsi="Times New Roman"/>
        <w:sz w:val="24"/>
        <w:szCs w:val="24"/>
      </w:rPr>
      <w:fldChar w:fldCharType="begin"/>
    </w:r>
    <w:r w:rsidRPr="00AA6AFE">
      <w:rPr>
        <w:rFonts w:ascii="Times New Roman" w:hAnsi="Times New Roman"/>
        <w:sz w:val="24"/>
        <w:szCs w:val="24"/>
      </w:rPr>
      <w:instrText>PAGE   \* MERGEFORMAT</w:instrText>
    </w:r>
    <w:r w:rsidRPr="00AA6AFE">
      <w:rPr>
        <w:rFonts w:ascii="Times New Roman" w:hAnsi="Times New Roman"/>
        <w:sz w:val="24"/>
        <w:szCs w:val="24"/>
      </w:rPr>
      <w:fldChar w:fldCharType="separate"/>
    </w:r>
    <w:r>
      <w:rPr>
        <w:rFonts w:ascii="Times New Roman" w:hAnsi="Times New Roman"/>
        <w:noProof/>
        <w:sz w:val="24"/>
        <w:szCs w:val="24"/>
      </w:rPr>
      <w:t>2</w:t>
    </w:r>
    <w:r w:rsidRPr="00AA6AFE">
      <w:rPr>
        <w:rFonts w:ascii="Times New Roman" w:hAnsi="Times New Roman"/>
        <w:sz w:val="24"/>
        <w:szCs w:val="24"/>
      </w:rPr>
      <w:fldChar w:fldCharType="end"/>
    </w:r>
  </w:p>
  <w:p w:rsidR="005B79B5" w:rsidRDefault="005B79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8E"/>
    <w:rsid w:val="000A3346"/>
    <w:rsid w:val="000D11A4"/>
    <w:rsid w:val="000E11A5"/>
    <w:rsid w:val="000F0767"/>
    <w:rsid w:val="00166697"/>
    <w:rsid w:val="001D0698"/>
    <w:rsid w:val="00216561"/>
    <w:rsid w:val="00253BD1"/>
    <w:rsid w:val="00284BA8"/>
    <w:rsid w:val="00285C3C"/>
    <w:rsid w:val="002E3F30"/>
    <w:rsid w:val="00326287"/>
    <w:rsid w:val="00404AA8"/>
    <w:rsid w:val="00436E01"/>
    <w:rsid w:val="0048603D"/>
    <w:rsid w:val="004B1689"/>
    <w:rsid w:val="004E1D60"/>
    <w:rsid w:val="0050338E"/>
    <w:rsid w:val="005273D6"/>
    <w:rsid w:val="005942B3"/>
    <w:rsid w:val="005A7817"/>
    <w:rsid w:val="005B1880"/>
    <w:rsid w:val="005B79B5"/>
    <w:rsid w:val="006B76B1"/>
    <w:rsid w:val="006E45E9"/>
    <w:rsid w:val="00721E57"/>
    <w:rsid w:val="00775636"/>
    <w:rsid w:val="00871B8E"/>
    <w:rsid w:val="0087391D"/>
    <w:rsid w:val="008762C1"/>
    <w:rsid w:val="00891F25"/>
    <w:rsid w:val="008C1EBC"/>
    <w:rsid w:val="00902989"/>
    <w:rsid w:val="00986690"/>
    <w:rsid w:val="009A7895"/>
    <w:rsid w:val="009A7955"/>
    <w:rsid w:val="00A863BC"/>
    <w:rsid w:val="00AA4578"/>
    <w:rsid w:val="00AA6AFE"/>
    <w:rsid w:val="00B52B9D"/>
    <w:rsid w:val="00C40F4B"/>
    <w:rsid w:val="00C43E11"/>
    <w:rsid w:val="00CA2352"/>
    <w:rsid w:val="00CC03C7"/>
    <w:rsid w:val="00CE44D4"/>
    <w:rsid w:val="00CF73E1"/>
    <w:rsid w:val="00D127C7"/>
    <w:rsid w:val="00D81B1D"/>
    <w:rsid w:val="00DA5CB2"/>
    <w:rsid w:val="00E02414"/>
    <w:rsid w:val="00E23364"/>
    <w:rsid w:val="00E4558F"/>
    <w:rsid w:val="00EF5D20"/>
    <w:rsid w:val="00FF2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677AF6"/>
  <w15:docId w15:val="{C6E33BCF-3038-4D7A-AE88-B9656EAF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D20"/>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50338E"/>
    <w:pPr>
      <w:spacing w:after="120" w:line="480" w:lineRule="auto"/>
      <w:ind w:left="283"/>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uiPriority w:val="99"/>
    <w:locked/>
    <w:rsid w:val="0050338E"/>
    <w:rPr>
      <w:rFonts w:ascii="Times New Roman" w:hAnsi="Times New Roman" w:cs="Times New Roman"/>
      <w:sz w:val="20"/>
      <w:szCs w:val="20"/>
    </w:rPr>
  </w:style>
  <w:style w:type="table" w:styleId="Lentelstinklelis">
    <w:name w:val="Table Grid"/>
    <w:basedOn w:val="prastojilentel"/>
    <w:uiPriority w:val="99"/>
    <w:rsid w:val="005033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253B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53BD1"/>
    <w:rPr>
      <w:rFonts w:ascii="Segoe UI" w:hAnsi="Segoe UI" w:cs="Segoe UI"/>
      <w:sz w:val="18"/>
      <w:szCs w:val="18"/>
    </w:rPr>
  </w:style>
  <w:style w:type="character" w:styleId="Komentaronuoroda">
    <w:name w:val="annotation reference"/>
    <w:basedOn w:val="Numatytasispastraiposriftas"/>
    <w:uiPriority w:val="99"/>
    <w:semiHidden/>
    <w:rsid w:val="00253BD1"/>
    <w:rPr>
      <w:rFonts w:cs="Times New Roman"/>
      <w:sz w:val="16"/>
      <w:szCs w:val="16"/>
    </w:rPr>
  </w:style>
  <w:style w:type="paragraph" w:styleId="Komentarotekstas">
    <w:name w:val="annotation text"/>
    <w:basedOn w:val="prastasis"/>
    <w:link w:val="KomentarotekstasDiagrama"/>
    <w:uiPriority w:val="99"/>
    <w:semiHidden/>
    <w:rsid w:val="00253B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253BD1"/>
    <w:rPr>
      <w:rFonts w:cs="Times New Roman"/>
      <w:sz w:val="20"/>
      <w:szCs w:val="20"/>
    </w:rPr>
  </w:style>
  <w:style w:type="paragraph" w:styleId="Komentarotema">
    <w:name w:val="annotation subject"/>
    <w:basedOn w:val="Komentarotekstas"/>
    <w:next w:val="Komentarotekstas"/>
    <w:link w:val="KomentarotemaDiagrama"/>
    <w:uiPriority w:val="99"/>
    <w:semiHidden/>
    <w:rsid w:val="00253BD1"/>
    <w:rPr>
      <w:b/>
      <w:bCs/>
    </w:rPr>
  </w:style>
  <w:style w:type="character" w:customStyle="1" w:styleId="KomentarotemaDiagrama">
    <w:name w:val="Komentaro tema Diagrama"/>
    <w:basedOn w:val="KomentarotekstasDiagrama"/>
    <w:link w:val="Komentarotema"/>
    <w:uiPriority w:val="99"/>
    <w:semiHidden/>
    <w:locked/>
    <w:rsid w:val="00253BD1"/>
    <w:rPr>
      <w:rFonts w:cs="Times New Roman"/>
      <w:b/>
      <w:bCs/>
      <w:sz w:val="20"/>
      <w:szCs w:val="20"/>
    </w:rPr>
  </w:style>
  <w:style w:type="paragraph" w:styleId="Antrats">
    <w:name w:val="header"/>
    <w:basedOn w:val="prastasis"/>
    <w:link w:val="AntratsDiagrama"/>
    <w:uiPriority w:val="99"/>
    <w:rsid w:val="005A78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5A7817"/>
    <w:rPr>
      <w:rFonts w:cs="Times New Roman"/>
    </w:rPr>
  </w:style>
  <w:style w:type="paragraph" w:styleId="Porat">
    <w:name w:val="footer"/>
    <w:basedOn w:val="prastasis"/>
    <w:link w:val="PoratDiagrama"/>
    <w:uiPriority w:val="99"/>
    <w:rsid w:val="005A78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5A78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2568</Words>
  <Characters>1465</Characters>
  <Application>Microsoft Office Word</Application>
  <DocSecurity>0</DocSecurity>
  <Lines>12</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dc:title>
  <dc:subject/>
  <dc:creator>Asta Janulytė</dc:creator>
  <cp:keywords/>
  <dc:description/>
  <cp:lastModifiedBy>Jelena Talackiene</cp:lastModifiedBy>
  <cp:revision>2</cp:revision>
  <cp:lastPrinted>2019-07-30T12:11:00Z</cp:lastPrinted>
  <dcterms:created xsi:type="dcterms:W3CDTF">2020-06-04T06:56:00Z</dcterms:created>
  <dcterms:modified xsi:type="dcterms:W3CDTF">2020-06-04T06:56:00Z</dcterms:modified>
</cp:coreProperties>
</file>