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53B9D8" w14:textId="77777777" w:rsidR="006E3D25" w:rsidRPr="00C97FE4" w:rsidRDefault="00132001" w:rsidP="004C08F6">
      <w:pPr>
        <w:pStyle w:val="paveikslas"/>
        <w:framePr w:w="1575" w:h="1080" w:hRule="exact" w:wrap="auto" w:x="5662" w:y="14"/>
        <w:jc w:val="both"/>
        <w:rPr>
          <w:rFonts w:ascii="Times New Roman" w:hAnsi="Times New Roman"/>
        </w:rPr>
      </w:pPr>
      <w:bookmarkStart w:id="1" w:name="_GoBack"/>
      <w:bookmarkEnd w:id="1"/>
      <w:r w:rsidRPr="00C97FE4">
        <w:rPr>
          <w:rFonts w:ascii="Times New Roman" w:hAnsi="Times New Roman"/>
          <w:noProof/>
          <w:lang w:eastAsia="lt-LT"/>
        </w:rPr>
        <w:drawing>
          <wp:inline distT="0" distB="0" distL="0" distR="0" wp14:anchorId="7ED1CFE8" wp14:editId="5221E74C">
            <wp:extent cx="1000125" cy="666750"/>
            <wp:effectExtent l="0" t="0" r="9525" b="0"/>
            <wp:docPr id="3" name="Paveikslėlis 1" descr="LOGOnespalv-maz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LOGOnespalv-maz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0125" cy="666750"/>
                    </a:xfrm>
                    <a:prstGeom prst="rect">
                      <a:avLst/>
                    </a:prstGeom>
                    <a:noFill/>
                    <a:ln>
                      <a:noFill/>
                    </a:ln>
                  </pic:spPr>
                </pic:pic>
              </a:graphicData>
            </a:graphic>
          </wp:inline>
        </w:drawing>
      </w:r>
    </w:p>
    <w:p w14:paraId="2C0D745A" w14:textId="77777777" w:rsidR="006E3D25" w:rsidRPr="00C97FE4" w:rsidRDefault="006E3D25">
      <w:pPr>
        <w:jc w:val="both"/>
        <w:rPr>
          <w:rFonts w:ascii="Times New Roman" w:hAnsi="Times New Roman"/>
          <w:lang w:val="lt-LT"/>
        </w:rPr>
      </w:pPr>
    </w:p>
    <w:p w14:paraId="1B357538" w14:textId="77777777" w:rsidR="006E3D25" w:rsidRPr="00C97FE4" w:rsidRDefault="006E3D25">
      <w:pPr>
        <w:jc w:val="both"/>
        <w:rPr>
          <w:rFonts w:ascii="Times New Roman" w:hAnsi="Times New Roman"/>
          <w:lang w:val="lt-LT"/>
        </w:rPr>
      </w:pPr>
    </w:p>
    <w:p w14:paraId="6CDE949F" w14:textId="77777777" w:rsidR="006A5859" w:rsidRPr="00C97FE4" w:rsidRDefault="006A5859">
      <w:pPr>
        <w:jc w:val="both"/>
        <w:rPr>
          <w:rFonts w:ascii="Times New Roman" w:hAnsi="Times New Roman"/>
          <w:lang w:val="lt-LT"/>
        </w:rPr>
      </w:pPr>
    </w:p>
    <w:p w14:paraId="31F88934" w14:textId="77777777" w:rsidR="006A5859" w:rsidRPr="00C97FE4" w:rsidRDefault="006A5859">
      <w:pPr>
        <w:jc w:val="both"/>
        <w:rPr>
          <w:rFonts w:ascii="Times New Roman" w:hAnsi="Times New Roman"/>
          <w:lang w:val="lt-LT"/>
        </w:rPr>
      </w:pPr>
    </w:p>
    <w:p w14:paraId="26B46A08" w14:textId="77777777" w:rsidR="006A5859" w:rsidRPr="00C97FE4" w:rsidRDefault="006A5859" w:rsidP="006A5859">
      <w:pPr>
        <w:jc w:val="center"/>
        <w:rPr>
          <w:rFonts w:ascii="Times New Roman" w:hAnsi="Times New Roman"/>
          <w:b/>
          <w:lang w:val="lt-LT"/>
        </w:rPr>
      </w:pPr>
      <w:r w:rsidRPr="00C97FE4">
        <w:rPr>
          <w:rFonts w:ascii="Times New Roman" w:hAnsi="Times New Roman"/>
          <w:b/>
          <w:sz w:val="28"/>
        </w:rPr>
        <w:t>LIETUVOS RESPUBLIKOS ŽEMĖS ŪKIO MINISTERIJA</w:t>
      </w:r>
    </w:p>
    <w:p w14:paraId="72547C16" w14:textId="77777777" w:rsidR="006A5859" w:rsidRPr="00C97FE4" w:rsidRDefault="006A5859">
      <w:pPr>
        <w:jc w:val="both"/>
        <w:rPr>
          <w:rFonts w:ascii="Times New Roman" w:hAnsi="Times New Roman"/>
          <w:lang w:val="lt-LT"/>
        </w:rPr>
      </w:pPr>
    </w:p>
    <w:p w14:paraId="2E294743" w14:textId="77777777" w:rsidR="00D46316" w:rsidRPr="00C97FE4" w:rsidRDefault="00D46316" w:rsidP="004E4C91">
      <w:pPr>
        <w:pStyle w:val="apacia"/>
        <w:framePr w:w="9991" w:h="1456" w:wrap="notBeside" w:x="1530" w:y="14686"/>
        <w:rPr>
          <w:rFonts w:ascii="Times New Roman" w:hAnsi="Times New Roman"/>
          <w:lang w:val="lt-LT"/>
        </w:rPr>
      </w:pPr>
      <w:r w:rsidRPr="00C97FE4">
        <w:rPr>
          <w:rFonts w:ascii="Times New Roman" w:hAnsi="Times New Roman"/>
          <w:lang w:val="lt-LT"/>
        </w:rPr>
        <w:t>______________________________________________________________</w:t>
      </w:r>
      <w:r>
        <w:rPr>
          <w:rFonts w:ascii="Times New Roman" w:hAnsi="Times New Roman"/>
          <w:lang w:val="lt-LT"/>
        </w:rPr>
        <w:t>__</w:t>
      </w:r>
      <w:r w:rsidRPr="00C97FE4">
        <w:rPr>
          <w:rFonts w:ascii="Times New Roman" w:hAnsi="Times New Roman"/>
          <w:lang w:val="lt-LT"/>
        </w:rPr>
        <w:t>________________________________</w:t>
      </w:r>
    </w:p>
    <w:p w14:paraId="009FA525" w14:textId="77777777" w:rsidR="00D46316" w:rsidRPr="00C97FE4" w:rsidRDefault="00D46316" w:rsidP="004E4C91">
      <w:pPr>
        <w:pStyle w:val="apacia"/>
        <w:framePr w:w="9991" w:h="1456" w:wrap="notBeside" w:x="1530" w:y="14686"/>
        <w:rPr>
          <w:rFonts w:ascii="Times New Roman" w:hAnsi="Times New Roman"/>
          <w:lang w:val="lt-LT"/>
        </w:rPr>
      </w:pPr>
    </w:p>
    <w:p w14:paraId="078F1AB7" w14:textId="77777777" w:rsidR="00D46316" w:rsidRPr="00C97FE4" w:rsidRDefault="00D46316" w:rsidP="004E4C91">
      <w:pPr>
        <w:pStyle w:val="apacia"/>
        <w:framePr w:w="9991" w:h="1456" w:wrap="notBeside" w:x="1530" w:y="14686"/>
        <w:rPr>
          <w:rFonts w:ascii="Times New Roman" w:hAnsi="Times New Roman"/>
          <w:lang w:val="lt-LT"/>
        </w:rPr>
      </w:pP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r w:rsidRPr="00C97FE4">
        <w:rPr>
          <w:rFonts w:ascii="Times New Roman" w:hAnsi="Times New Roman"/>
          <w:lang w:val="lt-LT"/>
        </w:rPr>
        <w:tab/>
      </w:r>
    </w:p>
    <w:p w14:paraId="1800A0A5" w14:textId="77777777" w:rsidR="006E3D25" w:rsidRDefault="006E3D25">
      <w:pPr>
        <w:jc w:val="both"/>
        <w:rPr>
          <w:rFonts w:ascii="Times New Roman" w:hAnsi="Times New Roman"/>
          <w:lang w:val="lt-LT"/>
        </w:rPr>
      </w:pPr>
    </w:p>
    <w:p w14:paraId="6B1FA7D4" w14:textId="77777777" w:rsidR="0006585C" w:rsidRDefault="0006585C">
      <w:pPr>
        <w:jc w:val="both"/>
        <w:rPr>
          <w:rFonts w:ascii="Times New Roman" w:hAnsi="Times New Roman"/>
          <w:lang w:val="lt-LT"/>
        </w:rPr>
      </w:pPr>
    </w:p>
    <w:tbl>
      <w:tblPr>
        <w:tblStyle w:val="Lentelstinklelis"/>
        <w:tblW w:w="9789"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3"/>
        <w:gridCol w:w="2102"/>
        <w:gridCol w:w="1648"/>
        <w:gridCol w:w="2147"/>
        <w:gridCol w:w="2319"/>
      </w:tblGrid>
      <w:tr w:rsidR="00D46316" w:rsidRPr="00D46316" w14:paraId="4948CD07" w14:textId="77777777" w:rsidTr="004E4C91">
        <w:tc>
          <w:tcPr>
            <w:tcW w:w="1594" w:type="dxa"/>
          </w:tcPr>
          <w:p w14:paraId="387655F5" w14:textId="77777777" w:rsidR="00D46316" w:rsidRPr="00D46316" w:rsidRDefault="00D46316" w:rsidP="00D46316">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Biudžetinė įstaiga</w:t>
            </w:r>
          </w:p>
          <w:p w14:paraId="2ECC6375" w14:textId="77777777" w:rsidR="00D46316" w:rsidRPr="00D46316" w:rsidRDefault="00D46316" w:rsidP="00D46316">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Gedimino pr. 19</w:t>
            </w:r>
          </w:p>
          <w:p w14:paraId="721055F8" w14:textId="77777777" w:rsidR="00D46316" w:rsidRPr="00D46316" w:rsidRDefault="00D46316" w:rsidP="00D46316">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01103  Vilnius</w:t>
            </w:r>
          </w:p>
          <w:p w14:paraId="77BEFC75" w14:textId="77777777" w:rsidR="00D46316" w:rsidRPr="00D46316" w:rsidRDefault="00D46316" w:rsidP="00D46316">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 xml:space="preserve">Tel.    (8 5)  239 1001 </w:t>
            </w:r>
          </w:p>
          <w:p w14:paraId="74E80DF6" w14:textId="77777777" w:rsidR="00D46316" w:rsidRPr="00D46316" w:rsidRDefault="00D46316" w:rsidP="00D46316">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 xml:space="preserve">Faks.  (8 5)  239 1212  </w:t>
            </w:r>
          </w:p>
        </w:tc>
        <w:tc>
          <w:tcPr>
            <w:tcW w:w="2126" w:type="dxa"/>
          </w:tcPr>
          <w:p w14:paraId="056C8125" w14:textId="77777777" w:rsidR="00D46316" w:rsidRPr="00D46316" w:rsidRDefault="00D46316" w:rsidP="00D46316">
            <w:pPr>
              <w:framePr w:w="9492" w:h="896" w:hSpace="181" w:wrap="around" w:vAnchor="page" w:hAnchor="page" w:x="1651" w:y="15032" w:anchorLock="1"/>
              <w:rPr>
                <w:rStyle w:val="Hipersaitas"/>
                <w:rFonts w:ascii="Times New Roman" w:hAnsi="Times New Roman"/>
                <w:sz w:val="14"/>
                <w:lang w:val="lt-LT"/>
              </w:rPr>
            </w:pPr>
            <w:r w:rsidRPr="00D46316">
              <w:rPr>
                <w:rFonts w:ascii="Times New Roman" w:hAnsi="Times New Roman"/>
                <w:sz w:val="14"/>
                <w:lang w:val="lt-LT"/>
              </w:rPr>
              <w:t xml:space="preserve">El. paštas </w:t>
            </w:r>
            <w:hyperlink r:id="rId8" w:history="1">
              <w:r w:rsidRPr="00D46316">
                <w:rPr>
                  <w:rStyle w:val="Hipersaitas"/>
                  <w:rFonts w:ascii="Times New Roman" w:hAnsi="Times New Roman"/>
                  <w:sz w:val="14"/>
                  <w:lang w:val="lt-LT"/>
                </w:rPr>
                <w:t>zum@zum.lt</w:t>
              </w:r>
            </w:hyperlink>
          </w:p>
          <w:p w14:paraId="2EA315C6" w14:textId="77777777" w:rsidR="00D46316" w:rsidRPr="00D46316" w:rsidRDefault="00734028" w:rsidP="00D46316">
            <w:pPr>
              <w:framePr w:w="9492" w:h="896" w:hSpace="181" w:wrap="around" w:vAnchor="page" w:hAnchor="page" w:x="1651" w:y="15032" w:anchorLock="1"/>
              <w:rPr>
                <w:rFonts w:ascii="Times New Roman" w:hAnsi="Times New Roman"/>
                <w:sz w:val="14"/>
                <w:lang w:val="lt-LT"/>
              </w:rPr>
            </w:pPr>
            <w:hyperlink r:id="rId9" w:history="1">
              <w:r w:rsidR="00D46316" w:rsidRPr="00D46316">
                <w:rPr>
                  <w:rStyle w:val="Hipersaitas"/>
                  <w:rFonts w:ascii="Times New Roman" w:hAnsi="Times New Roman"/>
                  <w:sz w:val="14"/>
                  <w:lang w:val="lt-LT"/>
                </w:rPr>
                <w:t>http://www.zum.lt</w:t>
              </w:r>
            </w:hyperlink>
          </w:p>
          <w:p w14:paraId="418722A6" w14:textId="77777777" w:rsidR="00D46316" w:rsidRPr="00D46316" w:rsidRDefault="00D46316" w:rsidP="00D46316">
            <w:pPr>
              <w:framePr w:w="9492" w:h="896" w:hSpace="181" w:wrap="around" w:vAnchor="page" w:hAnchor="page" w:x="1651" w:y="15032" w:anchorLock="1"/>
              <w:rPr>
                <w:rFonts w:ascii="Times New Roman" w:hAnsi="Times New Roman"/>
                <w:sz w:val="14"/>
                <w:lang w:val="lt-LT"/>
              </w:rPr>
            </w:pPr>
            <w:bookmarkStart w:id="2" w:name="OLE_LINK1"/>
            <w:bookmarkStart w:id="3" w:name="OLE_LINK2"/>
            <w:r w:rsidRPr="00D46316">
              <w:rPr>
                <w:rFonts w:ascii="Times New Roman" w:hAnsi="Times New Roman"/>
                <w:sz w:val="14"/>
                <w:lang w:val="lt-LT"/>
              </w:rPr>
              <w:t>Duomenys kaupiami ir saugomi</w:t>
            </w:r>
          </w:p>
          <w:p w14:paraId="78490C59" w14:textId="77777777" w:rsidR="00D46316" w:rsidRPr="00D46316" w:rsidRDefault="00D46316" w:rsidP="00D46316">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Juridinių asmenų registre</w:t>
            </w:r>
          </w:p>
          <w:bookmarkEnd w:id="2"/>
          <w:bookmarkEnd w:id="3"/>
          <w:p w14:paraId="256BAE91" w14:textId="77777777" w:rsidR="00D46316" w:rsidRPr="00D46316" w:rsidRDefault="00D46316" w:rsidP="00D46316">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Kodas 188675190</w:t>
            </w:r>
          </w:p>
        </w:tc>
        <w:tc>
          <w:tcPr>
            <w:tcW w:w="1559" w:type="dxa"/>
          </w:tcPr>
          <w:p w14:paraId="2F14AA72" w14:textId="77777777" w:rsidR="00D46316" w:rsidRPr="00D46316" w:rsidRDefault="00D46316" w:rsidP="00D46316">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Atsiskait</w:t>
            </w:r>
            <w:r w:rsidR="00035096">
              <w:rPr>
                <w:rFonts w:ascii="Times New Roman" w:hAnsi="Times New Roman"/>
                <w:sz w:val="14"/>
                <w:lang w:val="lt-LT"/>
              </w:rPr>
              <w:t xml:space="preserve">omoji </w:t>
            </w:r>
            <w:r w:rsidRPr="00D46316">
              <w:rPr>
                <w:rFonts w:ascii="Times New Roman" w:hAnsi="Times New Roman"/>
                <w:sz w:val="14"/>
                <w:lang w:val="lt-LT"/>
              </w:rPr>
              <w:t xml:space="preserve">sąskaita </w:t>
            </w:r>
          </w:p>
          <w:p w14:paraId="46DBB2FA" w14:textId="77777777" w:rsidR="00D46316" w:rsidRPr="00D46316" w:rsidRDefault="00D46316" w:rsidP="00D46316">
            <w:pPr>
              <w:framePr w:w="9492" w:h="896" w:hSpace="181" w:wrap="around" w:vAnchor="page" w:hAnchor="page" w:x="1651" w:y="15032" w:anchorLock="1"/>
              <w:rPr>
                <w:rFonts w:ascii="Times New Roman" w:hAnsi="Times New Roman"/>
                <w:sz w:val="14"/>
                <w:lang w:val="lt-LT"/>
              </w:rPr>
            </w:pPr>
            <w:r w:rsidRPr="00D46316">
              <w:rPr>
                <w:rFonts w:ascii="Times New Roman" w:hAnsi="Times New Roman"/>
                <w:sz w:val="14"/>
                <w:lang w:val="lt-LT"/>
              </w:rPr>
              <w:t>LT674010042400070079</w:t>
            </w:r>
          </w:p>
          <w:p w14:paraId="756DF94F" w14:textId="77777777" w:rsidR="00D46316" w:rsidRPr="00D46316" w:rsidRDefault="00701011" w:rsidP="00D46316">
            <w:pPr>
              <w:framePr w:w="9492" w:h="896" w:hSpace="181" w:wrap="around" w:vAnchor="page" w:hAnchor="page" w:x="1651" w:y="15032" w:anchorLock="1"/>
              <w:rPr>
                <w:rFonts w:ascii="Times New Roman" w:hAnsi="Times New Roman"/>
                <w:sz w:val="14"/>
                <w:lang w:val="lt-LT"/>
              </w:rPr>
            </w:pPr>
            <w:proofErr w:type="spellStart"/>
            <w:r>
              <w:rPr>
                <w:rFonts w:ascii="Times New Roman" w:hAnsi="Times New Roman"/>
                <w:sz w:val="14"/>
                <w:lang w:val="lt-LT"/>
              </w:rPr>
              <w:t>Luminor</w:t>
            </w:r>
            <w:proofErr w:type="spellEnd"/>
            <w:r>
              <w:rPr>
                <w:rFonts w:ascii="Times New Roman" w:hAnsi="Times New Roman"/>
                <w:sz w:val="14"/>
                <w:lang w:val="lt-LT"/>
              </w:rPr>
              <w:t xml:space="preserve"> Bank AB</w:t>
            </w:r>
            <w:r w:rsidR="00D46316" w:rsidRPr="00D46316">
              <w:rPr>
                <w:rFonts w:ascii="Times New Roman" w:hAnsi="Times New Roman"/>
                <w:sz w:val="14"/>
                <w:lang w:val="lt-LT"/>
              </w:rPr>
              <w:t xml:space="preserve"> </w:t>
            </w:r>
          </w:p>
          <w:p w14:paraId="17023966" w14:textId="77777777" w:rsidR="00D46316" w:rsidRPr="00D46316" w:rsidRDefault="00D46316" w:rsidP="00D46316">
            <w:pPr>
              <w:framePr w:w="9492" w:h="896" w:hSpace="181" w:wrap="around" w:vAnchor="page" w:hAnchor="page" w:x="1651" w:y="15032" w:anchorLock="1"/>
              <w:rPr>
                <w:rFonts w:ascii="Times New Roman" w:hAnsi="Times New Roman"/>
                <w:sz w:val="14"/>
                <w:lang w:val="lt-LT"/>
              </w:rPr>
            </w:pPr>
          </w:p>
        </w:tc>
        <w:tc>
          <w:tcPr>
            <w:tcW w:w="2155" w:type="dxa"/>
          </w:tcPr>
          <w:p w14:paraId="4B60AE88" w14:textId="77777777" w:rsidR="00D46316" w:rsidRPr="00D46316" w:rsidRDefault="004E4C91" w:rsidP="004E4C91">
            <w:pPr>
              <w:framePr w:w="9492" w:h="896" w:hSpace="181" w:wrap="around" w:vAnchor="page" w:hAnchor="page" w:x="1651" w:y="15032" w:anchorLock="1"/>
              <w:tabs>
                <w:tab w:val="left" w:pos="1320"/>
              </w:tabs>
              <w:ind w:right="-246"/>
              <w:rPr>
                <w:rFonts w:ascii="Times New Roman" w:hAnsi="Times New Roman"/>
                <w:sz w:val="14"/>
                <w:lang w:val="lt-LT"/>
              </w:rPr>
            </w:pPr>
            <w:r w:rsidRPr="004C4A63">
              <w:rPr>
                <w:noProof/>
                <w:lang w:val="lt-LT" w:eastAsia="lt-LT"/>
              </w:rPr>
              <w:drawing>
                <wp:anchor distT="0" distB="0" distL="114300" distR="114300" simplePos="0" relativeHeight="251659264" behindDoc="0" locked="0" layoutInCell="1" allowOverlap="1" wp14:anchorId="79B33DBA" wp14:editId="6C53F0B8">
                  <wp:simplePos x="0" y="0"/>
                  <wp:positionH relativeFrom="column">
                    <wp:posOffset>233680</wp:posOffset>
                  </wp:positionH>
                  <wp:positionV relativeFrom="paragraph">
                    <wp:posOffset>0</wp:posOffset>
                  </wp:positionV>
                  <wp:extent cx="1043305" cy="485775"/>
                  <wp:effectExtent l="0" t="0" r="4445" b="9525"/>
                  <wp:wrapSquare wrapText="bothSides"/>
                  <wp:docPr id="1" name="Paveikslėlis 1" descr="BV_Certification_N&amp;B_ISO9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BV_Certification_N&amp;B_ISO900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43305" cy="485775"/>
                          </a:xfrm>
                          <a:prstGeom prst="rect">
                            <a:avLst/>
                          </a:prstGeom>
                          <a:noFill/>
                          <a:ln>
                            <a:noFill/>
                          </a:ln>
                        </pic:spPr>
                      </pic:pic>
                    </a:graphicData>
                  </a:graphic>
                </wp:anchor>
              </w:drawing>
            </w:r>
          </w:p>
        </w:tc>
        <w:tc>
          <w:tcPr>
            <w:tcW w:w="2319" w:type="dxa"/>
          </w:tcPr>
          <w:p w14:paraId="57148540" w14:textId="77777777" w:rsidR="00D46316" w:rsidRPr="00D46316" w:rsidRDefault="004E4C91" w:rsidP="004E4C91">
            <w:pPr>
              <w:framePr w:w="9492" w:h="896" w:hSpace="181" w:wrap="around" w:vAnchor="page" w:hAnchor="page" w:x="1651" w:y="15032" w:anchorLock="1"/>
              <w:jc w:val="both"/>
              <w:rPr>
                <w:rFonts w:ascii="Times New Roman" w:hAnsi="Times New Roman"/>
                <w:sz w:val="14"/>
                <w:lang w:val="lt-LT"/>
              </w:rPr>
            </w:pPr>
            <w:r>
              <w:rPr>
                <w:noProof/>
                <w:lang w:val="lt-LT" w:eastAsia="lt-LT"/>
              </w:rPr>
              <w:drawing>
                <wp:anchor distT="0" distB="0" distL="114300" distR="114300" simplePos="0" relativeHeight="251661312" behindDoc="0" locked="0" layoutInCell="1" allowOverlap="1" wp14:anchorId="6B46AF43" wp14:editId="11BE9740">
                  <wp:simplePos x="0" y="0"/>
                  <wp:positionH relativeFrom="column">
                    <wp:posOffset>104775</wp:posOffset>
                  </wp:positionH>
                  <wp:positionV relativeFrom="paragraph">
                    <wp:posOffset>0</wp:posOffset>
                  </wp:positionV>
                  <wp:extent cx="1335600" cy="432000"/>
                  <wp:effectExtent l="0" t="0" r="0" b="6350"/>
                  <wp:wrapThrough wrapText="bothSides">
                    <wp:wrapPolygon edited="0">
                      <wp:start x="0" y="0"/>
                      <wp:lineTo x="0" y="20965"/>
                      <wp:lineTo x="9860" y="20965"/>
                      <wp:lineTo x="21261" y="19059"/>
                      <wp:lineTo x="21261" y="1906"/>
                      <wp:lineTo x="9860" y="0"/>
                      <wp:lineTo x="0" y="0"/>
                    </wp:wrapPolygon>
                  </wp:wrapThrough>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5600" cy="432000"/>
                          </a:xfrm>
                          <a:prstGeom prst="rect">
                            <a:avLst/>
                          </a:prstGeom>
                          <a:noFill/>
                        </pic:spPr>
                      </pic:pic>
                    </a:graphicData>
                  </a:graphic>
                  <wp14:sizeRelH relativeFrom="margin">
                    <wp14:pctWidth>0</wp14:pctWidth>
                  </wp14:sizeRelH>
                  <wp14:sizeRelV relativeFrom="margin">
                    <wp14:pctHeight>0</wp14:pctHeight>
                  </wp14:sizeRelV>
                </wp:anchor>
              </w:drawing>
            </w:r>
          </w:p>
        </w:tc>
      </w:tr>
    </w:tbl>
    <w:p w14:paraId="08EE6B26" w14:textId="77777777" w:rsidR="00D46316" w:rsidRPr="00D46316" w:rsidRDefault="00D46316" w:rsidP="00D46316">
      <w:pPr>
        <w:framePr w:w="9492" w:h="896" w:hSpace="181" w:wrap="around" w:vAnchor="page" w:hAnchor="page" w:x="1651" w:y="15032" w:anchorLock="1"/>
        <w:rPr>
          <w:rFonts w:ascii="Times New Roman" w:hAnsi="Times New Roman"/>
          <w:sz w:val="14"/>
          <w:lang w:val="lt-LT"/>
        </w:rPr>
      </w:pPr>
    </w:p>
    <w:p w14:paraId="3D914FF8" w14:textId="77777777" w:rsidR="0006585C" w:rsidRDefault="0006585C">
      <w:pPr>
        <w:jc w:val="both"/>
        <w:rPr>
          <w:rFonts w:ascii="Times New Roman" w:hAnsi="Times New Roman"/>
          <w:lang w:val="lt-LT"/>
        </w:rPr>
      </w:pPr>
    </w:p>
    <w:p w14:paraId="0AB5BBA8" w14:textId="77777777" w:rsidR="0006585C" w:rsidRDefault="0006585C">
      <w:pPr>
        <w:jc w:val="both"/>
        <w:rPr>
          <w:rFonts w:ascii="Times New Roman" w:hAnsi="Times New Roman"/>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1"/>
        <w:gridCol w:w="296"/>
        <w:gridCol w:w="1698"/>
        <w:gridCol w:w="530"/>
        <w:gridCol w:w="2263"/>
      </w:tblGrid>
      <w:tr w:rsidR="007F69FA" w14:paraId="247A5F51" w14:textId="77777777" w:rsidTr="001E15F2">
        <w:tc>
          <w:tcPr>
            <w:tcW w:w="4920" w:type="dxa"/>
            <w:vMerge w:val="restart"/>
          </w:tcPr>
          <w:p w14:paraId="78ECD858" w14:textId="77777777" w:rsidR="000154CE" w:rsidRPr="00016999" w:rsidRDefault="00447961" w:rsidP="001E15F2">
            <w:pPr>
              <w:jc w:val="both"/>
              <w:rPr>
                <w:rFonts w:ascii="Times New Roman" w:hAnsi="Times New Roman"/>
                <w:sz w:val="23"/>
                <w:szCs w:val="23"/>
                <w:lang w:val="lt-LT"/>
              </w:rPr>
            </w:pPr>
            <w:r>
              <w:rPr>
                <w:rFonts w:ascii="Times New Roman" w:hAnsi="Times New Roman"/>
                <w:sz w:val="23"/>
                <w:szCs w:val="23"/>
                <w:lang w:val="lt-LT"/>
              </w:rPr>
              <w:t xml:space="preserve">Lietuvos Respublikos </w:t>
            </w:r>
            <w:r w:rsidR="00F201B6">
              <w:rPr>
                <w:rFonts w:ascii="Times New Roman" w:hAnsi="Times New Roman"/>
                <w:sz w:val="23"/>
                <w:szCs w:val="23"/>
                <w:lang w:val="lt-LT"/>
              </w:rPr>
              <w:t>socialinės apsaugos ir darbo</w:t>
            </w:r>
            <w:r w:rsidR="005B6A47">
              <w:rPr>
                <w:rFonts w:ascii="Times New Roman" w:hAnsi="Times New Roman"/>
                <w:sz w:val="23"/>
                <w:szCs w:val="23"/>
                <w:lang w:val="lt-LT"/>
              </w:rPr>
              <w:t xml:space="preserve"> ministerijai</w:t>
            </w:r>
          </w:p>
        </w:tc>
        <w:tc>
          <w:tcPr>
            <w:tcW w:w="296" w:type="dxa"/>
          </w:tcPr>
          <w:p w14:paraId="3134B0A4" w14:textId="77777777" w:rsidR="001E15F2" w:rsidRDefault="001E15F2">
            <w:pPr>
              <w:jc w:val="both"/>
              <w:rPr>
                <w:rFonts w:ascii="Times New Roman" w:hAnsi="Times New Roman"/>
                <w:lang w:val="lt-LT"/>
              </w:rPr>
            </w:pPr>
          </w:p>
        </w:tc>
        <w:tc>
          <w:tcPr>
            <w:tcW w:w="1755" w:type="dxa"/>
            <w:tcBorders>
              <w:bottom w:val="single" w:sz="4" w:space="0" w:color="auto"/>
            </w:tcBorders>
          </w:tcPr>
          <w:p w14:paraId="4D69430B" w14:textId="7561C18D" w:rsidR="001E15F2" w:rsidRDefault="007F69FA">
            <w:pPr>
              <w:jc w:val="both"/>
              <w:rPr>
                <w:rFonts w:ascii="Times New Roman" w:hAnsi="Times New Roman"/>
                <w:lang w:val="lt-LT"/>
              </w:rPr>
            </w:pPr>
            <w:r>
              <w:rPr>
                <w:rFonts w:ascii="Times New Roman" w:hAnsi="Times New Roman"/>
                <w:lang w:val="lt-LT"/>
              </w:rPr>
              <w:t>201</w:t>
            </w:r>
            <w:r w:rsidR="005B6A47">
              <w:rPr>
                <w:rFonts w:ascii="Times New Roman" w:hAnsi="Times New Roman"/>
                <w:lang w:val="lt-LT"/>
              </w:rPr>
              <w:t>8-</w:t>
            </w:r>
          </w:p>
        </w:tc>
        <w:tc>
          <w:tcPr>
            <w:tcW w:w="530" w:type="dxa"/>
          </w:tcPr>
          <w:p w14:paraId="5A3DD110" w14:textId="77777777" w:rsidR="001E15F2" w:rsidRDefault="001E15F2">
            <w:pPr>
              <w:jc w:val="both"/>
              <w:rPr>
                <w:rFonts w:ascii="Times New Roman" w:hAnsi="Times New Roman"/>
                <w:lang w:val="lt-LT"/>
              </w:rPr>
            </w:pPr>
            <w:r>
              <w:rPr>
                <w:rFonts w:ascii="Times New Roman" w:hAnsi="Times New Roman"/>
                <w:lang w:val="lt-LT"/>
              </w:rPr>
              <w:t>Nr.</w:t>
            </w:r>
          </w:p>
        </w:tc>
        <w:tc>
          <w:tcPr>
            <w:tcW w:w="2354" w:type="dxa"/>
            <w:tcBorders>
              <w:bottom w:val="single" w:sz="4" w:space="0" w:color="auto"/>
            </w:tcBorders>
          </w:tcPr>
          <w:p w14:paraId="108A4B60" w14:textId="77777777" w:rsidR="001E15F2" w:rsidRDefault="001E15F2">
            <w:pPr>
              <w:jc w:val="both"/>
              <w:rPr>
                <w:rFonts w:ascii="Times New Roman" w:hAnsi="Times New Roman"/>
                <w:lang w:val="lt-LT"/>
              </w:rPr>
            </w:pPr>
          </w:p>
        </w:tc>
      </w:tr>
      <w:tr w:rsidR="007F69FA" w14:paraId="22A85294" w14:textId="77777777" w:rsidTr="001E15F2">
        <w:tc>
          <w:tcPr>
            <w:tcW w:w="4920" w:type="dxa"/>
            <w:vMerge/>
          </w:tcPr>
          <w:p w14:paraId="05A77E2C" w14:textId="77777777" w:rsidR="001E15F2" w:rsidRDefault="001E15F2">
            <w:pPr>
              <w:jc w:val="both"/>
              <w:rPr>
                <w:rFonts w:ascii="Times New Roman" w:hAnsi="Times New Roman"/>
                <w:lang w:val="lt-LT"/>
              </w:rPr>
            </w:pPr>
          </w:p>
        </w:tc>
        <w:tc>
          <w:tcPr>
            <w:tcW w:w="296" w:type="dxa"/>
          </w:tcPr>
          <w:p w14:paraId="05A00600" w14:textId="77777777" w:rsidR="001E15F2" w:rsidRDefault="001E15F2" w:rsidP="0006585C">
            <w:pPr>
              <w:spacing w:before="120"/>
              <w:jc w:val="both"/>
              <w:rPr>
                <w:rFonts w:ascii="Times New Roman" w:hAnsi="Times New Roman"/>
                <w:lang w:val="lt-LT"/>
              </w:rPr>
            </w:pPr>
            <w:r>
              <w:rPr>
                <w:rFonts w:ascii="Times New Roman" w:hAnsi="Times New Roman"/>
                <w:lang w:val="lt-LT"/>
              </w:rPr>
              <w:t>Į</w:t>
            </w:r>
          </w:p>
        </w:tc>
        <w:tc>
          <w:tcPr>
            <w:tcW w:w="1755" w:type="dxa"/>
            <w:tcBorders>
              <w:top w:val="single" w:sz="4" w:space="0" w:color="auto"/>
              <w:bottom w:val="single" w:sz="4" w:space="0" w:color="auto"/>
            </w:tcBorders>
          </w:tcPr>
          <w:p w14:paraId="6712E153" w14:textId="77777777" w:rsidR="000154CE" w:rsidRDefault="00143D31" w:rsidP="0006585C">
            <w:pPr>
              <w:spacing w:before="120"/>
              <w:jc w:val="both"/>
              <w:rPr>
                <w:rFonts w:ascii="Times New Roman" w:hAnsi="Times New Roman"/>
                <w:lang w:val="lt-LT"/>
              </w:rPr>
            </w:pPr>
            <w:r>
              <w:rPr>
                <w:rFonts w:ascii="Times New Roman" w:hAnsi="Times New Roman"/>
                <w:lang w:val="lt-LT"/>
              </w:rPr>
              <w:t>201</w:t>
            </w:r>
            <w:r w:rsidR="002F231D">
              <w:rPr>
                <w:rFonts w:ascii="Times New Roman" w:hAnsi="Times New Roman"/>
                <w:lang w:val="lt-LT"/>
              </w:rPr>
              <w:t>8-06-12</w:t>
            </w:r>
          </w:p>
        </w:tc>
        <w:tc>
          <w:tcPr>
            <w:tcW w:w="530" w:type="dxa"/>
          </w:tcPr>
          <w:p w14:paraId="5A5B1740" w14:textId="77777777" w:rsidR="001E15F2" w:rsidRDefault="001E15F2" w:rsidP="0006585C">
            <w:pPr>
              <w:spacing w:before="120"/>
              <w:jc w:val="both"/>
              <w:rPr>
                <w:rFonts w:ascii="Times New Roman" w:hAnsi="Times New Roman"/>
                <w:lang w:val="lt-LT"/>
              </w:rPr>
            </w:pPr>
            <w:r>
              <w:rPr>
                <w:rFonts w:ascii="Times New Roman" w:hAnsi="Times New Roman"/>
                <w:lang w:val="lt-LT"/>
              </w:rPr>
              <w:t>Nr.</w:t>
            </w:r>
          </w:p>
        </w:tc>
        <w:tc>
          <w:tcPr>
            <w:tcW w:w="2354" w:type="dxa"/>
            <w:tcBorders>
              <w:top w:val="single" w:sz="4" w:space="0" w:color="auto"/>
              <w:bottom w:val="single" w:sz="4" w:space="0" w:color="auto"/>
            </w:tcBorders>
          </w:tcPr>
          <w:p w14:paraId="7397D3E1" w14:textId="77777777" w:rsidR="001E15F2" w:rsidRDefault="008060FD" w:rsidP="0006585C">
            <w:pPr>
              <w:spacing w:before="120"/>
              <w:jc w:val="both"/>
              <w:rPr>
                <w:rFonts w:ascii="Times New Roman" w:hAnsi="Times New Roman"/>
                <w:lang w:val="lt-LT"/>
              </w:rPr>
            </w:pPr>
            <w:r>
              <w:rPr>
                <w:rFonts w:ascii="Times New Roman" w:hAnsi="Times New Roman"/>
                <w:lang w:val="lt-LT"/>
              </w:rPr>
              <w:t>(31.1-44</w:t>
            </w:r>
            <w:r w:rsidR="00F201B6">
              <w:rPr>
                <w:rFonts w:ascii="Times New Roman" w:hAnsi="Times New Roman"/>
                <w:lang w:val="lt-LT"/>
              </w:rPr>
              <w:t>) SD-</w:t>
            </w:r>
            <w:r>
              <w:rPr>
                <w:rFonts w:ascii="Times New Roman" w:hAnsi="Times New Roman"/>
                <w:lang w:val="lt-LT"/>
              </w:rPr>
              <w:t>3358</w:t>
            </w:r>
          </w:p>
        </w:tc>
      </w:tr>
      <w:tr w:rsidR="007F69FA" w14:paraId="7709CA1B" w14:textId="77777777" w:rsidTr="001E15F2">
        <w:trPr>
          <w:trHeight w:val="113"/>
        </w:trPr>
        <w:tc>
          <w:tcPr>
            <w:tcW w:w="4920" w:type="dxa"/>
            <w:vMerge/>
          </w:tcPr>
          <w:p w14:paraId="2E74CAB6" w14:textId="77777777" w:rsidR="001E15F2" w:rsidRDefault="001E15F2">
            <w:pPr>
              <w:jc w:val="both"/>
              <w:rPr>
                <w:rFonts w:ascii="Times New Roman" w:hAnsi="Times New Roman"/>
                <w:lang w:val="lt-LT"/>
              </w:rPr>
            </w:pPr>
          </w:p>
        </w:tc>
        <w:tc>
          <w:tcPr>
            <w:tcW w:w="296" w:type="dxa"/>
          </w:tcPr>
          <w:p w14:paraId="519184E1" w14:textId="77777777" w:rsidR="001E15F2" w:rsidRDefault="001E15F2" w:rsidP="0006585C">
            <w:pPr>
              <w:spacing w:before="120"/>
              <w:jc w:val="both"/>
              <w:rPr>
                <w:rFonts w:ascii="Times New Roman" w:hAnsi="Times New Roman"/>
                <w:lang w:val="lt-LT"/>
              </w:rPr>
            </w:pPr>
          </w:p>
        </w:tc>
        <w:tc>
          <w:tcPr>
            <w:tcW w:w="1755" w:type="dxa"/>
            <w:tcBorders>
              <w:top w:val="single" w:sz="4" w:space="0" w:color="auto"/>
            </w:tcBorders>
          </w:tcPr>
          <w:p w14:paraId="56A380A2" w14:textId="77777777" w:rsidR="001E15F2" w:rsidRDefault="001E15F2" w:rsidP="0006585C">
            <w:pPr>
              <w:spacing w:before="120"/>
              <w:jc w:val="both"/>
              <w:rPr>
                <w:rFonts w:ascii="Times New Roman" w:hAnsi="Times New Roman"/>
                <w:lang w:val="lt-LT"/>
              </w:rPr>
            </w:pPr>
          </w:p>
        </w:tc>
        <w:tc>
          <w:tcPr>
            <w:tcW w:w="530" w:type="dxa"/>
          </w:tcPr>
          <w:p w14:paraId="598A98F9" w14:textId="77777777" w:rsidR="001E15F2" w:rsidRDefault="001E15F2" w:rsidP="0006585C">
            <w:pPr>
              <w:spacing w:before="120"/>
              <w:jc w:val="both"/>
              <w:rPr>
                <w:rFonts w:ascii="Times New Roman" w:hAnsi="Times New Roman"/>
                <w:lang w:val="lt-LT"/>
              </w:rPr>
            </w:pPr>
          </w:p>
        </w:tc>
        <w:tc>
          <w:tcPr>
            <w:tcW w:w="2354" w:type="dxa"/>
            <w:tcBorders>
              <w:top w:val="single" w:sz="4" w:space="0" w:color="auto"/>
            </w:tcBorders>
          </w:tcPr>
          <w:p w14:paraId="351B654B" w14:textId="77777777" w:rsidR="001E15F2" w:rsidRDefault="001E15F2" w:rsidP="0006585C">
            <w:pPr>
              <w:spacing w:before="120"/>
              <w:jc w:val="both"/>
              <w:rPr>
                <w:rFonts w:ascii="Times New Roman" w:hAnsi="Times New Roman"/>
                <w:lang w:val="lt-LT"/>
              </w:rPr>
            </w:pPr>
          </w:p>
        </w:tc>
      </w:tr>
    </w:tbl>
    <w:p w14:paraId="4D9B622C" w14:textId="77777777" w:rsidR="0006585C" w:rsidRPr="00C97FE4" w:rsidRDefault="0006585C" w:rsidP="001E15F2">
      <w:pPr>
        <w:jc w:val="both"/>
        <w:rPr>
          <w:rFonts w:ascii="Times New Roman" w:hAnsi="Times New Roman"/>
          <w:lang w:val="lt-LT"/>
        </w:rPr>
      </w:pPr>
    </w:p>
    <w:p w14:paraId="18E0A961" w14:textId="591A2AA0" w:rsidR="004F6DFE" w:rsidRDefault="007F69FA" w:rsidP="00DB79A8">
      <w:pPr>
        <w:jc w:val="both"/>
        <w:rPr>
          <w:rFonts w:ascii="Times New Roman" w:hAnsi="Times New Roman"/>
          <w:b/>
        </w:rPr>
      </w:pPr>
      <w:r w:rsidRPr="006654C5">
        <w:rPr>
          <w:rFonts w:ascii="Times New Roman" w:hAnsi="Times New Roman"/>
          <w:b/>
        </w:rPr>
        <w:t xml:space="preserve">DĖL </w:t>
      </w:r>
      <w:r w:rsidR="003C7F9D">
        <w:rPr>
          <w:rFonts w:ascii="Times New Roman" w:hAnsi="Times New Roman"/>
          <w:b/>
        </w:rPr>
        <w:t>LIETUVOS RESPUBLIKOS NEVYRIAUS</w:t>
      </w:r>
      <w:r w:rsidR="00CE5C3F">
        <w:rPr>
          <w:rFonts w:ascii="Times New Roman" w:hAnsi="Times New Roman"/>
          <w:b/>
        </w:rPr>
        <w:t>Y</w:t>
      </w:r>
      <w:r w:rsidR="003C7F9D">
        <w:rPr>
          <w:rFonts w:ascii="Times New Roman" w:hAnsi="Times New Roman"/>
          <w:b/>
        </w:rPr>
        <w:t>B</w:t>
      </w:r>
      <w:r w:rsidR="00CE5C3F">
        <w:rPr>
          <w:rFonts w:ascii="Times New Roman" w:hAnsi="Times New Roman"/>
          <w:b/>
        </w:rPr>
        <w:t>I</w:t>
      </w:r>
      <w:r w:rsidR="003C7F9D">
        <w:rPr>
          <w:rFonts w:ascii="Times New Roman" w:hAnsi="Times New Roman"/>
          <w:b/>
        </w:rPr>
        <w:t>NIŲ</w:t>
      </w:r>
      <w:r w:rsidR="00DB79A8">
        <w:rPr>
          <w:rFonts w:ascii="Times New Roman" w:hAnsi="Times New Roman"/>
          <w:b/>
        </w:rPr>
        <w:t xml:space="preserve"> ORGANIZACIJŲ PLĖTROS ĮSTATYMO, </w:t>
      </w:r>
      <w:r w:rsidR="003C7F9D">
        <w:rPr>
          <w:rFonts w:ascii="Times New Roman" w:hAnsi="Times New Roman"/>
          <w:b/>
        </w:rPr>
        <w:t>ASOCIACIJŲ ĮSTATYMO, LABDAROS IR PARAMOS FONDŲ ĮSTATYMO, RELIGINIŲ BENDRUOMENIŲ IR BENDRIJŲ ĮSTATYMO PAKEITIMO IR PAPILDYMO</w:t>
      </w:r>
    </w:p>
    <w:p w14:paraId="7B63B80C" w14:textId="0806D75C" w:rsidR="004F6DFE" w:rsidRDefault="004F6DFE" w:rsidP="00DB79A8">
      <w:pPr>
        <w:jc w:val="both"/>
        <w:rPr>
          <w:rFonts w:ascii="Times New Roman" w:hAnsi="Times New Roman"/>
          <w:sz w:val="22"/>
          <w:lang w:val="lt-LT"/>
        </w:rPr>
      </w:pPr>
    </w:p>
    <w:p w14:paraId="3B988E15" w14:textId="67457827" w:rsidR="003E5F28" w:rsidRPr="00D12D04" w:rsidRDefault="000D3A9E" w:rsidP="00D45F57">
      <w:pPr>
        <w:spacing w:line="360" w:lineRule="auto"/>
        <w:ind w:firstLine="720"/>
        <w:jc w:val="both"/>
        <w:rPr>
          <w:rFonts w:ascii="Times New Roman" w:hAnsi="Times New Roman"/>
          <w:sz w:val="23"/>
          <w:lang w:val="lt-LT"/>
        </w:rPr>
      </w:pPr>
      <w:r w:rsidRPr="00C16F65">
        <w:rPr>
          <w:rFonts w:ascii="Times New Roman" w:hAnsi="Times New Roman"/>
          <w:sz w:val="23"/>
          <w:lang w:val="lt-LT"/>
        </w:rPr>
        <w:t>Atsakydami į Jūsų 2018-06-12</w:t>
      </w:r>
      <w:r w:rsidR="00FC544C" w:rsidRPr="00C16F65">
        <w:rPr>
          <w:rFonts w:ascii="Times New Roman" w:hAnsi="Times New Roman"/>
          <w:sz w:val="23"/>
          <w:lang w:val="lt-LT"/>
        </w:rPr>
        <w:t xml:space="preserve"> raštą Nr. </w:t>
      </w:r>
      <w:r w:rsidR="00FC544C" w:rsidRPr="00C31F9C">
        <w:rPr>
          <w:rFonts w:ascii="Times New Roman" w:hAnsi="Times New Roman"/>
          <w:sz w:val="23"/>
          <w:lang w:val="lt-LT"/>
        </w:rPr>
        <w:t>(11.10-53) SD-</w:t>
      </w:r>
      <w:r w:rsidR="004F1B85" w:rsidRPr="00C31F9C">
        <w:rPr>
          <w:rFonts w:ascii="Times New Roman" w:hAnsi="Times New Roman"/>
          <w:sz w:val="23"/>
          <w:lang w:val="lt-LT"/>
        </w:rPr>
        <w:t xml:space="preserve">1313 „Dėl </w:t>
      </w:r>
      <w:r w:rsidR="00852DE0" w:rsidRPr="00C31F9C">
        <w:rPr>
          <w:rFonts w:ascii="Times New Roman" w:hAnsi="Times New Roman"/>
          <w:sz w:val="23"/>
          <w:lang w:val="lt-LT"/>
        </w:rPr>
        <w:t>Lietuvos Respublikos nevyriausybinių organizacijų plėtros įstatymo</w:t>
      </w:r>
      <w:r w:rsidR="00AA0F8B" w:rsidRPr="00C31F9C">
        <w:rPr>
          <w:rFonts w:ascii="Times New Roman" w:hAnsi="Times New Roman"/>
          <w:sz w:val="23"/>
          <w:lang w:val="lt-LT"/>
        </w:rPr>
        <w:t xml:space="preserve"> Nr.XII-717 pakeitimo, Lietuvos </w:t>
      </w:r>
      <w:r w:rsidR="00852DE0" w:rsidRPr="00D7603D">
        <w:rPr>
          <w:rFonts w:ascii="Times New Roman" w:hAnsi="Times New Roman"/>
          <w:sz w:val="23"/>
          <w:lang w:val="lt-LT"/>
        </w:rPr>
        <w:t xml:space="preserve">Respublikos asociacijų įstatymo Nr. IX-1969 10 straipsnio pakeitimo, </w:t>
      </w:r>
      <w:r w:rsidR="007E47CF" w:rsidRPr="00D12D04">
        <w:rPr>
          <w:rFonts w:ascii="Times New Roman" w:hAnsi="Times New Roman"/>
          <w:sz w:val="23"/>
          <w:lang w:val="lt-LT"/>
        </w:rPr>
        <w:t>Lietuvos Respublikos asociacijų įstatymo Nr. IX-1969 8,</w:t>
      </w:r>
      <w:r w:rsidR="00CE2DF6" w:rsidRPr="00D12D04">
        <w:rPr>
          <w:rFonts w:ascii="Times New Roman" w:hAnsi="Times New Roman"/>
          <w:sz w:val="23"/>
          <w:lang w:val="lt-LT"/>
        </w:rPr>
        <w:t xml:space="preserve"> </w:t>
      </w:r>
      <w:r w:rsidR="007E47CF" w:rsidRPr="00D12D04">
        <w:rPr>
          <w:rFonts w:ascii="Times New Roman" w:hAnsi="Times New Roman"/>
          <w:sz w:val="23"/>
          <w:lang w:val="lt-LT"/>
        </w:rPr>
        <w:t>9, 10, 16 ir 17 straipsnių pakeitimo ir įstatymo papildymo</w:t>
      </w:r>
      <w:r w:rsidR="00AA0F8B" w:rsidRPr="00D12D04">
        <w:rPr>
          <w:rFonts w:ascii="Times New Roman" w:hAnsi="Times New Roman"/>
          <w:sz w:val="23"/>
          <w:lang w:val="lt-LT"/>
        </w:rPr>
        <w:t xml:space="preserve"> </w:t>
      </w:r>
      <w:r w:rsidR="00AA0F8B" w:rsidRPr="00D12D04">
        <w:rPr>
          <w:rFonts w:ascii="Times New Roman" w:hAnsi="Times New Roman"/>
          <w:bCs/>
          <w:sz w:val="23"/>
          <w:lang w:val="lt-LT"/>
        </w:rPr>
        <w:t>10</w:t>
      </w:r>
      <w:r w:rsidR="00AA0F8B" w:rsidRPr="00D12D04">
        <w:rPr>
          <w:rFonts w:ascii="Times New Roman" w:hAnsi="Times New Roman"/>
          <w:bCs/>
          <w:sz w:val="23"/>
          <w:vertAlign w:val="superscript"/>
          <w:lang w:val="lt-LT"/>
        </w:rPr>
        <w:t xml:space="preserve">1 </w:t>
      </w:r>
      <w:r w:rsidR="00CE2DF6" w:rsidRPr="00D12D04">
        <w:rPr>
          <w:rFonts w:ascii="Times New Roman" w:hAnsi="Times New Roman"/>
          <w:bCs/>
          <w:sz w:val="23"/>
          <w:lang w:val="lt-LT"/>
        </w:rPr>
        <w:t>straipsni</w:t>
      </w:r>
      <w:r w:rsidR="00CE5C3F" w:rsidRPr="00D12D04">
        <w:rPr>
          <w:rFonts w:ascii="Times New Roman" w:hAnsi="Times New Roman"/>
          <w:bCs/>
          <w:sz w:val="23"/>
          <w:lang w:val="lt-LT"/>
        </w:rPr>
        <w:t>u</w:t>
      </w:r>
      <w:r w:rsidR="00CE2DF6" w:rsidRPr="00D12D04">
        <w:rPr>
          <w:rFonts w:ascii="Times New Roman" w:hAnsi="Times New Roman"/>
          <w:bCs/>
          <w:sz w:val="23"/>
          <w:lang w:val="lt-LT"/>
        </w:rPr>
        <w:t xml:space="preserve"> įstatymo Nr. XIII-1179 3 straipsnio pakeitimo, Lietuvos Respublikos labdaros ir paramos fondų įstatymo Nr. I-1232 papildymo 6</w:t>
      </w:r>
      <w:r w:rsidR="00CE2DF6" w:rsidRPr="00D12D04">
        <w:rPr>
          <w:rFonts w:ascii="Times New Roman" w:hAnsi="Times New Roman"/>
          <w:bCs/>
          <w:sz w:val="23"/>
          <w:vertAlign w:val="superscript"/>
          <w:lang w:val="lt-LT"/>
        </w:rPr>
        <w:t xml:space="preserve">1 </w:t>
      </w:r>
      <w:r w:rsidR="00CE2DF6" w:rsidRPr="00D12D04">
        <w:rPr>
          <w:rFonts w:ascii="Times New Roman" w:hAnsi="Times New Roman"/>
          <w:bCs/>
          <w:sz w:val="23"/>
          <w:lang w:val="lt-LT"/>
        </w:rPr>
        <w:t>straipsniu, Lietuvos Respublikos religinių bendruomenių ir bendrijų įstatymo Nr. I-1057 papildymo 7</w:t>
      </w:r>
      <w:r w:rsidR="00CE2DF6" w:rsidRPr="00D12D04">
        <w:rPr>
          <w:rFonts w:ascii="Times New Roman" w:hAnsi="Times New Roman"/>
          <w:bCs/>
          <w:sz w:val="23"/>
          <w:vertAlign w:val="superscript"/>
          <w:lang w:val="lt-LT"/>
        </w:rPr>
        <w:t>1</w:t>
      </w:r>
      <w:r w:rsidR="00CE2DF6" w:rsidRPr="00D12D04">
        <w:rPr>
          <w:rFonts w:ascii="Times New Roman" w:hAnsi="Times New Roman"/>
          <w:bCs/>
          <w:sz w:val="23"/>
          <w:lang w:val="lt-LT"/>
        </w:rPr>
        <w:t xml:space="preserve"> straipsniu įstatymų projektų</w:t>
      </w:r>
      <w:r w:rsidR="00CE5C3F" w:rsidRPr="00D12D04">
        <w:rPr>
          <w:rFonts w:ascii="Times New Roman" w:hAnsi="Times New Roman"/>
          <w:bCs/>
          <w:sz w:val="23"/>
          <w:lang w:val="lt-LT"/>
        </w:rPr>
        <w:t>“</w:t>
      </w:r>
      <w:r w:rsidR="002C38F6" w:rsidRPr="00D12D04">
        <w:rPr>
          <w:rFonts w:ascii="Times New Roman" w:hAnsi="Times New Roman"/>
          <w:bCs/>
          <w:sz w:val="23"/>
          <w:lang w:val="lt-LT"/>
        </w:rPr>
        <w:t xml:space="preserve"> </w:t>
      </w:r>
      <w:r w:rsidR="00FC544C" w:rsidRPr="00D12D04">
        <w:rPr>
          <w:rFonts w:ascii="Times New Roman" w:hAnsi="Times New Roman"/>
          <w:sz w:val="23"/>
          <w:lang w:val="lt-LT"/>
        </w:rPr>
        <w:t xml:space="preserve">informuojame, kad </w:t>
      </w:r>
      <w:bookmarkStart w:id="4" w:name="_Hlk509222206"/>
      <w:r w:rsidR="00FC544C" w:rsidRPr="00D12D04">
        <w:rPr>
          <w:rFonts w:ascii="Times New Roman" w:hAnsi="Times New Roman"/>
          <w:sz w:val="23"/>
          <w:lang w:val="lt-LT"/>
        </w:rPr>
        <w:t>Žemės ūkio ministerij</w:t>
      </w:r>
      <w:r w:rsidR="008F064C" w:rsidRPr="00D12D04">
        <w:rPr>
          <w:rFonts w:ascii="Times New Roman" w:hAnsi="Times New Roman"/>
          <w:sz w:val="23"/>
          <w:lang w:val="lt-LT"/>
        </w:rPr>
        <w:t>a (toliau – Ministerija)</w:t>
      </w:r>
      <w:r w:rsidR="00CE5C3F" w:rsidRPr="00D12D04">
        <w:rPr>
          <w:rFonts w:ascii="Times New Roman" w:hAnsi="Times New Roman"/>
          <w:sz w:val="23"/>
          <w:lang w:val="lt-LT"/>
        </w:rPr>
        <w:t>,</w:t>
      </w:r>
      <w:r w:rsidR="008F064C" w:rsidRPr="00D12D04">
        <w:rPr>
          <w:rFonts w:ascii="Times New Roman" w:hAnsi="Times New Roman"/>
          <w:sz w:val="23"/>
          <w:lang w:val="lt-LT"/>
        </w:rPr>
        <w:t xml:space="preserve"> </w:t>
      </w:r>
      <w:r w:rsidR="001908C3" w:rsidRPr="00D12D04">
        <w:rPr>
          <w:rFonts w:ascii="Times New Roman" w:hAnsi="Times New Roman"/>
          <w:sz w:val="23"/>
          <w:lang w:val="lt-LT"/>
        </w:rPr>
        <w:t>išnagrinėjusi</w:t>
      </w:r>
      <w:r w:rsidR="00DF1B03" w:rsidRPr="00D12D04">
        <w:rPr>
          <w:rFonts w:ascii="Times New Roman" w:hAnsi="Times New Roman"/>
          <w:sz w:val="23"/>
          <w:lang w:val="lt-LT"/>
        </w:rPr>
        <w:t xml:space="preserve"> parengtus</w:t>
      </w:r>
      <w:r w:rsidR="001908C3" w:rsidRPr="00D12D04">
        <w:rPr>
          <w:rFonts w:ascii="Times New Roman" w:hAnsi="Times New Roman"/>
          <w:sz w:val="23"/>
          <w:lang w:val="lt-LT"/>
        </w:rPr>
        <w:t xml:space="preserve"> įstatymų projektus </w:t>
      </w:r>
      <w:r w:rsidR="007724B2" w:rsidRPr="00D12D04">
        <w:rPr>
          <w:rFonts w:ascii="Times New Roman" w:hAnsi="Times New Roman"/>
          <w:sz w:val="23"/>
          <w:lang w:val="lt-LT"/>
        </w:rPr>
        <w:t xml:space="preserve">pagal kompetenciją </w:t>
      </w:r>
      <w:r w:rsidR="00DF1B03" w:rsidRPr="00D12D04">
        <w:rPr>
          <w:rFonts w:ascii="Times New Roman" w:hAnsi="Times New Roman"/>
          <w:sz w:val="23"/>
          <w:lang w:val="lt-LT"/>
        </w:rPr>
        <w:t xml:space="preserve">teikia pastabas </w:t>
      </w:r>
      <w:r w:rsidR="00CE5C3F" w:rsidRPr="00D12D04">
        <w:rPr>
          <w:rFonts w:ascii="Times New Roman" w:hAnsi="Times New Roman"/>
          <w:sz w:val="23"/>
          <w:lang w:val="lt-LT"/>
        </w:rPr>
        <w:t>d</w:t>
      </w:r>
      <w:r w:rsidR="00DF1B03" w:rsidRPr="00D12D04">
        <w:rPr>
          <w:rFonts w:ascii="Times New Roman" w:hAnsi="Times New Roman"/>
          <w:sz w:val="23"/>
          <w:lang w:val="lt-LT"/>
        </w:rPr>
        <w:t>ėl Lietuvos Respublikos nevyriausybinių organizacijų plėtros įstatymo Nr.</w:t>
      </w:r>
      <w:r w:rsidR="00CE5C3F" w:rsidRPr="00D12D04">
        <w:rPr>
          <w:rFonts w:ascii="Times New Roman" w:hAnsi="Times New Roman"/>
          <w:sz w:val="23"/>
          <w:lang w:val="lt-LT"/>
        </w:rPr>
        <w:t xml:space="preserve"> </w:t>
      </w:r>
      <w:r w:rsidR="00DF1B03" w:rsidRPr="00D12D04">
        <w:rPr>
          <w:rFonts w:ascii="Times New Roman" w:hAnsi="Times New Roman"/>
          <w:sz w:val="23"/>
          <w:lang w:val="lt-LT"/>
        </w:rPr>
        <w:t>XII-717 pakeitimo</w:t>
      </w:r>
      <w:r w:rsidR="00CE5C3F" w:rsidRPr="00D12D04">
        <w:rPr>
          <w:rFonts w:ascii="Times New Roman" w:hAnsi="Times New Roman"/>
          <w:sz w:val="23"/>
          <w:lang w:val="lt-LT"/>
        </w:rPr>
        <w:t xml:space="preserve"> projekto</w:t>
      </w:r>
      <w:r w:rsidR="003E5F28" w:rsidRPr="00D12D04">
        <w:rPr>
          <w:rFonts w:ascii="Times New Roman" w:hAnsi="Times New Roman"/>
          <w:sz w:val="23"/>
          <w:lang w:val="lt-LT"/>
        </w:rPr>
        <w:t xml:space="preserve"> (toliau – Įstatymo projektas). </w:t>
      </w:r>
      <w:bookmarkEnd w:id="4"/>
    </w:p>
    <w:p w14:paraId="668FA0DB" w14:textId="1EF999CE" w:rsidR="001908C3" w:rsidRPr="00D12D04" w:rsidRDefault="00B26AD1" w:rsidP="004F3E66">
      <w:pPr>
        <w:spacing w:line="360" w:lineRule="auto"/>
        <w:ind w:firstLine="720"/>
        <w:jc w:val="both"/>
        <w:rPr>
          <w:rFonts w:ascii="Times New Roman" w:hAnsi="Times New Roman"/>
          <w:sz w:val="23"/>
          <w:lang w:val="lt-LT"/>
        </w:rPr>
      </w:pPr>
      <w:r w:rsidRPr="00D12D04">
        <w:rPr>
          <w:rFonts w:ascii="Times New Roman" w:hAnsi="Times New Roman"/>
          <w:sz w:val="23"/>
          <w:lang w:val="lt-LT"/>
        </w:rPr>
        <w:t xml:space="preserve">Įstatymo </w:t>
      </w:r>
      <w:r w:rsidR="001908C3" w:rsidRPr="00D12D04">
        <w:rPr>
          <w:rFonts w:ascii="Times New Roman" w:hAnsi="Times New Roman"/>
          <w:sz w:val="23"/>
          <w:lang w:val="lt-LT"/>
        </w:rPr>
        <w:t>projekte naujai apibrėžiama nevyriausybinė organizacija. Ministerija, įgyvendindama Lietuvos kaimo plėtros 2014–2020 metų progr</w:t>
      </w:r>
      <w:r w:rsidR="00F85180" w:rsidRPr="00D12D04">
        <w:rPr>
          <w:rFonts w:ascii="Times New Roman" w:hAnsi="Times New Roman"/>
          <w:sz w:val="23"/>
          <w:lang w:val="lt-LT"/>
        </w:rPr>
        <w:t>amą (toliau – KPP), finansuojamą</w:t>
      </w:r>
      <w:r w:rsidR="001908C3" w:rsidRPr="00D12D04">
        <w:rPr>
          <w:rFonts w:ascii="Times New Roman" w:hAnsi="Times New Roman"/>
          <w:sz w:val="23"/>
          <w:lang w:val="lt-LT"/>
        </w:rPr>
        <w:t xml:space="preserve"> Europos žemės ūkio fondo kaimo plėtrai ir nacionalinio biudžeto lėšomis, param</w:t>
      </w:r>
      <w:r w:rsidR="00CE5C3F" w:rsidRPr="00D12D04">
        <w:rPr>
          <w:rFonts w:ascii="Times New Roman" w:hAnsi="Times New Roman"/>
          <w:sz w:val="23"/>
          <w:lang w:val="lt-LT"/>
        </w:rPr>
        <w:t>ą</w:t>
      </w:r>
      <w:r w:rsidR="001908C3" w:rsidRPr="00D12D04">
        <w:rPr>
          <w:rFonts w:ascii="Times New Roman" w:hAnsi="Times New Roman"/>
          <w:sz w:val="23"/>
          <w:lang w:val="lt-LT"/>
        </w:rPr>
        <w:t xml:space="preserve"> teikia ir vietos veiklos grupėms (VVG) vietos plėtros strategijoms ir teritorinio bei tarptautinio bendradarbiavimo projektams kaimiškosiose vietovėse įgyvendinti. KPP 8 skyriaus</w:t>
      </w:r>
      <w:r w:rsidR="00F879C0" w:rsidRPr="00D12D04">
        <w:rPr>
          <w:rFonts w:ascii="Times New Roman" w:hAnsi="Times New Roman"/>
          <w:sz w:val="23"/>
          <w:lang w:val="lt-LT"/>
        </w:rPr>
        <w:t xml:space="preserve"> „Atrinktų priemonių aprašymas“ </w:t>
      </w:r>
      <w:r w:rsidR="001908C3" w:rsidRPr="00D12D04">
        <w:rPr>
          <w:rFonts w:ascii="Times New Roman" w:hAnsi="Times New Roman"/>
          <w:sz w:val="23"/>
          <w:lang w:val="lt-LT"/>
        </w:rPr>
        <w:t>8.2.16 dalies „M19. Parama LEADER programos vietos plėtrai (bendruomenės inicijuota vietos plėtra (BIVP)) (Reglamento (ES) Nr. 1303/2013 35 straipsnis)</w:t>
      </w:r>
      <w:r w:rsidR="001A3C56" w:rsidRPr="00D12D04">
        <w:rPr>
          <w:rFonts w:ascii="Times New Roman" w:hAnsi="Times New Roman"/>
          <w:sz w:val="23"/>
          <w:lang w:val="lt-LT"/>
        </w:rPr>
        <w:t xml:space="preserve">“ </w:t>
      </w:r>
      <w:r w:rsidR="001908C3" w:rsidRPr="00D12D04">
        <w:rPr>
          <w:rFonts w:ascii="Times New Roman" w:hAnsi="Times New Roman"/>
          <w:sz w:val="23"/>
          <w:lang w:val="lt-LT"/>
        </w:rPr>
        <w:t xml:space="preserve">8.2.16.2 papunktyje „Bendrosios priemonės aprašymas, įskaitant jos intervencinių veiksmų loginį pagrindą, jos indėlį į tikslines sritis ir siekiant bendrųjų tikslų“ yra pateikiama VVG, kurios gali kreiptis paramos ir įgyvendinti LEADER priemones, finansuojamas pagal KPP, apibrėžtis </w:t>
      </w:r>
      <w:r w:rsidR="001908C3" w:rsidRPr="00D12D04">
        <w:rPr>
          <w:rFonts w:ascii="Times New Roman" w:hAnsi="Times New Roman"/>
          <w:i/>
          <w:sz w:val="23"/>
          <w:lang w:val="lt-LT"/>
        </w:rPr>
        <w:t xml:space="preserve">„BIVP įgyvendinamas per VVG – viešuosius juridinius asmenis, įsteigtus pagal Lietuvos </w:t>
      </w:r>
      <w:r w:rsidR="001908C3" w:rsidRPr="00D12D04">
        <w:rPr>
          <w:rFonts w:ascii="Times New Roman" w:hAnsi="Times New Roman"/>
          <w:i/>
          <w:sz w:val="23"/>
          <w:lang w:val="lt-LT"/>
        </w:rPr>
        <w:lastRenderedPageBreak/>
        <w:t xml:space="preserve">Respublikos asociacijų įstatymą </w:t>
      </w:r>
      <w:r w:rsidR="001908C3" w:rsidRPr="00D12D04">
        <w:rPr>
          <w:rFonts w:ascii="Times New Roman" w:hAnsi="Times New Roman"/>
          <w:b/>
          <w:sz w:val="23"/>
          <w:lang w:val="lt-LT"/>
        </w:rPr>
        <w:t>ir pripažįstamus nevyriausybinėmis organizacijomis (NVO) pagal Lietuvos Respublikos nevyriausybinių organizacijų plėtros įstatymą</w:t>
      </w:r>
      <w:r w:rsidR="001908C3" w:rsidRPr="00D12D04">
        <w:rPr>
          <w:rFonts w:ascii="Times New Roman" w:hAnsi="Times New Roman"/>
          <w:sz w:val="23"/>
          <w:lang w:val="lt-LT"/>
        </w:rPr>
        <w:t>. VVG veikla grindžiama partneryste tarp 3 se</w:t>
      </w:r>
      <w:r w:rsidR="001908C3" w:rsidRPr="00D12D04">
        <w:rPr>
          <w:rFonts w:ascii="Times New Roman" w:hAnsi="Times New Roman"/>
          <w:i/>
          <w:sz w:val="23"/>
          <w:lang w:val="lt-LT"/>
        </w:rPr>
        <w:t xml:space="preserve">ktorių: pilietinės visuomenės, verslo ir vietos valdžios, kai sprendimų priėmimo lygiu (VVG valdymo organe) balsavimo teisės paskirstomos taip, kad būtų užtikrinta, jog nė viena VVG partnerystės šalis (pilietinė visuomenė, verslas ir vietos valdžia) neturi daugiau nei 49 proc. balsavimo teisių“. </w:t>
      </w:r>
      <w:r w:rsidR="001908C3" w:rsidRPr="00D12D04">
        <w:rPr>
          <w:rFonts w:ascii="Times New Roman" w:hAnsi="Times New Roman"/>
          <w:sz w:val="23"/>
          <w:lang w:val="lt-LT"/>
        </w:rPr>
        <w:t xml:space="preserve">Pagal Įstatymo projekte pateikiamą nevyriausybinės organizacijos apibrėžtį didžioji dalis kaimo vietovių arba </w:t>
      </w:r>
      <w:proofErr w:type="spellStart"/>
      <w:r w:rsidR="001908C3" w:rsidRPr="00D12D04">
        <w:rPr>
          <w:rFonts w:ascii="Times New Roman" w:hAnsi="Times New Roman"/>
          <w:sz w:val="23"/>
          <w:lang w:val="lt-LT"/>
        </w:rPr>
        <w:t>dvisektorių</w:t>
      </w:r>
      <w:proofErr w:type="spellEnd"/>
      <w:r w:rsidR="001908C3" w:rsidRPr="00D12D04">
        <w:rPr>
          <w:rFonts w:ascii="Times New Roman" w:hAnsi="Times New Roman"/>
          <w:sz w:val="23"/>
          <w:lang w:val="lt-LT"/>
        </w:rPr>
        <w:t xml:space="preserve"> VVG neatitiks dalies reikalavimo, t. y. nebeatitiks NVO statuso.</w:t>
      </w:r>
    </w:p>
    <w:p w14:paraId="2F1ADA9C" w14:textId="7A4F9F98" w:rsidR="001908C3" w:rsidRPr="00D12D04" w:rsidRDefault="001908C3" w:rsidP="00B26AD1">
      <w:pPr>
        <w:spacing w:line="360" w:lineRule="auto"/>
        <w:ind w:firstLine="720"/>
        <w:jc w:val="both"/>
        <w:rPr>
          <w:rFonts w:ascii="Times New Roman" w:hAnsi="Times New Roman"/>
          <w:sz w:val="23"/>
          <w:lang w:val="lt-LT"/>
        </w:rPr>
      </w:pPr>
      <w:r w:rsidRPr="00D12D04">
        <w:rPr>
          <w:rFonts w:ascii="Times New Roman" w:hAnsi="Times New Roman"/>
          <w:sz w:val="23"/>
          <w:lang w:val="lt-LT"/>
        </w:rPr>
        <w:t>VVG, gavusioms paramą pagal KPP</w:t>
      </w:r>
      <w:r w:rsidR="00CE5C3F" w:rsidRPr="00D12D04">
        <w:rPr>
          <w:rFonts w:ascii="Times New Roman" w:hAnsi="Times New Roman"/>
          <w:sz w:val="23"/>
          <w:lang w:val="lt-LT"/>
        </w:rPr>
        <w:t>,</w:t>
      </w:r>
      <w:r w:rsidRPr="00D12D04">
        <w:rPr>
          <w:rFonts w:ascii="Times New Roman" w:hAnsi="Times New Roman"/>
          <w:sz w:val="23"/>
          <w:lang w:val="lt-LT"/>
        </w:rPr>
        <w:t xml:space="preserve"> yra keliamas reikalavimas tinkamumo sąlygas atitikti paraiškų paramai gauti pateikimo metu ir jų laikymąsi užtikrinti visą projektų įgyvendinimo ir kontrolės laikotarpį (jeigu toks yra taikomas). VVG atveju, vietos plėtros strategijos yra įgyvendinamos iki 2023 m., todėl atitiktį tinkamumo sąlygoms jos turi užtikrinti iki 2023 m., priešingu atveju joms gr</w:t>
      </w:r>
      <w:r w:rsidR="00CE5C3F" w:rsidRPr="00D12D04">
        <w:rPr>
          <w:rFonts w:ascii="Times New Roman" w:hAnsi="Times New Roman"/>
          <w:sz w:val="23"/>
          <w:lang w:val="lt-LT"/>
        </w:rPr>
        <w:t>e</w:t>
      </w:r>
      <w:r w:rsidRPr="00D12D04">
        <w:rPr>
          <w:rFonts w:ascii="Times New Roman" w:hAnsi="Times New Roman"/>
          <w:sz w:val="23"/>
          <w:lang w:val="lt-LT"/>
        </w:rPr>
        <w:t xml:space="preserve">sią sankcijos. </w:t>
      </w:r>
    </w:p>
    <w:p w14:paraId="34415F79" w14:textId="38F7C69B" w:rsidR="001908C3" w:rsidRPr="00D12D04" w:rsidRDefault="001908C3" w:rsidP="00B26AD1">
      <w:pPr>
        <w:spacing w:line="360" w:lineRule="auto"/>
        <w:ind w:firstLine="720"/>
        <w:jc w:val="both"/>
        <w:rPr>
          <w:rFonts w:ascii="Times New Roman" w:hAnsi="Times New Roman"/>
          <w:sz w:val="23"/>
          <w:lang w:val="lt-LT"/>
        </w:rPr>
      </w:pPr>
      <w:r w:rsidRPr="00D12D04">
        <w:rPr>
          <w:rFonts w:ascii="Times New Roman" w:hAnsi="Times New Roman"/>
          <w:sz w:val="23"/>
          <w:lang w:val="lt-LT"/>
        </w:rPr>
        <w:t>Pažymėtina, k</w:t>
      </w:r>
      <w:r w:rsidR="007552E9" w:rsidRPr="00D12D04">
        <w:rPr>
          <w:rFonts w:ascii="Times New Roman" w:hAnsi="Times New Roman"/>
          <w:sz w:val="23"/>
          <w:lang w:val="lt-LT"/>
        </w:rPr>
        <w:t>ad VVG, pagal Europos Parlamento</w:t>
      </w:r>
      <w:r w:rsidRPr="00D12D04">
        <w:rPr>
          <w:rFonts w:ascii="Times New Roman" w:hAnsi="Times New Roman"/>
          <w:sz w:val="23"/>
          <w:lang w:val="lt-LT"/>
        </w:rPr>
        <w:t xml:space="preserve"> ir Tarybos reglamento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II skyriaus 32 str. 2 dalies b punkte apibrėžta</w:t>
      </w:r>
      <w:r w:rsidR="009D0070" w:rsidRPr="00D12D04">
        <w:rPr>
          <w:rFonts w:ascii="Times New Roman" w:hAnsi="Times New Roman"/>
          <w:sz w:val="23"/>
          <w:lang w:val="lt-LT"/>
        </w:rPr>
        <w:t>,</w:t>
      </w:r>
      <w:r w:rsidRPr="00D12D04">
        <w:rPr>
          <w:rFonts w:ascii="Times New Roman" w:hAnsi="Times New Roman"/>
          <w:sz w:val="23"/>
          <w:lang w:val="lt-LT"/>
        </w:rPr>
        <w:t xml:space="preserve"> kokia</w:t>
      </w:r>
      <w:r w:rsidR="009D0070" w:rsidRPr="00D12D04">
        <w:rPr>
          <w:rFonts w:ascii="Times New Roman" w:hAnsi="Times New Roman"/>
          <w:sz w:val="23"/>
          <w:lang w:val="lt-LT"/>
        </w:rPr>
        <w:t>i</w:t>
      </w:r>
      <w:r w:rsidRPr="00D12D04">
        <w:rPr>
          <w:rFonts w:ascii="Times New Roman" w:hAnsi="Times New Roman"/>
          <w:sz w:val="23"/>
          <w:lang w:val="lt-LT"/>
        </w:rPr>
        <w:t>s principais sudaryta vietos veiklos grupė gali būti tinkama įgyvendinti bendruomenių inicijuotą vietos plėtrą, pirmiausia atkreipiamas dėmesys, kad turi būti užtikrinta partnerystė tarp skirtingų sektorių, taip pat užtikrinama pusiausvyr</w:t>
      </w:r>
      <w:r w:rsidR="00D7603D" w:rsidRPr="00D12D04">
        <w:rPr>
          <w:rFonts w:ascii="Times New Roman" w:hAnsi="Times New Roman"/>
          <w:sz w:val="23"/>
          <w:lang w:val="lt-LT"/>
        </w:rPr>
        <w:t>a</w:t>
      </w:r>
      <w:r w:rsidRPr="00D12D04">
        <w:rPr>
          <w:rFonts w:ascii="Times New Roman" w:hAnsi="Times New Roman"/>
          <w:sz w:val="23"/>
          <w:lang w:val="lt-LT"/>
        </w:rPr>
        <w:t xml:space="preserve"> sprendimų priėmimo lygmen</w:t>
      </w:r>
      <w:r w:rsidR="009D0070" w:rsidRPr="00D12D04">
        <w:rPr>
          <w:rFonts w:ascii="Times New Roman" w:hAnsi="Times New Roman"/>
          <w:sz w:val="23"/>
          <w:lang w:val="lt-LT"/>
        </w:rPr>
        <w:t>iu</w:t>
      </w:r>
      <w:r w:rsidRPr="00D12D04">
        <w:rPr>
          <w:rFonts w:ascii="Times New Roman" w:hAnsi="Times New Roman"/>
          <w:sz w:val="23"/>
          <w:lang w:val="lt-LT"/>
        </w:rPr>
        <w:t>.</w:t>
      </w:r>
      <w:r w:rsidR="00287DE0" w:rsidRPr="00D12D04">
        <w:rPr>
          <w:rFonts w:ascii="Times New Roman" w:hAnsi="Times New Roman"/>
          <w:sz w:val="23"/>
          <w:lang w:val="lt-LT"/>
        </w:rPr>
        <w:t xml:space="preserve"> Pagal šį reglamentą Lie</w:t>
      </w:r>
      <w:r w:rsidR="00640E7C">
        <w:rPr>
          <w:rFonts w:ascii="Times New Roman" w:hAnsi="Times New Roman"/>
          <w:sz w:val="23"/>
          <w:lang w:val="lt-LT"/>
        </w:rPr>
        <w:t xml:space="preserve">tuvoje veikia ne tik kaimo VVG, </w:t>
      </w:r>
      <w:proofErr w:type="spellStart"/>
      <w:r w:rsidR="00640E7C">
        <w:rPr>
          <w:rFonts w:ascii="Times New Roman" w:hAnsi="Times New Roman"/>
          <w:sz w:val="23"/>
          <w:lang w:val="lt-LT"/>
        </w:rPr>
        <w:t>dvisektorės</w:t>
      </w:r>
      <w:proofErr w:type="spellEnd"/>
      <w:r w:rsidR="00640E7C">
        <w:rPr>
          <w:rFonts w:ascii="Times New Roman" w:hAnsi="Times New Roman"/>
          <w:sz w:val="23"/>
          <w:lang w:val="lt-LT"/>
        </w:rPr>
        <w:t xml:space="preserve">, bet ir </w:t>
      </w:r>
      <w:r w:rsidR="00287DE0" w:rsidRPr="00D12D04">
        <w:rPr>
          <w:rFonts w:ascii="Times New Roman" w:hAnsi="Times New Roman"/>
          <w:sz w:val="23"/>
          <w:lang w:val="lt-LT"/>
        </w:rPr>
        <w:t>žuvininkystės</w:t>
      </w:r>
      <w:r w:rsidR="0007629D" w:rsidRPr="00D12D04">
        <w:rPr>
          <w:rFonts w:ascii="Times New Roman" w:hAnsi="Times New Roman"/>
          <w:sz w:val="23"/>
          <w:lang w:val="lt-LT"/>
        </w:rPr>
        <w:t xml:space="preserve"> regionų</w:t>
      </w:r>
      <w:r w:rsidR="00640E7C">
        <w:rPr>
          <w:rFonts w:ascii="Times New Roman" w:hAnsi="Times New Roman"/>
          <w:sz w:val="23"/>
          <w:lang w:val="lt-LT"/>
        </w:rPr>
        <w:t xml:space="preserve"> bei miestų VVG.</w:t>
      </w:r>
    </w:p>
    <w:p w14:paraId="4AF885C4" w14:textId="1CB5B53E" w:rsidR="001908C3" w:rsidRPr="00D12D04" w:rsidRDefault="001908C3" w:rsidP="00B26AD1">
      <w:pPr>
        <w:spacing w:line="360" w:lineRule="auto"/>
        <w:ind w:firstLine="720"/>
        <w:jc w:val="both"/>
        <w:rPr>
          <w:rFonts w:ascii="Times New Roman" w:hAnsi="Times New Roman"/>
          <w:sz w:val="23"/>
          <w:lang w:val="lt-LT"/>
        </w:rPr>
      </w:pPr>
      <w:r w:rsidRPr="00D12D04">
        <w:rPr>
          <w:rFonts w:ascii="Times New Roman" w:hAnsi="Times New Roman"/>
          <w:sz w:val="23"/>
          <w:lang w:val="lt-LT"/>
        </w:rPr>
        <w:t>Atkreiptinas dėmesys, kad VVG narėmis dažniausiu atveju būna įvairios kitos organizacijos, įskaitant saviv</w:t>
      </w:r>
      <w:r w:rsidR="007552E9" w:rsidRPr="00D12D04">
        <w:rPr>
          <w:rFonts w:ascii="Times New Roman" w:hAnsi="Times New Roman"/>
          <w:sz w:val="23"/>
          <w:lang w:val="lt-LT"/>
        </w:rPr>
        <w:t>aldybę ir verslo subjektus. Šie juridiniai asmenys atstovaujami</w:t>
      </w:r>
      <w:r w:rsidRPr="00D12D04">
        <w:rPr>
          <w:rFonts w:ascii="Times New Roman" w:hAnsi="Times New Roman"/>
          <w:sz w:val="23"/>
          <w:lang w:val="lt-LT"/>
        </w:rPr>
        <w:t xml:space="preserve"> per skirtus fizinius asmenis, tačiau VVG nariais laikomi judriniai asmenys. Kitų juridinių asmenų dalyvavimas VVG veikloje narių teisėmis su balso teise užtikrina didesnį skaidrumą, viešumą, informacijos prieinamumą, galimybių žinomumą ir kt. Tuo tarpu fizinis asmuo kaip atstovas gali atstovauti tik pats sa</w:t>
      </w:r>
      <w:r w:rsidR="00D7603D" w:rsidRPr="00D12D04">
        <w:rPr>
          <w:rFonts w:ascii="Times New Roman" w:hAnsi="Times New Roman"/>
          <w:sz w:val="23"/>
          <w:lang w:val="lt-LT"/>
        </w:rPr>
        <w:t>u</w:t>
      </w:r>
      <w:r w:rsidRPr="00D12D04">
        <w:rPr>
          <w:rFonts w:ascii="Times New Roman" w:hAnsi="Times New Roman"/>
          <w:sz w:val="23"/>
          <w:lang w:val="lt-LT"/>
        </w:rPr>
        <w:t xml:space="preserve"> asmeniškai, o tai prieštarauja </w:t>
      </w:r>
      <w:r w:rsidR="00C31F9C" w:rsidRPr="00D12D04">
        <w:rPr>
          <w:rFonts w:ascii="Times New Roman" w:hAnsi="Times New Roman"/>
          <w:sz w:val="23"/>
          <w:lang w:val="lt-LT"/>
        </w:rPr>
        <w:t>pagrindinei</w:t>
      </w:r>
      <w:r w:rsidRPr="00D12D04">
        <w:rPr>
          <w:rFonts w:ascii="Times New Roman" w:hAnsi="Times New Roman"/>
          <w:sz w:val="23"/>
          <w:lang w:val="lt-LT"/>
        </w:rPr>
        <w:t xml:space="preserve"> VVG veiklos ir LEADER idėjai. </w:t>
      </w:r>
    </w:p>
    <w:p w14:paraId="6E25B508" w14:textId="31C61BCF" w:rsidR="002971EA" w:rsidRPr="00D12D04" w:rsidRDefault="00640E7C" w:rsidP="00874B8C">
      <w:pPr>
        <w:spacing w:line="360" w:lineRule="auto"/>
        <w:ind w:firstLine="720"/>
        <w:jc w:val="both"/>
        <w:rPr>
          <w:rFonts w:ascii="Times New Roman" w:hAnsi="Times New Roman"/>
          <w:szCs w:val="24"/>
          <w:lang w:val="lt-LT"/>
        </w:rPr>
      </w:pPr>
      <w:r w:rsidRPr="00D12D04">
        <w:rPr>
          <w:rFonts w:ascii="Times New Roman" w:hAnsi="Times New Roman"/>
          <w:sz w:val="23"/>
          <w:lang w:val="lt-LT"/>
        </w:rPr>
        <w:t xml:space="preserve">Be to, VVG, praradusioms NVO statusą, bus užkirstas kelias dalyvauti kituose konkursuose, finansuojamuose ne KPP lėšomis, </w:t>
      </w:r>
      <w:r>
        <w:rPr>
          <w:rFonts w:ascii="Times New Roman" w:hAnsi="Times New Roman"/>
          <w:sz w:val="23"/>
          <w:lang w:val="lt-LT"/>
        </w:rPr>
        <w:t xml:space="preserve">o ši galimybė, siekiant paramos fondų suderinamumo, buvo suderinta tarp institucijų ir įtvirtinta Lietuvos Respublikos partnerystės sutartyje, kuri patvirtinta Europos Komisijos 2014 </w:t>
      </w:r>
      <w:r w:rsidR="007A6855">
        <w:rPr>
          <w:rFonts w:ascii="Times New Roman" w:hAnsi="Times New Roman"/>
          <w:sz w:val="23"/>
          <w:lang w:val="lt-LT"/>
        </w:rPr>
        <w:t>m. birželio 20 d. sprendimu Nr.</w:t>
      </w:r>
      <w:r w:rsidR="00873D6A">
        <w:rPr>
          <w:rFonts w:ascii="Times New Roman" w:hAnsi="Times New Roman"/>
          <w:sz w:val="23"/>
          <w:lang w:val="lt-LT"/>
        </w:rPr>
        <w:t xml:space="preserve"> </w:t>
      </w:r>
      <w:r>
        <w:rPr>
          <w:rFonts w:ascii="Times New Roman" w:hAnsi="Times New Roman"/>
          <w:sz w:val="23"/>
          <w:lang w:val="lt-LT"/>
        </w:rPr>
        <w:t xml:space="preserve">C(2014)4234 (partnerystės sutarties </w:t>
      </w:r>
      <w:r w:rsidRPr="00323FA2">
        <w:rPr>
          <w:rFonts w:ascii="Times New Roman" w:hAnsi="Times New Roman"/>
          <w:szCs w:val="24"/>
          <w:lang w:val="lt-LT"/>
        </w:rPr>
        <w:t>3.1.1.5</w:t>
      </w:r>
      <w:r>
        <w:rPr>
          <w:rFonts w:ascii="Times New Roman" w:hAnsi="Times New Roman"/>
          <w:szCs w:val="24"/>
          <w:lang w:val="lt-LT"/>
        </w:rPr>
        <w:t xml:space="preserve"> dalis „</w:t>
      </w:r>
      <w:r w:rsidRPr="00323FA2">
        <w:rPr>
          <w:rFonts w:ascii="Times New Roman" w:hAnsi="Times New Roman"/>
          <w:szCs w:val="24"/>
          <w:lang w:val="lt-LT"/>
        </w:rPr>
        <w:t>BIVP įgyvendinimo koordinavimas, VVG vaidmuo</w:t>
      </w:r>
      <w:r>
        <w:rPr>
          <w:rFonts w:ascii="Times New Roman" w:hAnsi="Times New Roman"/>
          <w:szCs w:val="24"/>
          <w:lang w:val="lt-LT"/>
        </w:rPr>
        <w:t>“).</w:t>
      </w:r>
    </w:p>
    <w:p w14:paraId="2934B0E7" w14:textId="77777777" w:rsidR="00874B8C" w:rsidRDefault="00874B8C" w:rsidP="00F97C02">
      <w:pPr>
        <w:jc w:val="both"/>
        <w:rPr>
          <w:rFonts w:ascii="Times New Roman" w:hAnsi="Times New Roman"/>
          <w:szCs w:val="24"/>
          <w:lang w:val="lt-LT"/>
        </w:rPr>
      </w:pPr>
    </w:p>
    <w:p w14:paraId="34F43871" w14:textId="016C0CD3" w:rsidR="00D05F1E" w:rsidRPr="00762D2B" w:rsidRDefault="00881EBE" w:rsidP="00F97C02">
      <w:pPr>
        <w:jc w:val="both"/>
        <w:rPr>
          <w:rFonts w:ascii="Times New Roman" w:hAnsi="Times New Roman"/>
          <w:szCs w:val="24"/>
          <w:lang w:val="lt-LT"/>
        </w:rPr>
      </w:pPr>
      <w:r w:rsidRPr="00D12D04">
        <w:rPr>
          <w:rFonts w:ascii="Times New Roman" w:hAnsi="Times New Roman"/>
          <w:szCs w:val="24"/>
          <w:lang w:val="lt-LT"/>
        </w:rPr>
        <w:t xml:space="preserve">Ministerijos kanclerė </w:t>
      </w:r>
      <w:r w:rsidR="00762D2B" w:rsidRPr="00D12D04">
        <w:rPr>
          <w:rFonts w:ascii="Times New Roman" w:hAnsi="Times New Roman"/>
          <w:szCs w:val="24"/>
          <w:lang w:val="lt-LT"/>
        </w:rPr>
        <w:tab/>
      </w:r>
      <w:r w:rsidR="00762D2B" w:rsidRPr="00D12D04">
        <w:rPr>
          <w:rFonts w:ascii="Times New Roman" w:hAnsi="Times New Roman"/>
          <w:szCs w:val="24"/>
          <w:lang w:val="lt-LT"/>
        </w:rPr>
        <w:tab/>
      </w:r>
      <w:r w:rsidR="00762D2B" w:rsidRPr="00D12D04">
        <w:rPr>
          <w:rFonts w:ascii="Times New Roman" w:hAnsi="Times New Roman"/>
          <w:szCs w:val="24"/>
          <w:lang w:val="lt-LT"/>
        </w:rPr>
        <w:tab/>
      </w:r>
      <w:r w:rsidR="00762D2B" w:rsidRPr="00D12D04">
        <w:rPr>
          <w:rFonts w:ascii="Times New Roman" w:hAnsi="Times New Roman"/>
          <w:szCs w:val="24"/>
          <w:lang w:val="lt-LT"/>
        </w:rPr>
        <w:tab/>
      </w:r>
      <w:r w:rsidR="00762D2B" w:rsidRPr="00D12D04">
        <w:rPr>
          <w:rFonts w:ascii="Times New Roman" w:hAnsi="Times New Roman"/>
          <w:szCs w:val="24"/>
          <w:lang w:val="lt-LT"/>
        </w:rPr>
        <w:tab/>
      </w:r>
      <w:r w:rsidR="00762D2B" w:rsidRPr="00D12D04">
        <w:rPr>
          <w:rFonts w:ascii="Times New Roman" w:hAnsi="Times New Roman"/>
          <w:szCs w:val="24"/>
          <w:lang w:val="lt-LT"/>
        </w:rPr>
        <w:tab/>
      </w:r>
      <w:r w:rsidR="00762D2B" w:rsidRPr="00D12D04">
        <w:rPr>
          <w:rFonts w:ascii="Times New Roman" w:hAnsi="Times New Roman"/>
          <w:szCs w:val="24"/>
          <w:lang w:val="lt-LT"/>
        </w:rPr>
        <w:tab/>
      </w:r>
      <w:r w:rsidR="00762D2B">
        <w:rPr>
          <w:rFonts w:ascii="Times New Roman" w:hAnsi="Times New Roman"/>
          <w:szCs w:val="24"/>
          <w:lang w:val="lt-LT"/>
        </w:rPr>
        <w:tab/>
      </w:r>
      <w:r w:rsidR="00762D2B">
        <w:rPr>
          <w:rFonts w:ascii="Times New Roman" w:hAnsi="Times New Roman"/>
          <w:szCs w:val="24"/>
          <w:lang w:val="lt-LT"/>
        </w:rPr>
        <w:tab/>
      </w:r>
      <w:r w:rsidRPr="00762D2B">
        <w:rPr>
          <w:rFonts w:ascii="Times New Roman" w:hAnsi="Times New Roman"/>
          <w:szCs w:val="24"/>
          <w:lang w:val="lt-LT"/>
        </w:rPr>
        <w:t xml:space="preserve">Dalia </w:t>
      </w:r>
      <w:proofErr w:type="spellStart"/>
      <w:r w:rsidRPr="00762D2B">
        <w:rPr>
          <w:rFonts w:ascii="Times New Roman" w:hAnsi="Times New Roman"/>
          <w:szCs w:val="24"/>
          <w:lang w:val="lt-LT"/>
        </w:rPr>
        <w:t>Miniataitė</w:t>
      </w:r>
      <w:proofErr w:type="spellEnd"/>
    </w:p>
    <w:p w14:paraId="57B24614" w14:textId="2FAE84F4" w:rsidR="00FC544C" w:rsidRPr="00F97C02" w:rsidRDefault="00FC544C" w:rsidP="00F97C02">
      <w:pPr>
        <w:jc w:val="both"/>
        <w:rPr>
          <w:rFonts w:ascii="Times New Roman" w:hAnsi="Times New Roman"/>
          <w:sz w:val="10"/>
          <w:szCs w:val="10"/>
          <w:lang w:val="lt-LT"/>
        </w:rPr>
      </w:pPr>
    </w:p>
    <w:p w14:paraId="2396758A" w14:textId="143EF78E" w:rsidR="00F97C02" w:rsidRDefault="00F97C02" w:rsidP="00F97C02">
      <w:pPr>
        <w:jc w:val="both"/>
        <w:rPr>
          <w:rFonts w:ascii="Times New Roman" w:hAnsi="Times New Roman"/>
          <w:sz w:val="10"/>
          <w:szCs w:val="10"/>
          <w:lang w:val="lt-LT"/>
        </w:rPr>
      </w:pPr>
    </w:p>
    <w:p w14:paraId="4EABAF2B" w14:textId="2B6BE162" w:rsidR="00F97C02" w:rsidRDefault="00F97C02" w:rsidP="00F97C02">
      <w:pPr>
        <w:jc w:val="both"/>
        <w:rPr>
          <w:rFonts w:ascii="Times New Roman" w:hAnsi="Times New Roman"/>
          <w:sz w:val="10"/>
          <w:szCs w:val="10"/>
          <w:lang w:val="lt-LT"/>
        </w:rPr>
      </w:pPr>
    </w:p>
    <w:p w14:paraId="64B2417E" w14:textId="25877743" w:rsidR="00F97C02" w:rsidRDefault="00F97C02" w:rsidP="00F97C02">
      <w:pPr>
        <w:jc w:val="both"/>
        <w:rPr>
          <w:rFonts w:ascii="Times New Roman" w:hAnsi="Times New Roman"/>
          <w:sz w:val="10"/>
          <w:szCs w:val="10"/>
          <w:lang w:val="lt-LT"/>
        </w:rPr>
      </w:pPr>
    </w:p>
    <w:p w14:paraId="58F6FBD0" w14:textId="1627366D" w:rsidR="00F97C02" w:rsidRDefault="00F97C02" w:rsidP="00F97C02">
      <w:pPr>
        <w:jc w:val="both"/>
        <w:rPr>
          <w:rFonts w:ascii="Times New Roman" w:hAnsi="Times New Roman"/>
          <w:sz w:val="10"/>
          <w:szCs w:val="10"/>
          <w:lang w:val="lt-LT"/>
        </w:rPr>
      </w:pPr>
    </w:p>
    <w:p w14:paraId="795FC198" w14:textId="6992E7CA" w:rsidR="00F97C02" w:rsidRDefault="00F97C02" w:rsidP="00F97C02">
      <w:pPr>
        <w:jc w:val="both"/>
        <w:rPr>
          <w:rFonts w:ascii="Times New Roman" w:hAnsi="Times New Roman"/>
          <w:sz w:val="10"/>
          <w:szCs w:val="10"/>
          <w:lang w:val="lt-LT"/>
        </w:rPr>
      </w:pPr>
    </w:p>
    <w:p w14:paraId="617A7FC7" w14:textId="0B3E83AE" w:rsidR="00F97C02" w:rsidRPr="00F97C02" w:rsidRDefault="00F97C02" w:rsidP="00F97C02">
      <w:pPr>
        <w:jc w:val="both"/>
        <w:rPr>
          <w:rFonts w:ascii="Times New Roman" w:hAnsi="Times New Roman"/>
          <w:sz w:val="10"/>
          <w:szCs w:val="10"/>
          <w:lang w:val="lt-LT"/>
        </w:rPr>
      </w:pPr>
    </w:p>
    <w:p w14:paraId="6D375557" w14:textId="77777777" w:rsidR="00A10874" w:rsidRPr="00762D2B" w:rsidRDefault="0072358E" w:rsidP="00F97C02">
      <w:pPr>
        <w:jc w:val="both"/>
        <w:rPr>
          <w:rFonts w:ascii="Times New Roman" w:hAnsi="Times New Roman"/>
          <w:szCs w:val="24"/>
          <w:lang w:val="lt-LT"/>
        </w:rPr>
      </w:pPr>
      <w:r w:rsidRPr="0072358E">
        <w:rPr>
          <w:rFonts w:ascii="Times New Roman" w:hAnsi="Times New Roman"/>
          <w:szCs w:val="24"/>
          <w:lang w:val="lt-LT"/>
        </w:rPr>
        <w:t xml:space="preserve">Akvilė </w:t>
      </w:r>
      <w:proofErr w:type="spellStart"/>
      <w:r w:rsidRPr="0072358E">
        <w:rPr>
          <w:rFonts w:ascii="Times New Roman" w:hAnsi="Times New Roman"/>
          <w:szCs w:val="24"/>
          <w:lang w:val="lt-LT"/>
        </w:rPr>
        <w:t>Chlebnikova</w:t>
      </w:r>
      <w:proofErr w:type="spellEnd"/>
      <w:r w:rsidR="00251561" w:rsidRPr="00762D2B">
        <w:rPr>
          <w:rFonts w:ascii="Times New Roman" w:hAnsi="Times New Roman"/>
          <w:szCs w:val="24"/>
          <w:lang w:val="lt-LT"/>
        </w:rPr>
        <w:t xml:space="preserve">, tel. </w:t>
      </w:r>
      <w:r w:rsidR="0014441B">
        <w:rPr>
          <w:rFonts w:ascii="Times New Roman" w:hAnsi="Times New Roman"/>
          <w:szCs w:val="24"/>
          <w:lang w:val="lt-LT"/>
        </w:rPr>
        <w:t>(</w:t>
      </w:r>
      <w:r w:rsidR="00251561" w:rsidRPr="00762D2B">
        <w:rPr>
          <w:rFonts w:ascii="Times New Roman" w:hAnsi="Times New Roman"/>
          <w:szCs w:val="24"/>
        </w:rPr>
        <w:t>8 5) 239 1</w:t>
      </w:r>
      <w:r>
        <w:rPr>
          <w:rFonts w:ascii="Times New Roman" w:hAnsi="Times New Roman"/>
          <w:szCs w:val="24"/>
        </w:rPr>
        <w:t>210</w:t>
      </w:r>
    </w:p>
    <w:sectPr w:rsidR="00A10874" w:rsidRPr="00762D2B" w:rsidSect="00762D2B">
      <w:headerReference w:type="default" r:id="rId12"/>
      <w:footerReference w:type="default" r:id="rId13"/>
      <w:pgSz w:w="11907" w:h="16840" w:code="9"/>
      <w:pgMar w:top="993" w:right="708" w:bottom="993" w:left="1701" w:header="284"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8EFD98" w14:textId="77777777" w:rsidR="00781DA9" w:rsidRDefault="00781DA9">
      <w:r>
        <w:separator/>
      </w:r>
    </w:p>
  </w:endnote>
  <w:endnote w:type="continuationSeparator" w:id="0">
    <w:p w14:paraId="0EB1BF14" w14:textId="77777777" w:rsidR="00781DA9" w:rsidRDefault="00781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24B63" w14:textId="77777777" w:rsidR="00F90851" w:rsidRPr="005F5FDE" w:rsidRDefault="00F90851" w:rsidP="005F5FDE">
    <w:pPr>
      <w:pStyle w:val="Porat"/>
      <w:jc w:val="right"/>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479288" w14:textId="77777777" w:rsidR="00781DA9" w:rsidRDefault="00781DA9">
      <w:bookmarkStart w:id="0" w:name="_Hlk483820012"/>
      <w:bookmarkEnd w:id="0"/>
      <w:r>
        <w:separator/>
      </w:r>
    </w:p>
  </w:footnote>
  <w:footnote w:type="continuationSeparator" w:id="0">
    <w:p w14:paraId="7A1C4335" w14:textId="77777777" w:rsidR="00781DA9" w:rsidRDefault="00781D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C3553" w14:textId="77777777" w:rsidR="008F402D" w:rsidRPr="008F402D" w:rsidRDefault="008F402D" w:rsidP="008F402D">
    <w:pPr>
      <w:pStyle w:val="Antrats"/>
      <w:jc w:val="center"/>
      <w:rPr>
        <w:lang w:val="lt-LT"/>
      </w:rPr>
    </w:pPr>
    <w:r>
      <w:rPr>
        <w:lang w:val="lt-LT"/>
      </w:rPr>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20"/>
  <w:drawingGridVerticalSpacing w:val="6"/>
  <w:displayHorizontalDrawingGridEvery w:val="2"/>
  <w:displayVerticalDrawingGridEvery w:val="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9FA"/>
    <w:rsid w:val="00011A7F"/>
    <w:rsid w:val="000154CE"/>
    <w:rsid w:val="00016999"/>
    <w:rsid w:val="00035096"/>
    <w:rsid w:val="0004060A"/>
    <w:rsid w:val="000526CC"/>
    <w:rsid w:val="000539FB"/>
    <w:rsid w:val="000574A9"/>
    <w:rsid w:val="0006585C"/>
    <w:rsid w:val="00071121"/>
    <w:rsid w:val="0007629D"/>
    <w:rsid w:val="00081F87"/>
    <w:rsid w:val="00085AAF"/>
    <w:rsid w:val="000A4093"/>
    <w:rsid w:val="000A7C0D"/>
    <w:rsid w:val="000B17FD"/>
    <w:rsid w:val="000B642C"/>
    <w:rsid w:val="000C6822"/>
    <w:rsid w:val="000D3A9E"/>
    <w:rsid w:val="000D72F7"/>
    <w:rsid w:val="000E4D1C"/>
    <w:rsid w:val="00110BB8"/>
    <w:rsid w:val="001124C2"/>
    <w:rsid w:val="00132001"/>
    <w:rsid w:val="00133AAD"/>
    <w:rsid w:val="0014176E"/>
    <w:rsid w:val="00143D31"/>
    <w:rsid w:val="0014441B"/>
    <w:rsid w:val="00144913"/>
    <w:rsid w:val="00150FA5"/>
    <w:rsid w:val="00155135"/>
    <w:rsid w:val="001647FA"/>
    <w:rsid w:val="00166C1E"/>
    <w:rsid w:val="00172EF7"/>
    <w:rsid w:val="001765A9"/>
    <w:rsid w:val="001775FF"/>
    <w:rsid w:val="00177B39"/>
    <w:rsid w:val="001832A7"/>
    <w:rsid w:val="0018539C"/>
    <w:rsid w:val="001908C3"/>
    <w:rsid w:val="00190A68"/>
    <w:rsid w:val="001957DF"/>
    <w:rsid w:val="001A3C56"/>
    <w:rsid w:val="001A3FA9"/>
    <w:rsid w:val="001B74DF"/>
    <w:rsid w:val="001C1110"/>
    <w:rsid w:val="001D5FE2"/>
    <w:rsid w:val="001D6AAD"/>
    <w:rsid w:val="001E15F2"/>
    <w:rsid w:val="001E1AC5"/>
    <w:rsid w:val="001F3A2E"/>
    <w:rsid w:val="00213E4E"/>
    <w:rsid w:val="00243C0A"/>
    <w:rsid w:val="00251561"/>
    <w:rsid w:val="0025222D"/>
    <w:rsid w:val="002850C7"/>
    <w:rsid w:val="00287DE0"/>
    <w:rsid w:val="002971EA"/>
    <w:rsid w:val="002B6F6C"/>
    <w:rsid w:val="002C38F6"/>
    <w:rsid w:val="002C5C11"/>
    <w:rsid w:val="002C5FAF"/>
    <w:rsid w:val="002C7C75"/>
    <w:rsid w:val="002D7DE4"/>
    <w:rsid w:val="002E04AA"/>
    <w:rsid w:val="002E6516"/>
    <w:rsid w:val="002E6AE4"/>
    <w:rsid w:val="002F166E"/>
    <w:rsid w:val="002F231D"/>
    <w:rsid w:val="002F3CCB"/>
    <w:rsid w:val="00303C77"/>
    <w:rsid w:val="00304731"/>
    <w:rsid w:val="00305A62"/>
    <w:rsid w:val="003421E3"/>
    <w:rsid w:val="0035168A"/>
    <w:rsid w:val="0039714C"/>
    <w:rsid w:val="003C7F9D"/>
    <w:rsid w:val="003E5F28"/>
    <w:rsid w:val="003E77D3"/>
    <w:rsid w:val="003F3D65"/>
    <w:rsid w:val="00412143"/>
    <w:rsid w:val="0042659E"/>
    <w:rsid w:val="00433ED3"/>
    <w:rsid w:val="00440023"/>
    <w:rsid w:val="00447961"/>
    <w:rsid w:val="004555D8"/>
    <w:rsid w:val="0047204B"/>
    <w:rsid w:val="00473D2C"/>
    <w:rsid w:val="0048474E"/>
    <w:rsid w:val="00493494"/>
    <w:rsid w:val="004A1F23"/>
    <w:rsid w:val="004B1474"/>
    <w:rsid w:val="004C08F6"/>
    <w:rsid w:val="004C3F1E"/>
    <w:rsid w:val="004C4A63"/>
    <w:rsid w:val="004D0D53"/>
    <w:rsid w:val="004D1107"/>
    <w:rsid w:val="004D157B"/>
    <w:rsid w:val="004D1E15"/>
    <w:rsid w:val="004D41C2"/>
    <w:rsid w:val="004D5163"/>
    <w:rsid w:val="004E4C91"/>
    <w:rsid w:val="004F1B85"/>
    <w:rsid w:val="004F2BF9"/>
    <w:rsid w:val="004F3E66"/>
    <w:rsid w:val="004F6DFE"/>
    <w:rsid w:val="005015AA"/>
    <w:rsid w:val="00504412"/>
    <w:rsid w:val="00533D87"/>
    <w:rsid w:val="00543887"/>
    <w:rsid w:val="0054395C"/>
    <w:rsid w:val="00547EDF"/>
    <w:rsid w:val="0055092F"/>
    <w:rsid w:val="00563A45"/>
    <w:rsid w:val="0056556B"/>
    <w:rsid w:val="00567D6B"/>
    <w:rsid w:val="00576E74"/>
    <w:rsid w:val="00580B5E"/>
    <w:rsid w:val="005832FB"/>
    <w:rsid w:val="00591675"/>
    <w:rsid w:val="005969CF"/>
    <w:rsid w:val="005B6A47"/>
    <w:rsid w:val="005D4181"/>
    <w:rsid w:val="005D7CD8"/>
    <w:rsid w:val="005E3297"/>
    <w:rsid w:val="005E7F8E"/>
    <w:rsid w:val="005F5FDE"/>
    <w:rsid w:val="0061481F"/>
    <w:rsid w:val="006330FB"/>
    <w:rsid w:val="00640E7C"/>
    <w:rsid w:val="006448F2"/>
    <w:rsid w:val="00647362"/>
    <w:rsid w:val="006654C5"/>
    <w:rsid w:val="00672D1E"/>
    <w:rsid w:val="00675286"/>
    <w:rsid w:val="00675CC3"/>
    <w:rsid w:val="00680CEF"/>
    <w:rsid w:val="006904A3"/>
    <w:rsid w:val="006A3FC3"/>
    <w:rsid w:val="006A5859"/>
    <w:rsid w:val="006B24F6"/>
    <w:rsid w:val="006C3DF6"/>
    <w:rsid w:val="006C6194"/>
    <w:rsid w:val="006D7FD9"/>
    <w:rsid w:val="006E3D25"/>
    <w:rsid w:val="006F76E9"/>
    <w:rsid w:val="00701011"/>
    <w:rsid w:val="007103A9"/>
    <w:rsid w:val="0072358E"/>
    <w:rsid w:val="00734028"/>
    <w:rsid w:val="007552E9"/>
    <w:rsid w:val="00762D2B"/>
    <w:rsid w:val="00764FAB"/>
    <w:rsid w:val="00765017"/>
    <w:rsid w:val="007673D5"/>
    <w:rsid w:val="007724B2"/>
    <w:rsid w:val="00781DA9"/>
    <w:rsid w:val="00787874"/>
    <w:rsid w:val="007A6855"/>
    <w:rsid w:val="007B07EB"/>
    <w:rsid w:val="007E47CF"/>
    <w:rsid w:val="007F69FA"/>
    <w:rsid w:val="008060FD"/>
    <w:rsid w:val="00813491"/>
    <w:rsid w:val="00821355"/>
    <w:rsid w:val="00823B89"/>
    <w:rsid w:val="00825EE1"/>
    <w:rsid w:val="00852DE0"/>
    <w:rsid w:val="0085461F"/>
    <w:rsid w:val="008634C0"/>
    <w:rsid w:val="00867626"/>
    <w:rsid w:val="00873D6A"/>
    <w:rsid w:val="00874B8C"/>
    <w:rsid w:val="00881EBE"/>
    <w:rsid w:val="008A374A"/>
    <w:rsid w:val="008A56D0"/>
    <w:rsid w:val="008A597C"/>
    <w:rsid w:val="008A7964"/>
    <w:rsid w:val="008C0248"/>
    <w:rsid w:val="008D31B9"/>
    <w:rsid w:val="008D434E"/>
    <w:rsid w:val="008E0F11"/>
    <w:rsid w:val="008F064C"/>
    <w:rsid w:val="008F402D"/>
    <w:rsid w:val="008F651B"/>
    <w:rsid w:val="00910A21"/>
    <w:rsid w:val="0091780F"/>
    <w:rsid w:val="009343CD"/>
    <w:rsid w:val="009357A6"/>
    <w:rsid w:val="009440EF"/>
    <w:rsid w:val="009503C7"/>
    <w:rsid w:val="009505A7"/>
    <w:rsid w:val="0096446D"/>
    <w:rsid w:val="009740B9"/>
    <w:rsid w:val="0098216C"/>
    <w:rsid w:val="009858A8"/>
    <w:rsid w:val="009934A3"/>
    <w:rsid w:val="009A0081"/>
    <w:rsid w:val="009C19DA"/>
    <w:rsid w:val="009C57BC"/>
    <w:rsid w:val="009D0070"/>
    <w:rsid w:val="009E441C"/>
    <w:rsid w:val="00A005CE"/>
    <w:rsid w:val="00A023D1"/>
    <w:rsid w:val="00A03BEA"/>
    <w:rsid w:val="00A0679C"/>
    <w:rsid w:val="00A10874"/>
    <w:rsid w:val="00A10DA5"/>
    <w:rsid w:val="00A14ECF"/>
    <w:rsid w:val="00A3556D"/>
    <w:rsid w:val="00A736C6"/>
    <w:rsid w:val="00A80EEA"/>
    <w:rsid w:val="00AA0F8B"/>
    <w:rsid w:val="00AE6CDA"/>
    <w:rsid w:val="00AF4D82"/>
    <w:rsid w:val="00AF69A5"/>
    <w:rsid w:val="00B00B7D"/>
    <w:rsid w:val="00B020E7"/>
    <w:rsid w:val="00B056EF"/>
    <w:rsid w:val="00B10E55"/>
    <w:rsid w:val="00B247FE"/>
    <w:rsid w:val="00B26AD1"/>
    <w:rsid w:val="00B337F1"/>
    <w:rsid w:val="00B63E39"/>
    <w:rsid w:val="00BA15C7"/>
    <w:rsid w:val="00BB6ED3"/>
    <w:rsid w:val="00BD055F"/>
    <w:rsid w:val="00BF41C5"/>
    <w:rsid w:val="00C06856"/>
    <w:rsid w:val="00C16F65"/>
    <w:rsid w:val="00C31F9C"/>
    <w:rsid w:val="00C40AAE"/>
    <w:rsid w:val="00C4293B"/>
    <w:rsid w:val="00C44595"/>
    <w:rsid w:val="00C50256"/>
    <w:rsid w:val="00C506F5"/>
    <w:rsid w:val="00C51EE2"/>
    <w:rsid w:val="00C66CF5"/>
    <w:rsid w:val="00C97FE4"/>
    <w:rsid w:val="00CA103D"/>
    <w:rsid w:val="00CA26FA"/>
    <w:rsid w:val="00CB5BEB"/>
    <w:rsid w:val="00CE2DF6"/>
    <w:rsid w:val="00CE31BF"/>
    <w:rsid w:val="00CE5C3F"/>
    <w:rsid w:val="00CF0BC4"/>
    <w:rsid w:val="00CF17D6"/>
    <w:rsid w:val="00CF31BC"/>
    <w:rsid w:val="00D05F1E"/>
    <w:rsid w:val="00D12D04"/>
    <w:rsid w:val="00D12F95"/>
    <w:rsid w:val="00D20084"/>
    <w:rsid w:val="00D3071D"/>
    <w:rsid w:val="00D3073A"/>
    <w:rsid w:val="00D45F57"/>
    <w:rsid w:val="00D46316"/>
    <w:rsid w:val="00D54D71"/>
    <w:rsid w:val="00D550AA"/>
    <w:rsid w:val="00D572A3"/>
    <w:rsid w:val="00D7603D"/>
    <w:rsid w:val="00D813B9"/>
    <w:rsid w:val="00D8622F"/>
    <w:rsid w:val="00D9577D"/>
    <w:rsid w:val="00DA2BB2"/>
    <w:rsid w:val="00DB79A8"/>
    <w:rsid w:val="00DC10FC"/>
    <w:rsid w:val="00DD0239"/>
    <w:rsid w:val="00DE1DBE"/>
    <w:rsid w:val="00DE27DE"/>
    <w:rsid w:val="00DF1B03"/>
    <w:rsid w:val="00DF3E54"/>
    <w:rsid w:val="00DF40EB"/>
    <w:rsid w:val="00E12D5B"/>
    <w:rsid w:val="00E17BDE"/>
    <w:rsid w:val="00E35BEE"/>
    <w:rsid w:val="00E4402C"/>
    <w:rsid w:val="00E478AF"/>
    <w:rsid w:val="00E75064"/>
    <w:rsid w:val="00E95EC0"/>
    <w:rsid w:val="00EA32D6"/>
    <w:rsid w:val="00EA3D48"/>
    <w:rsid w:val="00EC2BD1"/>
    <w:rsid w:val="00ED55B7"/>
    <w:rsid w:val="00F01E83"/>
    <w:rsid w:val="00F020DB"/>
    <w:rsid w:val="00F16D68"/>
    <w:rsid w:val="00F201B6"/>
    <w:rsid w:val="00F34C1F"/>
    <w:rsid w:val="00F424F1"/>
    <w:rsid w:val="00F53EC5"/>
    <w:rsid w:val="00F63356"/>
    <w:rsid w:val="00F85180"/>
    <w:rsid w:val="00F879C0"/>
    <w:rsid w:val="00F90851"/>
    <w:rsid w:val="00F91193"/>
    <w:rsid w:val="00F97C02"/>
    <w:rsid w:val="00FA2CA7"/>
    <w:rsid w:val="00FB67C3"/>
    <w:rsid w:val="00FC544C"/>
    <w:rsid w:val="00FE777F"/>
    <w:rsid w:val="00FF1EAE"/>
    <w:rsid w:val="00FF73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EEE5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177B39"/>
    <w:pPr>
      <w:overflowPunct w:val="0"/>
      <w:autoSpaceDE w:val="0"/>
      <w:autoSpaceDN w:val="0"/>
      <w:adjustRightInd w:val="0"/>
      <w:textAlignment w:val="baseline"/>
    </w:pPr>
    <w:rPr>
      <w:rFonts w:ascii="TimesLT" w:hAnsi="TimesLT"/>
      <w:sz w:val="24"/>
      <w:lang w:val="en-GB" w:eastAsia="en-US"/>
    </w:rPr>
  </w:style>
  <w:style w:type="paragraph" w:styleId="Antrat1">
    <w:name w:val="heading 1"/>
    <w:basedOn w:val="prastasis"/>
    <w:next w:val="prastasis"/>
    <w:qFormat/>
    <w:rsid w:val="00177B39"/>
    <w:pPr>
      <w:keepNext/>
      <w:jc w:val="center"/>
      <w:outlineLvl w:val="0"/>
    </w:pPr>
    <w:rPr>
      <w:b/>
      <w:lang w:val="lt-LT"/>
    </w:rPr>
  </w:style>
  <w:style w:type="paragraph" w:styleId="Antrat2">
    <w:name w:val="heading 2"/>
    <w:basedOn w:val="prastasis"/>
    <w:next w:val="prastasis"/>
    <w:qFormat/>
    <w:rsid w:val="00177B39"/>
    <w:pPr>
      <w:keepNext/>
      <w:framePr w:w="9142" w:h="1117" w:hSpace="181" w:wrap="notBeside" w:vAnchor="text" w:hAnchor="page" w:x="1881" w:y="623" w:anchorLock="1"/>
      <w:jc w:val="center"/>
      <w:outlineLvl w:val="1"/>
    </w:pPr>
    <w:rPr>
      <w:rFonts w:ascii="Times New Roman" w:hAnsi="Times New Roman"/>
      <w:b/>
      <w:sz w:val="26"/>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177B39"/>
    <w:pPr>
      <w:tabs>
        <w:tab w:val="center" w:pos="4153"/>
        <w:tab w:val="right" w:pos="8306"/>
      </w:tabs>
    </w:pPr>
  </w:style>
  <w:style w:type="paragraph" w:customStyle="1" w:styleId="paveikslas">
    <w:name w:val="paveikslas"/>
    <w:basedOn w:val="prastasis"/>
    <w:rsid w:val="00177B39"/>
    <w:pPr>
      <w:framePr w:hSpace="180" w:wrap="auto" w:vAnchor="text" w:hAnchor="page" w:x="2881" w:y="-271"/>
    </w:pPr>
    <w:rPr>
      <w:sz w:val="8"/>
      <w:lang w:val="lt-LT"/>
    </w:rPr>
  </w:style>
  <w:style w:type="paragraph" w:customStyle="1" w:styleId="remas1">
    <w:name w:val="remas1"/>
    <w:basedOn w:val="prastasis"/>
    <w:rsid w:val="00177B39"/>
    <w:pPr>
      <w:framePr w:w="3385" w:h="857" w:hSpace="181" w:wrap="auto" w:vAnchor="text" w:hAnchor="page" w:x="1728" w:y="794"/>
      <w:jc w:val="center"/>
    </w:pPr>
    <w:rPr>
      <w:b/>
      <w:sz w:val="28"/>
    </w:rPr>
  </w:style>
  <w:style w:type="paragraph" w:customStyle="1" w:styleId="REMAS2">
    <w:name w:val="REMAS2"/>
    <w:basedOn w:val="prastasis"/>
    <w:rsid w:val="00177B39"/>
    <w:pPr>
      <w:framePr w:w="4820" w:h="289" w:hSpace="181" w:wrap="auto" w:vAnchor="page" w:hAnchor="page" w:x="1008" w:y="2737" w:anchorLock="1"/>
      <w:jc w:val="center"/>
    </w:pPr>
    <w:rPr>
      <w:sz w:val="20"/>
    </w:rPr>
  </w:style>
  <w:style w:type="paragraph" w:customStyle="1" w:styleId="k1">
    <w:name w:val="k1"/>
    <w:basedOn w:val="prastasis"/>
    <w:rsid w:val="00177B39"/>
    <w:pPr>
      <w:framePr w:w="352" w:h="431" w:hSpace="181" w:wrap="auto" w:vAnchor="page" w:hAnchor="page" w:x="1296" w:y="3169" w:anchorLock="1"/>
    </w:pPr>
    <w:rPr>
      <w:b/>
    </w:rPr>
  </w:style>
  <w:style w:type="paragraph" w:customStyle="1" w:styleId="k2">
    <w:name w:val="k2"/>
    <w:basedOn w:val="prastasis"/>
    <w:rsid w:val="00177B39"/>
    <w:pPr>
      <w:framePr w:w="352" w:h="289" w:hSpace="181" w:wrap="auto" w:vAnchor="page" w:hAnchor="page" w:x="5328" w:y="3169" w:anchorLock="1"/>
    </w:pPr>
    <w:rPr>
      <w:b/>
    </w:rPr>
  </w:style>
  <w:style w:type="paragraph" w:customStyle="1" w:styleId="k3">
    <w:name w:val="k3"/>
    <w:basedOn w:val="prastasis"/>
    <w:rsid w:val="00177B39"/>
    <w:pPr>
      <w:framePr w:w="499" w:h="284" w:hSpace="181" w:wrap="auto" w:vAnchor="page" w:hAnchor="page" w:x="761" w:y="4900" w:anchorLock="1"/>
      <w:jc w:val="right"/>
    </w:pPr>
    <w:rPr>
      <w:b/>
    </w:rPr>
  </w:style>
  <w:style w:type="paragraph" w:customStyle="1" w:styleId="k4">
    <w:name w:val="k4"/>
    <w:basedOn w:val="prastasis"/>
    <w:rsid w:val="00177B39"/>
    <w:pPr>
      <w:framePr w:w="499" w:h="284" w:hSpace="181" w:wrap="auto" w:vAnchor="page" w:hAnchor="page" w:x="720" w:y="5617" w:anchorLock="1"/>
      <w:jc w:val="right"/>
    </w:pPr>
    <w:rPr>
      <w:b/>
    </w:rPr>
  </w:style>
  <w:style w:type="paragraph" w:customStyle="1" w:styleId="remas4">
    <w:name w:val="remas4"/>
    <w:basedOn w:val="prastasis"/>
    <w:rsid w:val="00177B39"/>
    <w:pPr>
      <w:framePr w:w="3663" w:h="1735" w:hSpace="181" w:wrap="auto" w:vAnchor="page" w:hAnchor="page" w:x="1583" w:y="3312" w:anchorLock="1"/>
    </w:pPr>
    <w:rPr>
      <w:sz w:val="22"/>
    </w:rPr>
  </w:style>
  <w:style w:type="paragraph" w:customStyle="1" w:styleId="remas5">
    <w:name w:val="remas5"/>
    <w:basedOn w:val="prastasis"/>
    <w:rsid w:val="00177B39"/>
    <w:pPr>
      <w:framePr w:w="2376" w:h="289" w:hSpace="181" w:wrap="auto" w:vAnchor="page" w:hAnchor="page" w:x="8931" w:y="721" w:anchorLock="1"/>
    </w:pPr>
    <w:rPr>
      <w:sz w:val="22"/>
    </w:rPr>
  </w:style>
  <w:style w:type="paragraph" w:customStyle="1" w:styleId="k10">
    <w:name w:val="k10"/>
    <w:basedOn w:val="prastasis"/>
    <w:rsid w:val="00177B39"/>
    <w:pPr>
      <w:framePr w:w="227" w:h="147" w:hSpace="181" w:wrap="auto" w:vAnchor="page" w:hAnchor="page" w:x="8784" w:y="438" w:anchorLock="1"/>
    </w:pPr>
    <w:rPr>
      <w:b/>
    </w:rPr>
  </w:style>
  <w:style w:type="paragraph" w:customStyle="1" w:styleId="k11">
    <w:name w:val="k11"/>
    <w:basedOn w:val="prastasis"/>
    <w:rsid w:val="00177B39"/>
    <w:pPr>
      <w:framePr w:w="51" w:h="289" w:hSpace="181" w:wrap="auto" w:vAnchor="page" w:hAnchor="page" w:x="8784" w:y="1005" w:anchorLock="1"/>
    </w:pPr>
    <w:rPr>
      <w:b/>
    </w:rPr>
  </w:style>
  <w:style w:type="paragraph" w:customStyle="1" w:styleId="k12">
    <w:name w:val="k12"/>
    <w:basedOn w:val="prastasis"/>
    <w:rsid w:val="00177B39"/>
    <w:pPr>
      <w:framePr w:w="51" w:h="289" w:hSpace="181" w:wrap="auto" w:vAnchor="page" w:hAnchor="page" w:x="11233" w:y="438" w:anchorLock="1"/>
    </w:pPr>
    <w:rPr>
      <w:b/>
    </w:rPr>
  </w:style>
  <w:style w:type="paragraph" w:customStyle="1" w:styleId="k15">
    <w:name w:val="k15"/>
    <w:basedOn w:val="prastasis"/>
    <w:rsid w:val="00177B39"/>
    <w:pPr>
      <w:framePr w:w="51" w:h="289" w:hSpace="181" w:wrap="auto" w:vAnchor="page" w:hAnchor="page" w:x="11233" w:y="1005" w:anchorLock="1"/>
    </w:pPr>
    <w:rPr>
      <w:b/>
    </w:rPr>
  </w:style>
  <w:style w:type="paragraph" w:customStyle="1" w:styleId="k20">
    <w:name w:val="k20"/>
    <w:basedOn w:val="prastasis"/>
    <w:rsid w:val="00177B39"/>
    <w:pPr>
      <w:framePr w:w="227" w:h="289" w:hSpace="181" w:wrap="auto" w:vAnchor="page" w:hAnchor="page" w:x="6510" w:y="1299" w:anchorLock="1"/>
    </w:pPr>
    <w:rPr>
      <w:b/>
    </w:rPr>
  </w:style>
  <w:style w:type="paragraph" w:customStyle="1" w:styleId="k21">
    <w:name w:val="k21"/>
    <w:basedOn w:val="prastasis"/>
    <w:rsid w:val="00177B39"/>
    <w:pPr>
      <w:framePr w:w="227" w:h="289" w:hSpace="181" w:wrap="auto" w:vAnchor="page" w:hAnchor="page" w:x="6510" w:y="1725" w:anchorLock="1"/>
    </w:pPr>
  </w:style>
  <w:style w:type="paragraph" w:customStyle="1" w:styleId="k22">
    <w:name w:val="k22"/>
    <w:basedOn w:val="prastasis"/>
    <w:rsid w:val="00177B39"/>
    <w:pPr>
      <w:framePr w:w="227" w:h="289" w:hSpace="181" w:wrap="auto" w:vAnchor="page" w:hAnchor="page" w:x="10513" w:y="1299" w:anchorLock="1"/>
    </w:pPr>
    <w:rPr>
      <w:b/>
    </w:rPr>
  </w:style>
  <w:style w:type="paragraph" w:customStyle="1" w:styleId="k25">
    <w:name w:val="k25"/>
    <w:basedOn w:val="prastasis"/>
    <w:rsid w:val="00177B39"/>
    <w:pPr>
      <w:framePr w:w="227" w:h="289" w:hSpace="181" w:wrap="auto" w:vAnchor="page" w:hAnchor="page" w:x="10513" w:y="1730" w:anchorLock="1"/>
    </w:pPr>
  </w:style>
  <w:style w:type="paragraph" w:customStyle="1" w:styleId="remas20">
    <w:name w:val="remas20"/>
    <w:basedOn w:val="prastasis"/>
    <w:rsid w:val="00177B39"/>
    <w:pPr>
      <w:framePr w:w="3855" w:h="431" w:hSpace="181" w:wrap="auto" w:vAnchor="page" w:hAnchor="page" w:x="6658" w:y="1441" w:anchorLock="1"/>
    </w:pPr>
    <w:rPr>
      <w:sz w:val="22"/>
    </w:rPr>
  </w:style>
  <w:style w:type="paragraph" w:customStyle="1" w:styleId="daturemas">
    <w:name w:val="datu remas"/>
    <w:basedOn w:val="prastasis"/>
    <w:rsid w:val="00177B39"/>
    <w:pPr>
      <w:framePr w:w="4173" w:h="714" w:hSpace="181" w:wrap="auto" w:vAnchor="page" w:hAnchor="page" w:x="6624" w:y="2305" w:anchorLock="1"/>
      <w:spacing w:line="360" w:lineRule="auto"/>
    </w:pPr>
    <w:rPr>
      <w:sz w:val="20"/>
    </w:rPr>
  </w:style>
  <w:style w:type="paragraph" w:customStyle="1" w:styleId="kkk">
    <w:name w:val="kkk"/>
    <w:basedOn w:val="prastasis"/>
    <w:rsid w:val="00177B39"/>
    <w:pPr>
      <w:framePr w:w="2223" w:h="147" w:hSpace="181" w:wrap="notBeside" w:vAnchor="text" w:hAnchor="page" w:x="6765" w:y="630" w:anchorLock="1"/>
    </w:pPr>
    <w:rPr>
      <w:sz w:val="22"/>
    </w:rPr>
  </w:style>
  <w:style w:type="paragraph" w:customStyle="1" w:styleId="lll">
    <w:name w:val="lll"/>
    <w:basedOn w:val="prastasis"/>
    <w:rsid w:val="00177B39"/>
    <w:pPr>
      <w:framePr w:w="1939" w:h="289" w:hSpace="181" w:wrap="auto" w:vAnchor="page" w:hAnchor="page" w:x="9072" w:y="2161" w:anchorLock="1"/>
    </w:pPr>
    <w:rPr>
      <w:sz w:val="22"/>
    </w:rPr>
  </w:style>
  <w:style w:type="paragraph" w:styleId="Porat">
    <w:name w:val="footer"/>
    <w:basedOn w:val="prastasis"/>
    <w:rsid w:val="00177B39"/>
    <w:pPr>
      <w:tabs>
        <w:tab w:val="center" w:pos="4153"/>
        <w:tab w:val="right" w:pos="8306"/>
      </w:tabs>
    </w:pPr>
  </w:style>
  <w:style w:type="character" w:styleId="Hipersaitas">
    <w:name w:val="Hyperlink"/>
    <w:basedOn w:val="Numatytasispastraiposriftas"/>
    <w:rsid w:val="00177B39"/>
    <w:rPr>
      <w:color w:val="0000FF"/>
      <w:u w:val="single"/>
    </w:rPr>
  </w:style>
  <w:style w:type="character" w:styleId="Perirtashipersaitas">
    <w:name w:val="FollowedHyperlink"/>
    <w:basedOn w:val="Numatytasispastraiposriftas"/>
    <w:rsid w:val="00177B39"/>
    <w:rPr>
      <w:color w:val="800080"/>
      <w:u w:val="single"/>
    </w:rPr>
  </w:style>
  <w:style w:type="paragraph" w:customStyle="1" w:styleId="apacia">
    <w:name w:val="apacia"/>
    <w:basedOn w:val="prastasis"/>
    <w:rsid w:val="00177B39"/>
    <w:pPr>
      <w:framePr w:w="10251" w:h="1159" w:hSpace="181" w:wrap="auto" w:vAnchor="page" w:hAnchor="page" w:x="1152" w:y="15409" w:anchorLock="1"/>
    </w:pPr>
    <w:rPr>
      <w:sz w:val="20"/>
    </w:rPr>
  </w:style>
  <w:style w:type="paragraph" w:styleId="Debesliotekstas">
    <w:name w:val="Balloon Text"/>
    <w:basedOn w:val="prastasis"/>
    <w:link w:val="DebesliotekstasDiagrama"/>
    <w:rsid w:val="007B07EB"/>
    <w:rPr>
      <w:rFonts w:ascii="Tahoma" w:hAnsi="Tahoma" w:cs="Tahoma"/>
      <w:sz w:val="16"/>
      <w:szCs w:val="16"/>
    </w:rPr>
  </w:style>
  <w:style w:type="character" w:customStyle="1" w:styleId="DebesliotekstasDiagrama">
    <w:name w:val="Debesėlio tekstas Diagrama"/>
    <w:basedOn w:val="Numatytasispastraiposriftas"/>
    <w:link w:val="Debesliotekstas"/>
    <w:rsid w:val="007B07EB"/>
    <w:rPr>
      <w:rFonts w:ascii="Tahoma" w:hAnsi="Tahoma" w:cs="Tahoma"/>
      <w:sz w:val="16"/>
      <w:szCs w:val="16"/>
      <w:lang w:val="en-GB" w:eastAsia="en-US"/>
    </w:rPr>
  </w:style>
  <w:style w:type="table" w:styleId="Lentelstinklelis">
    <w:name w:val="Table Grid"/>
    <w:basedOn w:val="prastojilentel"/>
    <w:rsid w:val="003971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D463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edia/image2.jpeg"
                 Type="http://schemas.openxmlformats.org/officeDocument/2006/relationships/image"/>
   <Relationship Id="rId11" Target="media/image3.png"
                 Type="http://schemas.openxmlformats.org/officeDocument/2006/relationships/image"/>
   <Relationship Id="rId12" Target="header1.xml"
                 Type="http://schemas.openxmlformats.org/officeDocument/2006/relationships/header"/>
   <Relationship Id="rId13" Target="footer1.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jpeg"
                 Type="http://schemas.openxmlformats.org/officeDocument/2006/relationships/image"/>
   <Relationship Id="rId8" Target="mailto:zum@zum.lt" TargetMode="External"
                 Type="http://schemas.openxmlformats.org/officeDocument/2006/relationships/hyperlink"/>
   <Relationship Id="rId9" Target="http://www.zum.lt"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E13D9-C5E0-43EE-9368-47D9F33C0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699</Words>
  <Characters>5143</Characters>
  <Application>Microsoft Office Word</Application>
  <DocSecurity>0</DocSecurity>
  <Lines>42</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5831</CharactersWithSpaces>
  <SharedDoc>false</SharedDoc>
  <HLinks>
    <vt:vector size="6" baseType="variant">
      <vt:variant>
        <vt:i4>917540</vt:i4>
      </vt:variant>
      <vt:variant>
        <vt:i4>0</vt:i4>
      </vt:variant>
      <vt:variant>
        <vt:i4>0</vt:i4>
      </vt:variant>
      <vt:variant>
        <vt:i4>5</vt:i4>
      </vt:variant>
      <vt:variant>
        <vt:lpwstr>mailto:zum@zum.lt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2019-04-12T10:56:00Z</dcterms:created>
  <dcterms:modified xsi:type="dcterms:W3CDTF">2019-04-12T10:56:00Z</dcterms:modified>
  <cp:revision>1</cp:revision>
</cp:coreProperties>
</file>