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93EC6" w14:textId="77777777" w:rsidR="00AE1587" w:rsidRDefault="00AE1587" w:rsidP="001254A0">
      <w:pPr>
        <w:spacing w:after="0" w:line="240" w:lineRule="auto"/>
        <w:jc w:val="center"/>
        <w:rPr>
          <w:rFonts w:ascii="Times New Roman" w:hAnsi="Times New Roman" w:cs="Times New Roman"/>
          <w:b/>
          <w:sz w:val="24"/>
          <w:szCs w:val="24"/>
        </w:rPr>
      </w:pPr>
      <w:r w:rsidRPr="00AE1587">
        <w:rPr>
          <w:rFonts w:ascii="Times New Roman" w:hAnsi="Times New Roman" w:cs="Times New Roman"/>
          <w:b/>
          <w:sz w:val="24"/>
          <w:szCs w:val="24"/>
        </w:rPr>
        <w:t xml:space="preserve">LIETUVOS RESPUBLIKOS VYRIAUSYBĖS 1999 M. SPALIO 4 D. NUTARIMO NR. 1098 „DĖL LIETUVOS RESPUBLIKOS VYRIAUSYBĖS PETICIJŲ KOMISIJOS SUDARYMO IR JOS NUOSTATŲ PATVIRTINIMO“ PAKEITIMO PROJEKTO </w:t>
      </w:r>
    </w:p>
    <w:p w14:paraId="3AB4EBFF" w14:textId="1A713328" w:rsidR="00F82894" w:rsidRDefault="001254A0" w:rsidP="00F828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DERINIMO PAŽYMA</w:t>
      </w:r>
    </w:p>
    <w:p w14:paraId="0A160A9A" w14:textId="0AA178A3" w:rsidR="00F82894" w:rsidRPr="00AE1587" w:rsidRDefault="00F82894" w:rsidP="001254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2019 m. spalio 24 d.</w:t>
      </w:r>
    </w:p>
    <w:p w14:paraId="1971C94F" w14:textId="77777777" w:rsidR="00B36FA3" w:rsidRPr="00AE1587" w:rsidRDefault="00B36FA3">
      <w:pPr>
        <w:rPr>
          <w:rFonts w:ascii="Times New Roman" w:hAnsi="Times New Roman" w:cs="Times New Roman"/>
          <w:sz w:val="24"/>
          <w:szCs w:val="24"/>
        </w:rPr>
      </w:pPr>
      <w:bookmarkStart w:id="0" w:name="_GoBack"/>
      <w:bookmarkEnd w:id="0"/>
    </w:p>
    <w:tbl>
      <w:tblPr>
        <w:tblStyle w:val="Lentelstinklelis"/>
        <w:tblW w:w="0" w:type="auto"/>
        <w:tblLook w:val="04A0" w:firstRow="1" w:lastRow="0" w:firstColumn="1" w:lastColumn="0" w:noHBand="0" w:noVBand="1"/>
      </w:tblPr>
      <w:tblGrid>
        <w:gridCol w:w="4531"/>
        <w:gridCol w:w="5097"/>
      </w:tblGrid>
      <w:tr w:rsidR="00AE1587" w:rsidRPr="0080547D" w14:paraId="65252235" w14:textId="77777777" w:rsidTr="00AF6471">
        <w:tc>
          <w:tcPr>
            <w:tcW w:w="4531" w:type="dxa"/>
          </w:tcPr>
          <w:p w14:paraId="038093B8" w14:textId="77777777" w:rsidR="00910451" w:rsidRDefault="00910451" w:rsidP="00AF6471">
            <w:pPr>
              <w:tabs>
                <w:tab w:val="left" w:pos="851"/>
              </w:tabs>
              <w:jc w:val="center"/>
              <w:rPr>
                <w:b/>
                <w:caps/>
              </w:rPr>
            </w:pPr>
            <w:r>
              <w:rPr>
                <w:b/>
                <w:caps/>
              </w:rPr>
              <w:t xml:space="preserve">VYRIAUSYBĖS KANCELIARIJOS </w:t>
            </w:r>
          </w:p>
          <w:p w14:paraId="3D4498C4" w14:textId="1FA6F1CA" w:rsidR="00AE1587" w:rsidRPr="0080547D" w:rsidRDefault="00910451" w:rsidP="00AF6471">
            <w:pPr>
              <w:tabs>
                <w:tab w:val="left" w:pos="851"/>
              </w:tabs>
              <w:jc w:val="center"/>
              <w:rPr>
                <w:b/>
                <w:caps/>
              </w:rPr>
            </w:pPr>
            <w:r>
              <w:rPr>
                <w:b/>
                <w:caps/>
              </w:rPr>
              <w:t xml:space="preserve">TEISĖS GRUPĖS 2019 M. SPALIO 7 D. IŠVADOS nR. nv-2802 </w:t>
            </w:r>
            <w:r w:rsidR="00AE1587" w:rsidRPr="0080547D">
              <w:rPr>
                <w:b/>
                <w:caps/>
              </w:rPr>
              <w:t>Pastab</w:t>
            </w:r>
            <w:r>
              <w:rPr>
                <w:b/>
                <w:caps/>
              </w:rPr>
              <w:t>OS</w:t>
            </w:r>
          </w:p>
        </w:tc>
        <w:tc>
          <w:tcPr>
            <w:tcW w:w="5097" w:type="dxa"/>
          </w:tcPr>
          <w:p w14:paraId="0BA57278" w14:textId="77777777" w:rsidR="00AE1587" w:rsidRPr="0080547D" w:rsidRDefault="00AE1587" w:rsidP="00AF6471">
            <w:pPr>
              <w:jc w:val="center"/>
              <w:rPr>
                <w:b/>
                <w:caps/>
              </w:rPr>
            </w:pPr>
            <w:r w:rsidRPr="0080547D">
              <w:rPr>
                <w:b/>
                <w:caps/>
              </w:rPr>
              <w:t>Įvertinimas</w:t>
            </w:r>
          </w:p>
        </w:tc>
      </w:tr>
      <w:tr w:rsidR="00AE1587" w:rsidRPr="0080547D" w14:paraId="1223B478" w14:textId="77777777" w:rsidTr="00AF6471">
        <w:tc>
          <w:tcPr>
            <w:tcW w:w="4531" w:type="dxa"/>
          </w:tcPr>
          <w:p w14:paraId="3F73FCAB" w14:textId="62968808" w:rsidR="00AE1587" w:rsidRPr="0080547D" w:rsidRDefault="00AE1587" w:rsidP="00AF6471">
            <w:pPr>
              <w:tabs>
                <w:tab w:val="left" w:pos="851"/>
              </w:tabs>
              <w:ind w:firstLine="596"/>
              <w:jc w:val="both"/>
              <w:rPr>
                <w:b/>
                <w:caps/>
                <w:sz w:val="22"/>
                <w:szCs w:val="22"/>
              </w:rPr>
            </w:pPr>
            <w:r w:rsidRPr="0080547D">
              <w:rPr>
                <w:b/>
                <w:sz w:val="22"/>
                <w:szCs w:val="22"/>
              </w:rPr>
              <w:t>3.</w:t>
            </w:r>
            <w:r w:rsidRPr="0080547D">
              <w:rPr>
                <w:sz w:val="22"/>
                <w:szCs w:val="22"/>
              </w:rPr>
              <w:t xml:space="preserve"> Nuostatų 8.4 papunktyje nustatyta, kad Komisija </w:t>
            </w:r>
            <w:r w:rsidRPr="0080547D">
              <w:rPr>
                <w:i/>
                <w:sz w:val="22"/>
                <w:szCs w:val="22"/>
              </w:rPr>
              <w:t xml:space="preserve">Vyriausybės darbo reglamento nustatyta tvarka </w:t>
            </w:r>
            <w:r w:rsidRPr="0080547D">
              <w:rPr>
                <w:sz w:val="22"/>
                <w:szCs w:val="22"/>
              </w:rPr>
              <w:t xml:space="preserve">teikia Vyriausybei išvadas dėl peticijoje išdėstytų reikalavimų ir pasiūlymų tenkinimo, tačiau Vyriausybės darbo reglamento 118 punkte nustatyta tik pateiktų Komisijos išvadų įgyvendinimo tvarka (Komisijos Vyriausybei pateiktos išvados dėl peticijoje išdėstytų reikalavimų ir pasiūlymų tenkinimo (ar netenkinimo) registruojamos Vyriausybės kanceliarijoje ir ne vėliau kaip per 2 darbo dienas parengiamas Ministro Pirmininko (ar jo pavedimu Vyriausybės kanclerio) pavedimas atitinkamai ministerijai dėl Vyriausybės nutarimo, įgyvendinančio Komisijos išvadą, projekto parengimo). Peticijų įstatymo 13 straipsnio 3 dalyje taip pat nustatyta, kad </w:t>
            </w:r>
            <w:r w:rsidRPr="0080547D">
              <w:rPr>
                <w:color w:val="000000"/>
                <w:sz w:val="22"/>
                <w:szCs w:val="22"/>
              </w:rPr>
              <w:t xml:space="preserve">Komisija, išnagrinėjusi peticiją, </w:t>
            </w:r>
            <w:r w:rsidRPr="0080547D">
              <w:rPr>
                <w:i/>
                <w:color w:val="000000"/>
                <w:sz w:val="22"/>
                <w:szCs w:val="22"/>
              </w:rPr>
              <w:t>Vyriausybės darbo reglamento nustatyta tvarka teikia Vyriausybei išvadas</w:t>
            </w:r>
            <w:r w:rsidRPr="0080547D">
              <w:rPr>
                <w:color w:val="000000"/>
                <w:sz w:val="22"/>
                <w:szCs w:val="22"/>
              </w:rPr>
              <w:t xml:space="preserve"> dėl peticijoje išdėstytų reikalavimų ir siūlymų tenkinimo. Pagal šios dalies nuostatas, tuo atveju, kai prieinama išvados tenkinti peticijoje išdėstytus reikalavimus ir siūlymus, gali būti pirma, parengiamas atitinkamo teisės akto projektas, antra, siūloma sudaryti komisiją ar darbo grupę teisės akto projektui parengti, trečia, siūloma pavesti atitinkamoms valstybės institucijoms parengti teisės akto projektą. Tačiau Vyriausybės darbo reglamente nustatytas tik vienas iš minėtų variantų </w:t>
            </w:r>
            <w:r w:rsidRPr="0080547D">
              <w:rPr>
                <w:sz w:val="22"/>
                <w:szCs w:val="22"/>
              </w:rPr>
              <w:t>– pavedimas atitinkamai ministerijai dėl Vyriausybės nutarimo, įgyvendinančio Komisijos išvadą, projekto parengimas. Atsižvelgdami į tai, siūlome pašalinti šiuos teisės aktų neatitikimus (kartu keičiant ir Vyriausybės darbo reglamentą).</w:t>
            </w:r>
          </w:p>
        </w:tc>
        <w:tc>
          <w:tcPr>
            <w:tcW w:w="5097" w:type="dxa"/>
          </w:tcPr>
          <w:p w14:paraId="5FB101B0" w14:textId="77777777" w:rsidR="00AE1587" w:rsidRPr="00131CF0" w:rsidRDefault="00AE1587" w:rsidP="00623004">
            <w:pPr>
              <w:ind w:firstLine="638"/>
              <w:jc w:val="both"/>
              <w:rPr>
                <w:b/>
                <w:sz w:val="22"/>
                <w:szCs w:val="22"/>
              </w:rPr>
            </w:pPr>
            <w:r>
              <w:rPr>
                <w:b/>
                <w:sz w:val="22"/>
                <w:szCs w:val="22"/>
              </w:rPr>
              <w:t>Iš dalies atsižvelgta</w:t>
            </w:r>
          </w:p>
          <w:p w14:paraId="249AA76A" w14:textId="77777777" w:rsidR="00AE1587" w:rsidRDefault="00AE1587" w:rsidP="00623004">
            <w:pPr>
              <w:ind w:firstLine="638"/>
              <w:jc w:val="both"/>
              <w:rPr>
                <w:sz w:val="22"/>
                <w:szCs w:val="22"/>
              </w:rPr>
            </w:pPr>
            <w:r>
              <w:rPr>
                <w:sz w:val="22"/>
                <w:szCs w:val="22"/>
              </w:rPr>
              <w:t xml:space="preserve">Patikslinus Projektą pagal Teisės grupės pastabas, Nuostatuose 8.4 papunkčio nebeliko. </w:t>
            </w:r>
          </w:p>
          <w:p w14:paraId="5C154541" w14:textId="77777777" w:rsidR="00AE1587" w:rsidRDefault="00AE1587" w:rsidP="00623004">
            <w:pPr>
              <w:ind w:firstLine="638"/>
              <w:jc w:val="both"/>
              <w:rPr>
                <w:sz w:val="22"/>
                <w:szCs w:val="22"/>
              </w:rPr>
            </w:pPr>
            <w:r>
              <w:rPr>
                <w:sz w:val="22"/>
                <w:szCs w:val="22"/>
              </w:rPr>
              <w:t xml:space="preserve">Atkreiptinas dėmesys į tai, kad Peticijų įstatymo 13 straipsnio 3 dalyje esanti nuoroda į Vyriausybės darbo reglamentą teikiama tik dėl Peticijų komisijos išvados pateikimo Vyriausybei aspekto. Pareiga Peticijų komisijai teikti Vyriausybei išvadą kyla iš Peticijų įstatymo. Vyriausybės darbo reglamente įtvirtinti Vyriausybės kanceliarijos veiksmai, gavus Peticijų komisijos išvadą (ji užregistruojama ir per 2 darbo dienas parengiamas pavedimas atitinkamai ministerijai dėl Vyriausybės nutarimo, įgyvendinančio Peticijų komisijos išvadą, projekto parengimo). Atsižvelgiant į tai, Teisingumo ministerija neįžvelgia, kokiu dar aspektu Vyriausybės darbo reglamentas galėtų reglamentuoti Peticijų komisijos išvados pateikimo Vyriausybei procedūrą. </w:t>
            </w:r>
          </w:p>
          <w:p w14:paraId="590E3C14" w14:textId="36CB8102" w:rsidR="001254A0" w:rsidRPr="00F24023" w:rsidRDefault="00AE1587" w:rsidP="005D7B2A">
            <w:pPr>
              <w:ind w:firstLine="638"/>
              <w:jc w:val="both"/>
              <w:rPr>
                <w:sz w:val="22"/>
                <w:szCs w:val="22"/>
              </w:rPr>
            </w:pPr>
            <w:r>
              <w:rPr>
                <w:sz w:val="22"/>
                <w:szCs w:val="22"/>
              </w:rPr>
              <w:t xml:space="preserve">Tuo tarpu Peticijų įstatymo 13 straipsnio 3 dalies paskutinysis sakinys su galimomis teisės akto projekto rengimo alternatyvomis tuo atveju, kai Peticijų komisija nusprendžia peticiją tenkinti, į Vyriausybės darbo reglamentą nenukreipia. Konkreti alternatyva pasirenkama prieš pateikiant išvadą (teoriškai pati Peticijų komisija galėtų rengti ir kartu su išvada pateikti teisės akto projektą </w:t>
            </w:r>
            <w:r w:rsidR="005D7B2A">
              <w:rPr>
                <w:sz w:val="22"/>
                <w:szCs w:val="22"/>
              </w:rPr>
              <w:t xml:space="preserve">(praktikoje šia galimybe nėra naudojamasi) </w:t>
            </w:r>
            <w:r>
              <w:rPr>
                <w:sz w:val="22"/>
                <w:szCs w:val="22"/>
              </w:rPr>
              <w:t xml:space="preserve">arba ji gali teikti Vyriausybei pasiūlymą dėl subjekto, kuris rengtų teisės akto projektą). Vyriausybės darbo reglamentas šių alternatyvų įgyvendinimo apskritai nereglamentuoja. Pastaboje minimas pavedimas </w:t>
            </w:r>
            <w:r w:rsidRPr="0080547D">
              <w:rPr>
                <w:sz w:val="22"/>
                <w:szCs w:val="22"/>
              </w:rPr>
              <w:t>ministerijai dėl Vyriausybės nutarimo, įgyvendinančio Komis</w:t>
            </w:r>
            <w:r>
              <w:rPr>
                <w:sz w:val="22"/>
                <w:szCs w:val="22"/>
              </w:rPr>
              <w:t>ijos išvadą, projekto parengimo nėra tas atvejis, kai formuluojamas pavedimas rengti teisės akto projektą, kurio buvo siekiama peticijos pateikimu.</w:t>
            </w:r>
          </w:p>
        </w:tc>
      </w:tr>
      <w:tr w:rsidR="00AE1587" w:rsidRPr="0080547D" w14:paraId="514033C9" w14:textId="77777777" w:rsidTr="00AF6471">
        <w:tc>
          <w:tcPr>
            <w:tcW w:w="4531" w:type="dxa"/>
          </w:tcPr>
          <w:p w14:paraId="7ECF13F7" w14:textId="77777777" w:rsidR="00AE1587" w:rsidRPr="0080547D" w:rsidRDefault="00AE1587" w:rsidP="00623004">
            <w:pPr>
              <w:tabs>
                <w:tab w:val="left" w:pos="851"/>
              </w:tabs>
              <w:ind w:firstLine="596"/>
              <w:jc w:val="both"/>
              <w:rPr>
                <w:sz w:val="22"/>
                <w:szCs w:val="22"/>
              </w:rPr>
            </w:pPr>
            <w:r w:rsidRPr="0080547D">
              <w:rPr>
                <w:b/>
                <w:sz w:val="22"/>
                <w:szCs w:val="22"/>
              </w:rPr>
              <w:t>7.</w:t>
            </w:r>
            <w:r w:rsidRPr="0080547D">
              <w:rPr>
                <w:sz w:val="22"/>
                <w:szCs w:val="22"/>
              </w:rPr>
              <w:t xml:space="preserve"> Nuostatų 15 punkte siūloma nustatyti, kad Vyriausybės kanceliarija </w:t>
            </w:r>
            <w:bookmarkStart w:id="1" w:name="_Hlk21337586"/>
            <w:r w:rsidRPr="0080547D">
              <w:rPr>
                <w:sz w:val="22"/>
                <w:szCs w:val="22"/>
              </w:rPr>
              <w:t>(Komisijos posėdžio sekretorius)</w:t>
            </w:r>
            <w:bookmarkEnd w:id="1"/>
            <w:r w:rsidRPr="0080547D">
              <w:rPr>
                <w:sz w:val="22"/>
                <w:szCs w:val="22"/>
              </w:rPr>
              <w:t xml:space="preserve">, organizuodama ir aptarnaudama Komisijos posėdžius, </w:t>
            </w:r>
            <w:proofErr w:type="spellStart"/>
            <w:r w:rsidRPr="0080547D">
              <w:rPr>
                <w:sz w:val="22"/>
                <w:szCs w:val="22"/>
              </w:rPr>
              <w:t>t.y</w:t>
            </w:r>
            <w:proofErr w:type="spellEnd"/>
            <w:r w:rsidRPr="0080547D">
              <w:rPr>
                <w:sz w:val="22"/>
                <w:szCs w:val="22"/>
              </w:rPr>
              <w:t xml:space="preserve">. atlikdama techninio pobūdžio funkcijas, ne tik platina posėdžių medžiagą, bet ir ją </w:t>
            </w:r>
            <w:r w:rsidRPr="0080547D">
              <w:rPr>
                <w:i/>
                <w:sz w:val="22"/>
                <w:szCs w:val="22"/>
              </w:rPr>
              <w:t xml:space="preserve">rengia, </w:t>
            </w:r>
            <w:proofErr w:type="spellStart"/>
            <w:r w:rsidRPr="0080547D">
              <w:rPr>
                <w:i/>
                <w:sz w:val="22"/>
                <w:szCs w:val="22"/>
              </w:rPr>
              <w:t>t.y</w:t>
            </w:r>
            <w:proofErr w:type="spellEnd"/>
            <w:r w:rsidRPr="0080547D">
              <w:rPr>
                <w:i/>
                <w:sz w:val="22"/>
                <w:szCs w:val="22"/>
              </w:rPr>
              <w:t>.,</w:t>
            </w:r>
            <w:r w:rsidRPr="0080547D">
              <w:rPr>
                <w:sz w:val="22"/>
                <w:szCs w:val="22"/>
              </w:rPr>
              <w:t xml:space="preserve"> numatomus nagrinėti </w:t>
            </w:r>
            <w:proofErr w:type="spellStart"/>
            <w:r w:rsidRPr="0080547D">
              <w:rPr>
                <w:sz w:val="22"/>
                <w:szCs w:val="22"/>
              </w:rPr>
              <w:t>kreipimusis</w:t>
            </w:r>
            <w:proofErr w:type="spellEnd"/>
            <w:r w:rsidRPr="0080547D">
              <w:rPr>
                <w:sz w:val="22"/>
                <w:szCs w:val="22"/>
              </w:rPr>
              <w:t xml:space="preserve"> (juos pagal Peticijų įstatymą rašo ir teikia pareiškėjai) ir su jais susijusius dokumentus bei informaciją ir </w:t>
            </w:r>
            <w:r w:rsidRPr="0080547D">
              <w:rPr>
                <w:sz w:val="22"/>
                <w:szCs w:val="22"/>
              </w:rPr>
              <w:lastRenderedPageBreak/>
              <w:t xml:space="preserve">siūlomus sprendimų darbotvarkės klausimais projektus (pvz., pagal Peticijų įstatymo 13 straipsnio 3 dalį Komisija gali pati parengti teisės akto projektą, todėl Vyriausybės kanceliarija (Komisijos posėdžio sekretorius), atlikdama tik Komisijos techninio aptarnavimo pobūdžio funkcijas atliks ministrams pagal jų valdymo sritis priskirtas valstybės politikos formavimo funkcijas). Atsižvelgdami į tai, manome, kad ministerijų atstovai pagal ministrų valdymo sritis turėtų pateikti Komisijos posėdžiams reikalingą medžiagą Vyriausybės kanceliarijai (Komisijos posėdžio sekretoriui), o ši pasirūpinti Komisijos posėdžio darbotvarkės sudarymu, pateiktos medžiagos išplatinimu Komisijos nariams ir pan. </w:t>
            </w:r>
          </w:p>
          <w:p w14:paraId="693DE9A8" w14:textId="77777777" w:rsidR="001254A0" w:rsidRPr="0080547D" w:rsidRDefault="001254A0" w:rsidP="00623004">
            <w:pPr>
              <w:tabs>
                <w:tab w:val="left" w:pos="851"/>
              </w:tabs>
              <w:jc w:val="both"/>
              <w:rPr>
                <w:sz w:val="22"/>
                <w:szCs w:val="22"/>
              </w:rPr>
            </w:pPr>
          </w:p>
          <w:p w14:paraId="4E8E2D20" w14:textId="382105F7" w:rsidR="00AE1587" w:rsidRPr="0080547D" w:rsidRDefault="00AE1587" w:rsidP="00AF6471">
            <w:pPr>
              <w:tabs>
                <w:tab w:val="left" w:pos="851"/>
              </w:tabs>
              <w:ind w:firstLine="596"/>
              <w:jc w:val="both"/>
              <w:rPr>
                <w:b/>
                <w:caps/>
                <w:sz w:val="22"/>
                <w:szCs w:val="22"/>
              </w:rPr>
            </w:pPr>
            <w:r w:rsidRPr="0080547D">
              <w:rPr>
                <w:sz w:val="22"/>
                <w:szCs w:val="22"/>
              </w:rPr>
              <w:t xml:space="preserve">Kartu pažymėtina kad, Projekto 2 punkte sudaromoje Komisijoje įtraukti tik pusė ministerijų (7 iš 14) atstovų, tačiau pagal Peticijų įstatymo nuostatas kreiptis galima bet kokiu klausimu. Pagal Peticijų įstatymo 3 straipsnio 1 dalį šie klausimai gali būti dėl žmogaus teisių ir laisvių apsaugos  ar įgyvendinimo, valstybės institucijų reformavimo ar kiti svarbūs klausimai, </w:t>
            </w:r>
            <w:proofErr w:type="spellStart"/>
            <w:r w:rsidRPr="0080547D">
              <w:rPr>
                <w:sz w:val="22"/>
                <w:szCs w:val="22"/>
              </w:rPr>
              <w:t>t.y</w:t>
            </w:r>
            <w:proofErr w:type="spellEnd"/>
            <w:r w:rsidRPr="0080547D">
              <w:rPr>
                <w:sz w:val="22"/>
                <w:szCs w:val="22"/>
              </w:rPr>
              <w:t>.. klausimas gal būti iš bet kokio ministro valdymo srities, todėl neaiškūs kriterijai, kuriais vadovaujantis buvo pasirinktas tik šių ministerijų atstovų sąrašas ir, kas rengs Komisijos posėdžiui reikalingą medžiagą, susijusią su tų ministrų, kurių atstovai neįtraukti į Komisijos sudėtį, valdymo sritimi?</w:t>
            </w:r>
          </w:p>
        </w:tc>
        <w:tc>
          <w:tcPr>
            <w:tcW w:w="5097" w:type="dxa"/>
          </w:tcPr>
          <w:p w14:paraId="3F660A9A" w14:textId="77777777" w:rsidR="00AE1587" w:rsidRPr="00131CF0" w:rsidRDefault="00AE1587" w:rsidP="00623004">
            <w:pPr>
              <w:ind w:firstLine="638"/>
              <w:jc w:val="both"/>
              <w:rPr>
                <w:b/>
                <w:sz w:val="22"/>
                <w:szCs w:val="22"/>
              </w:rPr>
            </w:pPr>
            <w:r>
              <w:rPr>
                <w:b/>
                <w:sz w:val="22"/>
                <w:szCs w:val="22"/>
              </w:rPr>
              <w:lastRenderedPageBreak/>
              <w:t>Iš dalies atsižvelgta:</w:t>
            </w:r>
          </w:p>
          <w:p w14:paraId="48B197F4" w14:textId="65EE9F35" w:rsidR="00AE1587" w:rsidRDefault="00AE1587" w:rsidP="00623004">
            <w:pPr>
              <w:ind w:firstLine="638"/>
              <w:jc w:val="both"/>
              <w:rPr>
                <w:sz w:val="22"/>
                <w:szCs w:val="22"/>
              </w:rPr>
            </w:pPr>
            <w:r>
              <w:rPr>
                <w:sz w:val="22"/>
                <w:szCs w:val="22"/>
              </w:rPr>
              <w:t xml:space="preserve">Įvertinus šią Teisės grupės pastabą bei atsižvelgus į Peticijų komisijos posėdžio sekretoriaus paaiškinimą, Projektas patikslintas, išbraukiant galimybę posėdžių sekretoriui ruošti siūlomus sprendimų darbotvarkės klausimais projektus, bei nurodant, jog Vyriausybės kanceliarija organizuoja ir aptarnauja Peticijų komisijos posėdžius, tai yra </w:t>
            </w:r>
            <w:r w:rsidRPr="00227E2B">
              <w:rPr>
                <w:i/>
                <w:sz w:val="22"/>
                <w:szCs w:val="22"/>
              </w:rPr>
              <w:t xml:space="preserve">rengia preliminarią planuojamo Peticijų komisijos posėdžio </w:t>
            </w:r>
            <w:r w:rsidRPr="00227E2B">
              <w:rPr>
                <w:i/>
                <w:sz w:val="22"/>
                <w:szCs w:val="22"/>
              </w:rPr>
              <w:lastRenderedPageBreak/>
              <w:t xml:space="preserve">darbotvarkę, platina posėdžių medžiagą (numatomus nagrinėti pareiškėjų </w:t>
            </w:r>
            <w:proofErr w:type="spellStart"/>
            <w:r w:rsidRPr="00227E2B">
              <w:rPr>
                <w:i/>
                <w:sz w:val="22"/>
                <w:szCs w:val="22"/>
              </w:rPr>
              <w:t>kreipimusis</w:t>
            </w:r>
            <w:proofErr w:type="spellEnd"/>
            <w:r w:rsidRPr="00227E2B">
              <w:rPr>
                <w:i/>
                <w:sz w:val="22"/>
                <w:szCs w:val="22"/>
              </w:rPr>
              <w:t xml:space="preserve"> ir su jais susiju</w:t>
            </w:r>
            <w:r>
              <w:rPr>
                <w:i/>
                <w:sz w:val="22"/>
                <w:szCs w:val="22"/>
              </w:rPr>
              <w:t xml:space="preserve">sius dokumentus bei informaciją, atlieka kitus posėdžio organizavimo darbus). </w:t>
            </w:r>
          </w:p>
          <w:p w14:paraId="601F3598" w14:textId="77777777" w:rsidR="00AE1587" w:rsidRDefault="00AE1587" w:rsidP="00623004">
            <w:pPr>
              <w:ind w:firstLine="638"/>
              <w:jc w:val="both"/>
              <w:rPr>
                <w:sz w:val="22"/>
                <w:szCs w:val="22"/>
              </w:rPr>
            </w:pPr>
            <w:r>
              <w:rPr>
                <w:sz w:val="22"/>
                <w:szCs w:val="22"/>
              </w:rPr>
              <w:t>Vertinant Teisės grupės pastabą dėl Peticijų įstatymo 13 straipsnio 3 dalyje numatytos galimybės Peticijų komisijai pačiai ruošti atitinkamo teisės akto pakeitimo projektą detalizavimo Nuostatuose, pastebėtina, kad atsižvelgus į Peticijų komisijos narių pareigas ir tai, kad Peticijų komisijos nariams nėra suteikta teisė pavesti rengti atitinkamų teisės aktų projektų kitiems subjektams, praktikoje šia įstatyme numatyta galimybe nėra naudojamasi, todėl jos reglamentavimas nėra tikslingas.</w:t>
            </w:r>
          </w:p>
          <w:p w14:paraId="2857ECC6" w14:textId="77777777" w:rsidR="00AE1587" w:rsidRDefault="00AE1587" w:rsidP="00623004">
            <w:pPr>
              <w:jc w:val="both"/>
              <w:rPr>
                <w:sz w:val="22"/>
                <w:szCs w:val="22"/>
              </w:rPr>
            </w:pPr>
          </w:p>
          <w:p w14:paraId="502338A0" w14:textId="77777777" w:rsidR="005D7B2A" w:rsidRDefault="005D7B2A" w:rsidP="00623004">
            <w:pPr>
              <w:jc w:val="both"/>
              <w:rPr>
                <w:sz w:val="22"/>
                <w:szCs w:val="22"/>
              </w:rPr>
            </w:pPr>
          </w:p>
          <w:p w14:paraId="267E2AE4" w14:textId="5FA89BEB" w:rsidR="00AE1587" w:rsidRPr="0080547D" w:rsidRDefault="00AE1587" w:rsidP="00AF6471">
            <w:pPr>
              <w:ind w:firstLine="638"/>
              <w:jc w:val="both"/>
              <w:rPr>
                <w:b/>
                <w:caps/>
                <w:sz w:val="22"/>
                <w:szCs w:val="22"/>
              </w:rPr>
            </w:pPr>
            <w:r w:rsidRPr="00E63C6C">
              <w:rPr>
                <w:sz w:val="22"/>
                <w:szCs w:val="22"/>
              </w:rPr>
              <w:t xml:space="preserve">2019 m. birželio 28 d. vykusio </w:t>
            </w:r>
            <w:proofErr w:type="spellStart"/>
            <w:r w:rsidRPr="00E63C6C">
              <w:rPr>
                <w:sz w:val="22"/>
                <w:szCs w:val="22"/>
              </w:rPr>
              <w:t>tarpinstitucinio</w:t>
            </w:r>
            <w:proofErr w:type="spellEnd"/>
            <w:r w:rsidRPr="00E63C6C">
              <w:rPr>
                <w:sz w:val="22"/>
                <w:szCs w:val="22"/>
              </w:rPr>
              <w:t xml:space="preserve"> pasitarimo metu buvo </w:t>
            </w:r>
            <w:r>
              <w:rPr>
                <w:sz w:val="22"/>
                <w:szCs w:val="22"/>
              </w:rPr>
              <w:t>kl</w:t>
            </w:r>
            <w:r w:rsidRPr="00E63C6C">
              <w:rPr>
                <w:sz w:val="22"/>
                <w:szCs w:val="22"/>
              </w:rPr>
              <w:t>ausiama Peticijų komisijos narių nuomonės dėl poreikio į Peticijų komisijos sudėtį įtraukti ir kitų ministerijų atstovus. Peticijų komisijos nariai paaiškino, jog vertinant pateikiamų kreipimųsi pobūdį, Peticijų komisijos sudėtyje trūksta ti</w:t>
            </w:r>
            <w:r>
              <w:rPr>
                <w:sz w:val="22"/>
                <w:szCs w:val="22"/>
              </w:rPr>
              <w:t>k Aplinkos ministerijos atstovo, kadangi e</w:t>
            </w:r>
            <w:r w:rsidRPr="00E63C6C">
              <w:rPr>
                <w:sz w:val="22"/>
                <w:szCs w:val="22"/>
              </w:rPr>
              <w:t>sant poreikiui į Peticijų komisijos posėdį galima pasikviesti kitų ministerijų atstovus</w:t>
            </w:r>
            <w:r>
              <w:rPr>
                <w:sz w:val="22"/>
                <w:szCs w:val="22"/>
              </w:rPr>
              <w:t>, kurie susipažinę su jiems pateiktu peticijos turiniu, gali pateikti argumentuotą nuomonę dėl esamo teisinio reguliavimo konkrečioje srityje ir pasiūlyti bei argumentuoti atstovaujamos institucijos nuomonę dėl būtinumo keisti teisinį reguliavimą šios institucijos valdymo srityje.</w:t>
            </w:r>
            <w:r w:rsidRPr="00E63C6C">
              <w:rPr>
                <w:sz w:val="22"/>
                <w:szCs w:val="22"/>
              </w:rPr>
              <w:t xml:space="preserve"> Be to, Peticijų komisijos narių nuomone, papildžius Peticijų komisijos sudėtį ir kitų ministerijų atstovais, būtų dar labiau apsunkintas Peticijų komisijos veiklos organizavimas.</w:t>
            </w:r>
          </w:p>
        </w:tc>
      </w:tr>
      <w:tr w:rsidR="00AE1587" w:rsidRPr="0080547D" w14:paraId="26EEB82C" w14:textId="77777777" w:rsidTr="00AF6471">
        <w:tc>
          <w:tcPr>
            <w:tcW w:w="4531" w:type="dxa"/>
          </w:tcPr>
          <w:p w14:paraId="270F8063" w14:textId="77777777" w:rsidR="00AE1587" w:rsidRPr="0080547D" w:rsidRDefault="00AE1587" w:rsidP="00623004">
            <w:pPr>
              <w:tabs>
                <w:tab w:val="left" w:pos="851"/>
              </w:tabs>
              <w:ind w:firstLine="596"/>
              <w:jc w:val="both"/>
              <w:rPr>
                <w:sz w:val="22"/>
                <w:szCs w:val="22"/>
              </w:rPr>
            </w:pPr>
            <w:r w:rsidRPr="0080547D">
              <w:rPr>
                <w:b/>
                <w:sz w:val="22"/>
                <w:szCs w:val="22"/>
              </w:rPr>
              <w:lastRenderedPageBreak/>
              <w:t>10.</w:t>
            </w:r>
            <w:r w:rsidRPr="0080547D">
              <w:rPr>
                <w:sz w:val="22"/>
                <w:szCs w:val="22"/>
              </w:rPr>
              <w:t xml:space="preserve"> Manytume, kad Nuostatus būtų tikslinga papildyti Peticijų įstatymo 11 straipsnio 2 punktą įgyvendinančiomis nuostatomis dėl Komisijos posėdžių viešumo (uždarumo) įgyvendinimo.</w:t>
            </w:r>
          </w:p>
          <w:p w14:paraId="18BD0BB1" w14:textId="77777777" w:rsidR="00AE1587" w:rsidRPr="0080547D" w:rsidRDefault="00AE1587" w:rsidP="00623004">
            <w:pPr>
              <w:tabs>
                <w:tab w:val="left" w:pos="6804"/>
              </w:tabs>
              <w:spacing w:line="300" w:lineRule="atLeast"/>
              <w:jc w:val="center"/>
              <w:rPr>
                <w:b/>
                <w:caps/>
                <w:sz w:val="22"/>
                <w:szCs w:val="22"/>
              </w:rPr>
            </w:pPr>
          </w:p>
        </w:tc>
        <w:tc>
          <w:tcPr>
            <w:tcW w:w="5097" w:type="dxa"/>
          </w:tcPr>
          <w:p w14:paraId="277641D8" w14:textId="77777777" w:rsidR="00AE1587" w:rsidRPr="00131CF0" w:rsidRDefault="00AE1587" w:rsidP="00623004">
            <w:pPr>
              <w:ind w:firstLine="567"/>
              <w:jc w:val="both"/>
              <w:rPr>
                <w:sz w:val="22"/>
                <w:szCs w:val="22"/>
              </w:rPr>
            </w:pPr>
            <w:r>
              <w:rPr>
                <w:b/>
                <w:sz w:val="22"/>
                <w:szCs w:val="22"/>
              </w:rPr>
              <w:t>Neatsižvelgta:</w:t>
            </w:r>
          </w:p>
          <w:p w14:paraId="785318E3" w14:textId="62727AE2" w:rsidR="00AE1587" w:rsidRPr="0080547D" w:rsidRDefault="00AE1587" w:rsidP="00AF6471">
            <w:pPr>
              <w:ind w:firstLine="567"/>
              <w:jc w:val="both"/>
              <w:rPr>
                <w:b/>
                <w:caps/>
                <w:sz w:val="22"/>
                <w:szCs w:val="22"/>
              </w:rPr>
            </w:pPr>
            <w:r w:rsidRPr="00D85F5A">
              <w:rPr>
                <w:sz w:val="22"/>
                <w:szCs w:val="22"/>
              </w:rPr>
              <w:t xml:space="preserve">Nuostatų 5 punkte numatyta, jog Peticijų komisija savo veikloje vadovaujasi be kita ko ir Peticijų įstatymu, kuriame įtvirtinti peticijų nagrinėjimo principai. Peticijų įstatymo 11 straipsnio 2 punkte numatytas viešumo principas, kuris reiškia, kad peticijos nagrinėjamos viešai, išskyrus atvejus, kai reikia apsaugoti žmogaus asmens, jo privataus gyvenimo slaptumą, taip pat jeigu viešai nagrinėjama peticija atskleistų valstybės, tarnybos, profesinę ar komercinę paslaptį. Atsižvelgiant į tai, kad Peticijų įstatyme pakankamai plačiai atskleistas viešumo principo </w:t>
            </w:r>
            <w:r>
              <w:rPr>
                <w:sz w:val="22"/>
                <w:szCs w:val="22"/>
              </w:rPr>
              <w:t>turinys ir jo taikymo sąlygos</w:t>
            </w:r>
            <w:r w:rsidRPr="00D85F5A">
              <w:rPr>
                <w:sz w:val="22"/>
                <w:szCs w:val="22"/>
              </w:rPr>
              <w:t xml:space="preserve">, </w:t>
            </w:r>
            <w:r>
              <w:rPr>
                <w:sz w:val="22"/>
                <w:szCs w:val="22"/>
              </w:rPr>
              <w:t>manytina,</w:t>
            </w:r>
            <w:r w:rsidRPr="00D85F5A">
              <w:rPr>
                <w:sz w:val="22"/>
                <w:szCs w:val="22"/>
              </w:rPr>
              <w:t xml:space="preserve"> kad Peticijų komisija kiekvienu konkrečiu atveju (atsižvelgdama į pateiktos peticijos pobūdį) </w:t>
            </w:r>
            <w:r>
              <w:rPr>
                <w:sz w:val="22"/>
                <w:szCs w:val="22"/>
              </w:rPr>
              <w:t xml:space="preserve">gali </w:t>
            </w:r>
            <w:r w:rsidRPr="00D85F5A">
              <w:rPr>
                <w:sz w:val="22"/>
                <w:szCs w:val="22"/>
              </w:rPr>
              <w:t>spręs</w:t>
            </w:r>
            <w:r>
              <w:rPr>
                <w:sz w:val="22"/>
                <w:szCs w:val="22"/>
              </w:rPr>
              <w:t>ti</w:t>
            </w:r>
            <w:r w:rsidRPr="00D85F5A">
              <w:rPr>
                <w:sz w:val="22"/>
                <w:szCs w:val="22"/>
              </w:rPr>
              <w:t>, ar peticija gali būti nagrinėjama viešai</w:t>
            </w:r>
            <w:r>
              <w:rPr>
                <w:sz w:val="22"/>
                <w:szCs w:val="22"/>
              </w:rPr>
              <w:t xml:space="preserve">. Apžvalgoje ar pasitarime su Peticijų komisijų nariais jokių problemų, susijusių su </w:t>
            </w:r>
            <w:r w:rsidRPr="00D85F5A">
              <w:rPr>
                <w:sz w:val="22"/>
                <w:szCs w:val="22"/>
              </w:rPr>
              <w:t xml:space="preserve">Peticijų komisijos posėdžių viešumo (uždarumo) </w:t>
            </w:r>
            <w:r>
              <w:rPr>
                <w:sz w:val="22"/>
                <w:szCs w:val="22"/>
              </w:rPr>
              <w:t>principo įgyvendinimu, nebuvo identifikuota, todėl Nuostatai nėra siūlomi pildyti šiuo aspektu.</w:t>
            </w:r>
            <w:r w:rsidRPr="00D85F5A">
              <w:rPr>
                <w:sz w:val="22"/>
                <w:szCs w:val="22"/>
              </w:rPr>
              <w:t xml:space="preserve"> </w:t>
            </w:r>
          </w:p>
        </w:tc>
      </w:tr>
    </w:tbl>
    <w:p w14:paraId="2F1C45A1" w14:textId="77777777" w:rsidR="00AE1587" w:rsidRDefault="00AE1587" w:rsidP="00F82894"/>
    <w:sectPr w:rsidR="00AE1587" w:rsidSect="001254A0">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3B937" w14:textId="77777777" w:rsidR="00D20926" w:rsidRDefault="00D20926" w:rsidP="001254A0">
      <w:pPr>
        <w:spacing w:after="0" w:line="240" w:lineRule="auto"/>
      </w:pPr>
      <w:r>
        <w:separator/>
      </w:r>
    </w:p>
  </w:endnote>
  <w:endnote w:type="continuationSeparator" w:id="0">
    <w:p w14:paraId="1E849315" w14:textId="77777777" w:rsidR="00D20926" w:rsidRDefault="00D20926" w:rsidP="0012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A4A99" w14:textId="77777777" w:rsidR="00D20926" w:rsidRDefault="00D20926" w:rsidP="001254A0">
      <w:pPr>
        <w:spacing w:after="0" w:line="240" w:lineRule="auto"/>
      </w:pPr>
      <w:r>
        <w:separator/>
      </w:r>
    </w:p>
  </w:footnote>
  <w:footnote w:type="continuationSeparator" w:id="0">
    <w:p w14:paraId="09CBEFAF" w14:textId="77777777" w:rsidR="00D20926" w:rsidRDefault="00D20926" w:rsidP="00125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70321"/>
      <w:docPartObj>
        <w:docPartGallery w:val="Page Numbers (Top of Page)"/>
        <w:docPartUnique/>
      </w:docPartObj>
    </w:sdtPr>
    <w:sdtEndPr/>
    <w:sdtContent>
      <w:p w14:paraId="2216D897" w14:textId="77777777" w:rsidR="001254A0" w:rsidRDefault="001254A0">
        <w:pPr>
          <w:pStyle w:val="Antrats"/>
          <w:jc w:val="center"/>
        </w:pPr>
        <w:r>
          <w:fldChar w:fldCharType="begin"/>
        </w:r>
        <w:r>
          <w:instrText>PAGE   \* MERGEFORMAT</w:instrText>
        </w:r>
        <w:r>
          <w:fldChar w:fldCharType="separate"/>
        </w:r>
        <w:r w:rsidR="00F82894">
          <w:rPr>
            <w:noProof/>
          </w:rPr>
          <w:t>2</w:t>
        </w:r>
        <w:r>
          <w:fldChar w:fldCharType="end"/>
        </w:r>
      </w:p>
    </w:sdtContent>
  </w:sdt>
  <w:p w14:paraId="617FE6A1" w14:textId="77777777" w:rsidR="001254A0" w:rsidRDefault="001254A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87"/>
    <w:rsid w:val="001254A0"/>
    <w:rsid w:val="00291999"/>
    <w:rsid w:val="003B5A07"/>
    <w:rsid w:val="005D7B2A"/>
    <w:rsid w:val="00910451"/>
    <w:rsid w:val="00AE1587"/>
    <w:rsid w:val="00AF6471"/>
    <w:rsid w:val="00B36FA3"/>
    <w:rsid w:val="00D131EB"/>
    <w:rsid w:val="00D20926"/>
    <w:rsid w:val="00F82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BD6E"/>
  <w15:chartTrackingRefBased/>
  <w15:docId w15:val="{1472EC2D-AD96-4C85-AB85-2485CE1F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E15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4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54A0"/>
  </w:style>
  <w:style w:type="paragraph" w:styleId="Porat">
    <w:name w:val="footer"/>
    <w:basedOn w:val="prastasis"/>
    <w:link w:val="PoratDiagrama"/>
    <w:uiPriority w:val="99"/>
    <w:unhideWhenUsed/>
    <w:rsid w:val="001254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54A0"/>
  </w:style>
  <w:style w:type="character" w:styleId="Komentaronuoroda">
    <w:name w:val="annotation reference"/>
    <w:basedOn w:val="Numatytasispastraiposriftas"/>
    <w:uiPriority w:val="99"/>
    <w:semiHidden/>
    <w:unhideWhenUsed/>
    <w:rsid w:val="005D7B2A"/>
    <w:rPr>
      <w:sz w:val="16"/>
      <w:szCs w:val="16"/>
    </w:rPr>
  </w:style>
  <w:style w:type="paragraph" w:styleId="Komentarotekstas">
    <w:name w:val="annotation text"/>
    <w:basedOn w:val="prastasis"/>
    <w:link w:val="KomentarotekstasDiagrama"/>
    <w:uiPriority w:val="99"/>
    <w:semiHidden/>
    <w:unhideWhenUsed/>
    <w:rsid w:val="005D7B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7B2A"/>
    <w:rPr>
      <w:sz w:val="20"/>
      <w:szCs w:val="20"/>
    </w:rPr>
  </w:style>
  <w:style w:type="paragraph" w:styleId="Komentarotema">
    <w:name w:val="annotation subject"/>
    <w:basedOn w:val="Komentarotekstas"/>
    <w:next w:val="Komentarotekstas"/>
    <w:link w:val="KomentarotemaDiagrama"/>
    <w:uiPriority w:val="99"/>
    <w:semiHidden/>
    <w:unhideWhenUsed/>
    <w:rsid w:val="005D7B2A"/>
    <w:rPr>
      <w:b/>
      <w:bCs/>
    </w:rPr>
  </w:style>
  <w:style w:type="character" w:customStyle="1" w:styleId="KomentarotemaDiagrama">
    <w:name w:val="Komentaro tema Diagrama"/>
    <w:basedOn w:val="KomentarotekstasDiagrama"/>
    <w:link w:val="Komentarotema"/>
    <w:uiPriority w:val="99"/>
    <w:semiHidden/>
    <w:rsid w:val="005D7B2A"/>
    <w:rPr>
      <w:b/>
      <w:bCs/>
      <w:sz w:val="20"/>
      <w:szCs w:val="20"/>
    </w:rPr>
  </w:style>
  <w:style w:type="paragraph" w:styleId="Debesliotekstas">
    <w:name w:val="Balloon Text"/>
    <w:basedOn w:val="prastasis"/>
    <w:link w:val="DebesliotekstasDiagrama"/>
    <w:uiPriority w:val="99"/>
    <w:semiHidden/>
    <w:unhideWhenUsed/>
    <w:rsid w:val="005D7B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7B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5461</Words>
  <Characters>3113</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2019-10-24T07:39:00Z</dcterms:created>
  <dc:creator>Sandra Vasiulytė-Maliaukė</dc:creator>
  <cp:lastModifiedBy>Sandra Vasiulytė-Maliaukė</cp:lastModifiedBy>
  <dcterms:modified xsi:type="dcterms:W3CDTF">2019-10-24T08:03:00Z</dcterms:modified>
  <cp:revision>4</cp:revision>
</cp:coreProperties>
</file>