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2F6C2BC8" w14:textId="77777777" w:rsidR="00F80C69" w:rsidRPr="00F80C69" w:rsidRDefault="00F80C69" w:rsidP="00F80C69">
      <w:pPr>
        <w:tabs>
          <w:tab w:val="left" w:pos="6804"/>
        </w:tabs>
        <w:spacing w:line="300" w:lineRule="exact"/>
        <w:jc w:val="center"/>
        <w:rPr>
          <w:b/>
          <w:caps/>
          <w:sz w:val="24"/>
          <w:szCs w:val="24"/>
          <w:lang w:eastAsia="lt-LT"/>
        </w:rPr>
      </w:pPr>
      <w:r w:rsidRPr="00F80C69">
        <w:rPr>
          <w:b/>
          <w:caps/>
          <w:sz w:val="24"/>
          <w:szCs w:val="24"/>
          <w:lang w:eastAsia="lt-LT"/>
        </w:rPr>
        <w:t xml:space="preserve">DĖL </w:t>
      </w:r>
      <w:bookmarkStart w:id="0" w:name="_Hlk535219033"/>
      <w:r w:rsidRPr="00F80C69">
        <w:rPr>
          <w:b/>
          <w:caps/>
          <w:sz w:val="24"/>
          <w:szCs w:val="24"/>
          <w:lang w:eastAsia="lt-LT"/>
        </w:rPr>
        <w:t xml:space="preserve">Lietuvos Respublikos Vyriausybės 2012 m. balandžio 18 d. nutarimo Nr. 435 „Dėl </w:t>
      </w:r>
      <w:bookmarkStart w:id="1" w:name="_Hlk535219421"/>
      <w:r w:rsidRPr="00F80C69">
        <w:rPr>
          <w:b/>
          <w:caps/>
          <w:sz w:val="24"/>
          <w:szCs w:val="24"/>
          <w:lang w:eastAsia="lt-LT"/>
        </w:rPr>
        <w:t xml:space="preserve">Įtariamųjų, kaltinamųjų ir nuteistųjų registro nuostatų </w:t>
      </w:r>
      <w:bookmarkEnd w:id="1"/>
      <w:r w:rsidRPr="00F80C69">
        <w:rPr>
          <w:b/>
          <w:caps/>
          <w:sz w:val="24"/>
          <w:szCs w:val="24"/>
          <w:lang w:eastAsia="lt-LT"/>
        </w:rPr>
        <w:t>patvirtinimo ir veiklos pradžios nustatymo“ pakeitimo projekto</w:t>
      </w:r>
      <w:bookmarkEnd w:id="0"/>
    </w:p>
    <w:p w14:paraId="63D8746A" w14:textId="77777777" w:rsidR="00F80C69" w:rsidRPr="00F80C69" w:rsidRDefault="00F80C69" w:rsidP="00F80C69">
      <w:pPr>
        <w:tabs>
          <w:tab w:val="left" w:pos="6804"/>
        </w:tabs>
        <w:spacing w:line="300" w:lineRule="exact"/>
        <w:jc w:val="center"/>
        <w:rPr>
          <w:b/>
          <w:caps/>
          <w:sz w:val="24"/>
          <w:szCs w:val="24"/>
          <w:lang w:eastAsia="lt-LT"/>
        </w:rPr>
      </w:pPr>
      <w:r w:rsidRPr="00F80C69">
        <w:rPr>
          <w:b/>
          <w:caps/>
          <w:sz w:val="24"/>
          <w:szCs w:val="24"/>
          <w:lang w:eastAsia="lt-LT"/>
        </w:rPr>
        <w:t>(</w:t>
      </w:r>
      <w:r w:rsidRPr="00F80C69">
        <w:rPr>
          <w:b/>
          <w:sz w:val="24"/>
          <w:szCs w:val="24"/>
          <w:lang w:eastAsia="lt-LT"/>
        </w:rPr>
        <w:t xml:space="preserve">toliau </w:t>
      </w:r>
      <w:r w:rsidRPr="00F80C69">
        <w:rPr>
          <w:b/>
          <w:caps/>
          <w:sz w:val="24"/>
          <w:szCs w:val="24"/>
          <w:lang w:eastAsia="lt-LT"/>
        </w:rPr>
        <w:t>– P</w:t>
      </w:r>
      <w:r w:rsidRPr="00F80C69">
        <w:rPr>
          <w:b/>
          <w:sz w:val="24"/>
          <w:szCs w:val="24"/>
          <w:lang w:eastAsia="lt-LT"/>
        </w:rPr>
        <w:t>rojektas)</w:t>
      </w:r>
    </w:p>
    <w:p w14:paraId="01F701C5" w14:textId="590B392A" w:rsidR="00F80C69" w:rsidRPr="00F80C69" w:rsidRDefault="00F80C69" w:rsidP="00F80C69">
      <w:pPr>
        <w:tabs>
          <w:tab w:val="left" w:pos="6804"/>
        </w:tabs>
        <w:spacing w:line="300" w:lineRule="exact"/>
        <w:jc w:val="center"/>
        <w:rPr>
          <w:b/>
          <w:caps/>
          <w:sz w:val="24"/>
          <w:szCs w:val="24"/>
          <w:lang w:eastAsia="lt-LT"/>
        </w:rPr>
      </w:pPr>
      <w:r w:rsidRPr="00F80C69">
        <w:rPr>
          <w:b/>
          <w:caps/>
          <w:sz w:val="24"/>
          <w:szCs w:val="24"/>
          <w:lang w:eastAsia="lt-LT"/>
        </w:rPr>
        <w:t>(TAP NR. 19-18</w:t>
      </w:r>
      <w:r w:rsidR="00A31E34">
        <w:rPr>
          <w:b/>
          <w:caps/>
          <w:sz w:val="24"/>
          <w:szCs w:val="24"/>
          <w:lang w:eastAsia="lt-LT"/>
        </w:rPr>
        <w:t>(2)</w:t>
      </w:r>
      <w:r w:rsidRPr="00F80C69">
        <w:rPr>
          <w:b/>
          <w:caps/>
          <w:sz w:val="24"/>
          <w:szCs w:val="24"/>
          <w:lang w:eastAsia="lt-LT"/>
        </w:rPr>
        <w:t>; TAIS NR. 18-12192(</w:t>
      </w:r>
      <w:r w:rsidR="00A31E34">
        <w:rPr>
          <w:b/>
          <w:caps/>
          <w:sz w:val="24"/>
          <w:szCs w:val="24"/>
          <w:lang w:eastAsia="lt-LT"/>
        </w:rPr>
        <w:t>4</w:t>
      </w:r>
      <w:r w:rsidRPr="00F80C69">
        <w:rPr>
          <w:b/>
          <w:caps/>
          <w:sz w:val="24"/>
          <w:szCs w:val="24"/>
          <w:lang w:eastAsia="lt-LT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251818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AAAC55E" w14:textId="06B30C83" w:rsidR="00556C76" w:rsidRDefault="00825C55" w:rsidP="00825C55">
      <w:pPr>
        <w:pStyle w:val="ListParagraph"/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364490">
        <w:rPr>
          <w:sz w:val="24"/>
          <w:szCs w:val="24"/>
        </w:rPr>
        <w:t>Įvertinę</w:t>
      </w:r>
      <w:r w:rsidR="000E3EAE">
        <w:rPr>
          <w:sz w:val="24"/>
          <w:szCs w:val="24"/>
        </w:rPr>
        <w:t xml:space="preserve"> </w:t>
      </w:r>
      <w:r w:rsidR="006F0C6B" w:rsidRPr="00364490">
        <w:rPr>
          <w:sz w:val="24"/>
          <w:szCs w:val="24"/>
        </w:rPr>
        <w:t>Projekto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B70497" w:rsidRPr="00364490">
        <w:rPr>
          <w:sz w:val="24"/>
          <w:szCs w:val="24"/>
        </w:rPr>
        <w:t>, Vyriausybės nutarimams</w:t>
      </w:r>
      <w:r w:rsidR="00556C76">
        <w:rPr>
          <w:sz w:val="24"/>
          <w:szCs w:val="24"/>
        </w:rPr>
        <w:t xml:space="preserve"> bei </w:t>
      </w:r>
      <w:r w:rsidR="008A142C">
        <w:rPr>
          <w:sz w:val="24"/>
          <w:szCs w:val="24"/>
        </w:rPr>
        <w:t>teisės technikos reikalavimams</w:t>
      </w:r>
      <w:r w:rsidR="00F66E3F">
        <w:rPr>
          <w:sz w:val="24"/>
          <w:szCs w:val="24"/>
        </w:rPr>
        <w:t xml:space="preserve">, </w:t>
      </w:r>
      <w:r w:rsidR="00556C76">
        <w:rPr>
          <w:sz w:val="24"/>
          <w:szCs w:val="24"/>
        </w:rPr>
        <w:t>teikiame šias pastabas ir pasiūlymus:</w:t>
      </w:r>
    </w:p>
    <w:p w14:paraId="3AAAC5C8" w14:textId="73105F4F" w:rsidR="0061284A" w:rsidRPr="00D20FDD" w:rsidRDefault="00683383" w:rsidP="00A76BD5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 w:rsidRPr="00D20FDD">
        <w:rPr>
          <w:sz w:val="24"/>
          <w:szCs w:val="24"/>
        </w:rPr>
        <w:t xml:space="preserve">Nepilnai atsižvelgta į Vyriausybės kanceliarijos Teisės grupės 2019 m. sausio 16 d.  išvados Nr. NV- 139 12 pastabą dėl </w:t>
      </w:r>
      <w:r w:rsidR="0009747A" w:rsidRPr="00D20FDD">
        <w:rPr>
          <w:sz w:val="24"/>
          <w:szCs w:val="24"/>
        </w:rPr>
        <w:t xml:space="preserve"> formuluočių „fizinis asmuo“, „fizinis ir juridinis asmuo“, „asmuo“ vartojimo </w:t>
      </w:r>
      <w:r w:rsidR="00D20FDD" w:rsidRPr="00D20FDD">
        <w:rPr>
          <w:sz w:val="24"/>
          <w:szCs w:val="24"/>
        </w:rPr>
        <w:t>Projekte nauja redakcija dėstomuose Įtariamųjų, kaltinamųjų ir nuteistųjų registro nuostatuose (toliau – Nuostatai).</w:t>
      </w:r>
      <w:r w:rsidR="00F66E3F" w:rsidRPr="00D20FDD">
        <w:rPr>
          <w:sz w:val="24"/>
          <w:szCs w:val="24"/>
        </w:rPr>
        <w:t xml:space="preserve"> </w:t>
      </w:r>
      <w:r w:rsidR="0009747A" w:rsidRPr="00D20FDD">
        <w:rPr>
          <w:sz w:val="24"/>
          <w:szCs w:val="24"/>
        </w:rPr>
        <w:t>Šiuo aspektu turėtų būti tikslinami</w:t>
      </w:r>
      <w:r w:rsidR="00027F8D">
        <w:rPr>
          <w:sz w:val="24"/>
          <w:szCs w:val="24"/>
        </w:rPr>
        <w:t xml:space="preserve"> Nuostatų </w:t>
      </w:r>
      <w:r w:rsidR="0009747A" w:rsidRPr="00D20FDD">
        <w:rPr>
          <w:sz w:val="24"/>
          <w:szCs w:val="24"/>
        </w:rPr>
        <w:t xml:space="preserve"> 15, 15.1, 15.1.5-15.1.7, 15.2 ir kt. punktai ir papunkčiai.</w:t>
      </w:r>
      <w:r w:rsidR="00A31E34" w:rsidRPr="00D20FDD">
        <w:rPr>
          <w:sz w:val="24"/>
          <w:szCs w:val="24"/>
        </w:rPr>
        <w:t xml:space="preserve"> </w:t>
      </w:r>
      <w:r w:rsidR="0061284A" w:rsidRPr="00D20FDD">
        <w:rPr>
          <w:sz w:val="24"/>
          <w:szCs w:val="24"/>
        </w:rPr>
        <w:t xml:space="preserve"> Be to, Nuostatų 23 punkte kaip specialieji registro objekto duomenys nurodomi </w:t>
      </w:r>
      <w:r w:rsidR="0061284A" w:rsidRPr="00D20FDD">
        <w:rPr>
          <w:i/>
          <w:sz w:val="24"/>
          <w:szCs w:val="24"/>
        </w:rPr>
        <w:t xml:space="preserve">nuo 2003 m. gegužės 1 d. dėl </w:t>
      </w:r>
      <w:r w:rsidR="0061284A" w:rsidRPr="00D20FDD">
        <w:rPr>
          <w:i/>
          <w:sz w:val="24"/>
          <w:szCs w:val="24"/>
          <w:u w:val="single"/>
        </w:rPr>
        <w:t>fizinių ir juridinių asmenų</w:t>
      </w:r>
      <w:r w:rsidR="0061284A" w:rsidRPr="00D20FDD">
        <w:rPr>
          <w:i/>
          <w:sz w:val="24"/>
          <w:szCs w:val="24"/>
        </w:rPr>
        <w:t xml:space="preserve">  priimtų teismų sprendimų duomenys</w:t>
      </w:r>
      <w:r w:rsidR="0061284A" w:rsidRPr="00D20FDD">
        <w:rPr>
          <w:sz w:val="24"/>
          <w:szCs w:val="24"/>
        </w:rPr>
        <w:t xml:space="preserve">, tačiau visuose 23 punkto papunkčiuose (23.1-23.2 p.) nurodomi tik su </w:t>
      </w:r>
      <w:r w:rsidR="0061284A" w:rsidRPr="00027F8D">
        <w:rPr>
          <w:sz w:val="24"/>
          <w:szCs w:val="24"/>
          <w:u w:val="single"/>
        </w:rPr>
        <w:t>fiziniais asmenimis</w:t>
      </w:r>
      <w:r w:rsidR="0061284A" w:rsidRPr="00D20FDD">
        <w:rPr>
          <w:sz w:val="24"/>
          <w:szCs w:val="24"/>
        </w:rPr>
        <w:t xml:space="preserve"> siejami duomenys; būtina tikslinti.</w:t>
      </w:r>
    </w:p>
    <w:p w14:paraId="1EF0EBD2" w14:textId="3CD73DD5" w:rsidR="00D164AE" w:rsidRDefault="00D164AE" w:rsidP="00825C55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Siūlome įvertinti, ar </w:t>
      </w:r>
      <w:r w:rsidR="00E82D45">
        <w:rPr>
          <w:sz w:val="24"/>
          <w:szCs w:val="24"/>
        </w:rPr>
        <w:t>Nuostatų 28.5 papunktyje vartojama tinkama formuluotė „</w:t>
      </w:r>
      <w:r w:rsidR="00E82D45" w:rsidRPr="00E82D45">
        <w:rPr>
          <w:i/>
          <w:sz w:val="24"/>
          <w:szCs w:val="24"/>
        </w:rPr>
        <w:t>ECRIS sprendimu</w:t>
      </w:r>
      <w:r w:rsidR="00E82D45">
        <w:rPr>
          <w:sz w:val="24"/>
          <w:szCs w:val="24"/>
        </w:rPr>
        <w:t>“, atsižvelgiant į tai, kad ECRIS yra Europos nuosprendžių registrų informacinė sistema (žr. Nuostatų 9.3 papunktį).</w:t>
      </w:r>
    </w:p>
    <w:p w14:paraId="4AE6C9C7" w14:textId="32F9AECF" w:rsidR="002F2DBF" w:rsidRDefault="00C0579C" w:rsidP="00825C55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 w:rsidRPr="000B2A5D">
        <w:rPr>
          <w:sz w:val="24"/>
          <w:szCs w:val="24"/>
        </w:rPr>
        <w:t xml:space="preserve">Nuostatų 37-39 punktai dėstomi poskirsnyje „ </w:t>
      </w:r>
      <w:r w:rsidRPr="002F2DBF">
        <w:rPr>
          <w:i/>
          <w:sz w:val="24"/>
          <w:szCs w:val="24"/>
        </w:rPr>
        <w:t xml:space="preserve">Fiziniams ir juridiniams asmenims paskirtų </w:t>
      </w:r>
      <w:r w:rsidRPr="002F2DBF">
        <w:rPr>
          <w:i/>
          <w:sz w:val="24"/>
          <w:szCs w:val="24"/>
          <w:u w:val="single"/>
        </w:rPr>
        <w:t>bausmių ir baudžiamojo poveikio priemonių</w:t>
      </w:r>
      <w:r w:rsidRPr="002F2DBF">
        <w:rPr>
          <w:i/>
          <w:sz w:val="24"/>
          <w:szCs w:val="24"/>
        </w:rPr>
        <w:t xml:space="preserve"> vykdymo ir atlikimo duomenys</w:t>
      </w:r>
      <w:r w:rsidRPr="000B2A5D">
        <w:rPr>
          <w:sz w:val="24"/>
          <w:szCs w:val="24"/>
        </w:rPr>
        <w:t xml:space="preserve">“. Atkreipiame dėmesį, kad šio poskirsnio 37, 38, 39 punktuose minimi tik </w:t>
      </w:r>
      <w:r w:rsidRPr="002F2DBF">
        <w:rPr>
          <w:i/>
          <w:sz w:val="24"/>
          <w:szCs w:val="24"/>
          <w:u w:val="single"/>
        </w:rPr>
        <w:t>bausmių</w:t>
      </w:r>
      <w:r w:rsidRPr="000B2A5D">
        <w:rPr>
          <w:i/>
          <w:sz w:val="24"/>
          <w:szCs w:val="24"/>
        </w:rPr>
        <w:t xml:space="preserve"> </w:t>
      </w:r>
      <w:r w:rsidRPr="000B2A5D">
        <w:rPr>
          <w:sz w:val="24"/>
          <w:szCs w:val="24"/>
        </w:rPr>
        <w:t>vykdymo ir atlikimo duomenys, nors, pvz., pa</w:t>
      </w:r>
      <w:r w:rsidR="000B2A5D" w:rsidRPr="000B2A5D">
        <w:rPr>
          <w:sz w:val="24"/>
          <w:szCs w:val="24"/>
        </w:rPr>
        <w:t>g</w:t>
      </w:r>
      <w:r w:rsidRPr="000B2A5D">
        <w:rPr>
          <w:sz w:val="24"/>
          <w:szCs w:val="24"/>
        </w:rPr>
        <w:t>al 38</w:t>
      </w:r>
      <w:r w:rsidR="000B2A5D" w:rsidRPr="000B2A5D">
        <w:rPr>
          <w:sz w:val="24"/>
          <w:szCs w:val="24"/>
        </w:rPr>
        <w:t xml:space="preserve"> punkto </w:t>
      </w:r>
      <w:r w:rsidRPr="000B2A5D">
        <w:rPr>
          <w:sz w:val="24"/>
          <w:szCs w:val="24"/>
        </w:rPr>
        <w:t>p</w:t>
      </w:r>
      <w:r w:rsidR="000B2A5D" w:rsidRPr="000B2A5D">
        <w:rPr>
          <w:sz w:val="24"/>
          <w:szCs w:val="24"/>
        </w:rPr>
        <w:t>a</w:t>
      </w:r>
      <w:r w:rsidRPr="000B2A5D">
        <w:rPr>
          <w:sz w:val="24"/>
          <w:szCs w:val="24"/>
        </w:rPr>
        <w:t>punkči</w:t>
      </w:r>
      <w:r w:rsidR="000B2A5D" w:rsidRPr="000B2A5D">
        <w:rPr>
          <w:sz w:val="24"/>
          <w:szCs w:val="24"/>
        </w:rPr>
        <w:t>ų</w:t>
      </w:r>
      <w:r w:rsidRPr="000B2A5D">
        <w:rPr>
          <w:sz w:val="24"/>
          <w:szCs w:val="24"/>
        </w:rPr>
        <w:t xml:space="preserve"> turinį </w:t>
      </w:r>
      <w:r w:rsidR="000B2A5D" w:rsidRPr="000B2A5D">
        <w:rPr>
          <w:sz w:val="24"/>
          <w:szCs w:val="24"/>
        </w:rPr>
        <w:t>-</w:t>
      </w:r>
      <w:r w:rsidR="002F2DBF">
        <w:rPr>
          <w:sz w:val="24"/>
          <w:szCs w:val="24"/>
        </w:rPr>
        <w:t xml:space="preserve"> </w:t>
      </w:r>
      <w:r w:rsidRPr="000B2A5D">
        <w:rPr>
          <w:sz w:val="24"/>
          <w:szCs w:val="24"/>
        </w:rPr>
        <w:t xml:space="preserve">ten yra nurodytos ir </w:t>
      </w:r>
      <w:r w:rsidRPr="002F2DBF">
        <w:rPr>
          <w:i/>
          <w:sz w:val="24"/>
          <w:szCs w:val="24"/>
          <w:u w:val="single"/>
        </w:rPr>
        <w:t>baudžiamojo poveikio priemonės</w:t>
      </w:r>
      <w:r w:rsidRPr="000B2A5D">
        <w:rPr>
          <w:sz w:val="24"/>
          <w:szCs w:val="24"/>
        </w:rPr>
        <w:t>. Siūlome patik</w:t>
      </w:r>
      <w:r w:rsidR="000B2A5D" w:rsidRPr="000B2A5D">
        <w:rPr>
          <w:sz w:val="24"/>
          <w:szCs w:val="24"/>
        </w:rPr>
        <w:t>sl</w:t>
      </w:r>
      <w:r w:rsidRPr="000B2A5D">
        <w:rPr>
          <w:sz w:val="24"/>
          <w:szCs w:val="24"/>
        </w:rPr>
        <w:t>inti atitinkamų punktų formuluotes</w:t>
      </w:r>
      <w:r w:rsidR="000B2A5D">
        <w:rPr>
          <w:sz w:val="24"/>
          <w:szCs w:val="24"/>
        </w:rPr>
        <w:t>. Taip pat siūlome įvertinti</w:t>
      </w:r>
      <w:r w:rsidR="00F80C52">
        <w:rPr>
          <w:sz w:val="24"/>
          <w:szCs w:val="24"/>
        </w:rPr>
        <w:t>, ar</w:t>
      </w:r>
      <w:r w:rsidR="000B2A5D">
        <w:rPr>
          <w:sz w:val="24"/>
          <w:szCs w:val="24"/>
        </w:rPr>
        <w:t xml:space="preserve"> nereikėtų pildyti Nuostatų 39 punkto atsižvelgiant į tai, kad </w:t>
      </w:r>
      <w:r w:rsidRPr="000B2A5D">
        <w:rPr>
          <w:sz w:val="24"/>
          <w:szCs w:val="24"/>
        </w:rPr>
        <w:t>Baudžia</w:t>
      </w:r>
      <w:r w:rsidR="000B2A5D" w:rsidRPr="000B2A5D">
        <w:rPr>
          <w:sz w:val="24"/>
          <w:szCs w:val="24"/>
        </w:rPr>
        <w:t>mo</w:t>
      </w:r>
      <w:r w:rsidRPr="000B2A5D">
        <w:rPr>
          <w:sz w:val="24"/>
          <w:szCs w:val="24"/>
        </w:rPr>
        <w:t>jo kodekso 67 straipsnio 5 dalis numato, kad juridin</w:t>
      </w:r>
      <w:r w:rsidR="000B2A5D" w:rsidRPr="000B2A5D">
        <w:rPr>
          <w:sz w:val="24"/>
          <w:szCs w:val="24"/>
        </w:rPr>
        <w:t>i</w:t>
      </w:r>
      <w:r w:rsidRPr="000B2A5D">
        <w:rPr>
          <w:sz w:val="24"/>
          <w:szCs w:val="24"/>
        </w:rPr>
        <w:t>ams asmeni</w:t>
      </w:r>
      <w:r w:rsidR="000B2A5D" w:rsidRPr="000B2A5D">
        <w:rPr>
          <w:sz w:val="24"/>
          <w:szCs w:val="24"/>
        </w:rPr>
        <w:t>m</w:t>
      </w:r>
      <w:r w:rsidRPr="000B2A5D">
        <w:rPr>
          <w:sz w:val="24"/>
          <w:szCs w:val="24"/>
        </w:rPr>
        <w:t xml:space="preserve">s taip pat gali būti skirtos baudžiamojo poveikio priemonės, </w:t>
      </w:r>
      <w:r w:rsidR="000B2A5D">
        <w:rPr>
          <w:sz w:val="24"/>
          <w:szCs w:val="24"/>
        </w:rPr>
        <w:t>kurios</w:t>
      </w:r>
      <w:r w:rsidRPr="000B2A5D">
        <w:rPr>
          <w:sz w:val="24"/>
          <w:szCs w:val="24"/>
        </w:rPr>
        <w:t xml:space="preserve"> Nuost</w:t>
      </w:r>
      <w:r w:rsidR="000B2A5D" w:rsidRPr="000B2A5D">
        <w:rPr>
          <w:sz w:val="24"/>
          <w:szCs w:val="24"/>
        </w:rPr>
        <w:t>a</w:t>
      </w:r>
      <w:r w:rsidRPr="000B2A5D">
        <w:rPr>
          <w:sz w:val="24"/>
          <w:szCs w:val="24"/>
        </w:rPr>
        <w:t>tų 39 punkte  nenurodomos</w:t>
      </w:r>
      <w:r w:rsidR="000B2A5D" w:rsidRPr="000B2A5D">
        <w:rPr>
          <w:sz w:val="24"/>
          <w:szCs w:val="24"/>
        </w:rPr>
        <w:t xml:space="preserve">. </w:t>
      </w:r>
    </w:p>
    <w:p w14:paraId="4ADC67F2" w14:textId="4A132D2E" w:rsidR="00895040" w:rsidRDefault="00895040" w:rsidP="00825C55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Nuostatai tikslintini teisės technikos aspektu</w:t>
      </w:r>
      <w:r w:rsidR="00825C55">
        <w:rPr>
          <w:sz w:val="24"/>
          <w:szCs w:val="24"/>
        </w:rPr>
        <w:t xml:space="preserve"> at</w:t>
      </w:r>
      <w:r w:rsidR="00825C55">
        <w:rPr>
          <w:sz w:val="24"/>
          <w:szCs w:val="24"/>
          <w:lang w:eastAsia="lt-LT"/>
        </w:rPr>
        <w:t>sižvelgiant į Teisės aktų projektų rengimo rekomendacijų, patvirtintų Lietuvos Respublikos teisingumo ministro 2013 m. gruodžio 23 d. įsakymu Nr. 1R-298</w:t>
      </w:r>
      <w:r w:rsidR="00027F8D">
        <w:rPr>
          <w:sz w:val="24"/>
          <w:szCs w:val="24"/>
          <w:lang w:eastAsia="lt-LT"/>
        </w:rPr>
        <w:t xml:space="preserve"> (toliau- Rekomendacijos)</w:t>
      </w:r>
      <w:r w:rsidR="00825C55">
        <w:rPr>
          <w:sz w:val="24"/>
          <w:szCs w:val="24"/>
          <w:lang w:eastAsia="lt-LT"/>
        </w:rPr>
        <w:t>, reikalavimus:</w:t>
      </w:r>
    </w:p>
    <w:p w14:paraId="3B8D3481" w14:textId="2F12E9B7" w:rsidR="00895040" w:rsidRPr="00223DB8" w:rsidRDefault="002F2DBF" w:rsidP="006A1C05">
      <w:pPr>
        <w:pStyle w:val="ListParagraph"/>
        <w:numPr>
          <w:ilvl w:val="0"/>
          <w:numId w:val="33"/>
        </w:numPr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 w:rsidRPr="00223DB8">
        <w:rPr>
          <w:sz w:val="24"/>
          <w:szCs w:val="24"/>
        </w:rPr>
        <w:lastRenderedPageBreak/>
        <w:t>Nuostatų</w:t>
      </w:r>
      <w:r w:rsidR="00895040" w:rsidRPr="00223DB8">
        <w:rPr>
          <w:sz w:val="24"/>
          <w:szCs w:val="24"/>
        </w:rPr>
        <w:t xml:space="preserve"> </w:t>
      </w:r>
      <w:r w:rsidRPr="00223DB8">
        <w:rPr>
          <w:sz w:val="24"/>
          <w:szCs w:val="24"/>
        </w:rPr>
        <w:t xml:space="preserve"> 6 punkte nurodytas </w:t>
      </w:r>
      <w:r w:rsidR="00895040" w:rsidRPr="00223DB8">
        <w:rPr>
          <w:sz w:val="24"/>
          <w:szCs w:val="24"/>
        </w:rPr>
        <w:t xml:space="preserve">netikslus </w:t>
      </w:r>
      <w:r w:rsidRPr="00223DB8">
        <w:rPr>
          <w:sz w:val="24"/>
          <w:szCs w:val="24"/>
        </w:rPr>
        <w:t>Vyriausybės 2013 m. liepos 24 d. nutarimo Nr.716 pavadinimas</w:t>
      </w:r>
      <w:r w:rsidR="00895040" w:rsidRPr="00223DB8">
        <w:rPr>
          <w:sz w:val="24"/>
          <w:szCs w:val="24"/>
        </w:rPr>
        <w:t>;</w:t>
      </w:r>
      <w:r w:rsidR="00223DB8" w:rsidRPr="00223DB8">
        <w:rPr>
          <w:sz w:val="24"/>
          <w:szCs w:val="24"/>
        </w:rPr>
        <w:t xml:space="preserve"> taip pat šiame</w:t>
      </w:r>
      <w:r w:rsidR="00895040" w:rsidRPr="00223DB8">
        <w:rPr>
          <w:sz w:val="24"/>
          <w:szCs w:val="24"/>
        </w:rPr>
        <w:t xml:space="preserve"> punkte </w:t>
      </w:r>
      <w:r w:rsidRPr="00223DB8">
        <w:rPr>
          <w:sz w:val="24"/>
          <w:szCs w:val="24"/>
        </w:rPr>
        <w:t>nurodant Lietuvos Respublikos teisės gauti informaciją iš valstybės ir savivaldybių institucijų ir įstaigų įstatymo pavadinimą, jame neturi būti skyrybos ženklo</w:t>
      </w:r>
      <w:r w:rsidR="00895040" w:rsidRPr="00223DB8">
        <w:rPr>
          <w:sz w:val="24"/>
          <w:szCs w:val="24"/>
        </w:rPr>
        <w:t>;</w:t>
      </w:r>
    </w:p>
    <w:p w14:paraId="3616281D" w14:textId="031B70CF" w:rsidR="002F2DBF" w:rsidRDefault="00895040" w:rsidP="00825C55">
      <w:pPr>
        <w:pStyle w:val="ListParagraph"/>
        <w:numPr>
          <w:ilvl w:val="0"/>
          <w:numId w:val="33"/>
        </w:numPr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 w:rsidRPr="002F2DBF">
        <w:rPr>
          <w:sz w:val="24"/>
          <w:szCs w:val="24"/>
        </w:rPr>
        <w:t>Nuostatų  19.3.4 papunktyje po žodžio „ar“ praleistas žodis „panaikintos</w:t>
      </w:r>
      <w:r>
        <w:rPr>
          <w:sz w:val="24"/>
          <w:szCs w:val="24"/>
        </w:rPr>
        <w:t>“;</w:t>
      </w:r>
    </w:p>
    <w:p w14:paraId="4EC35EC9" w14:textId="30C83D64" w:rsidR="00895040" w:rsidRDefault="00895040" w:rsidP="00825C55">
      <w:pPr>
        <w:pStyle w:val="ListParagraph"/>
        <w:numPr>
          <w:ilvl w:val="0"/>
          <w:numId w:val="33"/>
        </w:numPr>
        <w:tabs>
          <w:tab w:val="left" w:pos="851"/>
        </w:tabs>
        <w:spacing w:line="360" w:lineRule="auto"/>
        <w:ind w:left="284" w:firstLine="284"/>
        <w:jc w:val="both"/>
        <w:rPr>
          <w:sz w:val="24"/>
          <w:szCs w:val="24"/>
        </w:rPr>
      </w:pPr>
      <w:r w:rsidRPr="00895040">
        <w:rPr>
          <w:sz w:val="24"/>
          <w:szCs w:val="24"/>
          <w:lang w:eastAsia="lt-LT"/>
        </w:rPr>
        <w:t>Nuostatų 43 punkte reikėtų atsisakyti perteklinių įvedamų santrumpų</w:t>
      </w:r>
      <w:r>
        <w:rPr>
          <w:sz w:val="24"/>
          <w:szCs w:val="24"/>
          <w:lang w:eastAsia="lt-LT"/>
        </w:rPr>
        <w:t xml:space="preserve"> (žr.</w:t>
      </w:r>
      <w:r w:rsidRPr="00895040">
        <w:rPr>
          <w:sz w:val="24"/>
          <w:szCs w:val="24"/>
        </w:rPr>
        <w:t xml:space="preserve"> Vyriausybės kanceliarijos Teisės grupės 2019 m. sausio 16 d.  išvados Nr. NV- 139 </w:t>
      </w:r>
      <w:r w:rsidRPr="0089504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1</w:t>
      </w:r>
      <w:r w:rsidRPr="00895040">
        <w:rPr>
          <w:sz w:val="24"/>
          <w:szCs w:val="24"/>
          <w:lang w:eastAsia="lt-LT"/>
        </w:rPr>
        <w:t>2  pastabą</w:t>
      </w:r>
      <w:r>
        <w:rPr>
          <w:sz w:val="24"/>
          <w:szCs w:val="24"/>
          <w:lang w:eastAsia="lt-LT"/>
        </w:rPr>
        <w:t>);</w:t>
      </w:r>
    </w:p>
    <w:p w14:paraId="03B13F51" w14:textId="105A19E1" w:rsidR="00895040" w:rsidRPr="00895040" w:rsidRDefault="00895040" w:rsidP="00825C55">
      <w:pPr>
        <w:pStyle w:val="ListParagraph"/>
        <w:numPr>
          <w:ilvl w:val="0"/>
          <w:numId w:val="33"/>
        </w:numPr>
        <w:tabs>
          <w:tab w:val="left" w:pos="851"/>
        </w:tabs>
        <w:spacing w:line="360" w:lineRule="auto"/>
        <w:ind w:left="284" w:firstLine="284"/>
        <w:jc w:val="both"/>
        <w:rPr>
          <w:rFonts w:eastAsiaTheme="minorHAnsi"/>
          <w:snapToGrid w:val="0"/>
          <w:sz w:val="24"/>
          <w:szCs w:val="24"/>
        </w:rPr>
      </w:pPr>
      <w:r>
        <w:rPr>
          <w:sz w:val="24"/>
          <w:szCs w:val="24"/>
          <w:lang w:eastAsia="lt-LT"/>
        </w:rPr>
        <w:t xml:space="preserve"> Nuostatų 64 punkto antrojoje pastraipoje duodant nuorodą į šio punkto „</w:t>
      </w:r>
      <w:r w:rsidRPr="00895040">
        <w:rPr>
          <w:i/>
          <w:sz w:val="24"/>
          <w:szCs w:val="24"/>
          <w:lang w:eastAsia="lt-LT"/>
        </w:rPr>
        <w:t>pirmą pastraipą“,</w:t>
      </w:r>
      <w:r>
        <w:rPr>
          <w:sz w:val="24"/>
          <w:szCs w:val="24"/>
          <w:lang w:eastAsia="lt-LT"/>
        </w:rPr>
        <w:t xml:space="preserve"> turi būti vartojama įvardžiuotinė forma – „</w:t>
      </w:r>
      <w:r w:rsidRPr="00895040">
        <w:rPr>
          <w:i/>
          <w:sz w:val="24"/>
          <w:szCs w:val="24"/>
          <w:lang w:eastAsia="lt-LT"/>
        </w:rPr>
        <w:t>pirmoji pastraipa</w:t>
      </w:r>
      <w:r>
        <w:rPr>
          <w:sz w:val="24"/>
          <w:szCs w:val="24"/>
          <w:lang w:eastAsia="lt-LT"/>
        </w:rPr>
        <w:t>“</w:t>
      </w:r>
      <w:r w:rsidR="00B53DBE">
        <w:rPr>
          <w:sz w:val="24"/>
          <w:szCs w:val="24"/>
          <w:lang w:eastAsia="lt-LT"/>
        </w:rPr>
        <w:t>;</w:t>
      </w:r>
    </w:p>
    <w:p w14:paraId="499C0FEA" w14:textId="630078E4" w:rsidR="00895040" w:rsidRPr="00895040" w:rsidRDefault="00895040" w:rsidP="00825C55">
      <w:pPr>
        <w:pStyle w:val="ListParagraph"/>
        <w:numPr>
          <w:ilvl w:val="0"/>
          <w:numId w:val="33"/>
        </w:numPr>
        <w:tabs>
          <w:tab w:val="left" w:pos="851"/>
        </w:tabs>
        <w:spacing w:line="360" w:lineRule="auto"/>
        <w:ind w:left="284" w:firstLine="284"/>
        <w:jc w:val="both"/>
        <w:rPr>
          <w:rFonts w:eastAsiaTheme="minorHAnsi"/>
          <w:snapToGrid w:val="0"/>
          <w:sz w:val="24"/>
          <w:szCs w:val="24"/>
        </w:rPr>
      </w:pPr>
      <w:r>
        <w:rPr>
          <w:sz w:val="24"/>
          <w:szCs w:val="24"/>
          <w:lang w:eastAsia="lt-LT"/>
        </w:rPr>
        <w:t xml:space="preserve"> Nuostatų 71.5 papunktyje nurodytas netikslus registro pavadinimas (žr. Lietuvos policijos generalinio komisaro 2007 m. vasario 5 įsakymą Nr.5-V-88)</w:t>
      </w:r>
      <w:r w:rsidR="00B53DBE">
        <w:rPr>
          <w:sz w:val="24"/>
          <w:szCs w:val="24"/>
          <w:lang w:eastAsia="lt-LT"/>
        </w:rPr>
        <w:t>;</w:t>
      </w:r>
    </w:p>
    <w:p w14:paraId="4D5810F4" w14:textId="2383FECC" w:rsidR="00895040" w:rsidRPr="00C4677E" w:rsidRDefault="00C4677E" w:rsidP="00825C55">
      <w:pPr>
        <w:pStyle w:val="ListParagraph"/>
        <w:numPr>
          <w:ilvl w:val="0"/>
          <w:numId w:val="33"/>
        </w:numPr>
        <w:tabs>
          <w:tab w:val="left" w:pos="851"/>
        </w:tabs>
        <w:spacing w:line="360" w:lineRule="auto"/>
        <w:ind w:left="284" w:firstLine="284"/>
        <w:jc w:val="both"/>
        <w:rPr>
          <w:rFonts w:eastAsiaTheme="minorHAnsi"/>
          <w:snapToGrid w:val="0"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="00B53DBE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 xml:space="preserve">tsižvelgiant </w:t>
      </w:r>
      <w:r w:rsidR="00825C55">
        <w:rPr>
          <w:sz w:val="24"/>
          <w:szCs w:val="24"/>
          <w:lang w:eastAsia="lt-LT"/>
        </w:rPr>
        <w:t xml:space="preserve">į </w:t>
      </w:r>
      <w:r w:rsidR="0000326A">
        <w:rPr>
          <w:sz w:val="24"/>
          <w:szCs w:val="24"/>
          <w:lang w:eastAsia="lt-LT"/>
        </w:rPr>
        <w:t xml:space="preserve">Rekomendacijų 84 punktą bei į </w:t>
      </w:r>
      <w:r>
        <w:rPr>
          <w:sz w:val="24"/>
          <w:szCs w:val="24"/>
          <w:lang w:eastAsia="lt-LT"/>
        </w:rPr>
        <w:t xml:space="preserve">tai, kad Krašto apsaugos ministerija šiuo metu jau yra pateikusi Vyriausybei  </w:t>
      </w:r>
      <w:r w:rsidRPr="00C4677E">
        <w:rPr>
          <w:sz w:val="24"/>
          <w:szCs w:val="24"/>
        </w:rPr>
        <w:t>Vyriausybės 2018 m. rugpjūčio 13 d. nutarimo Nr. 818 „Dėl Lietuvos Respublikos kibernetinio saugumo įstatymo įgyvendinimo“ pakeitimo</w:t>
      </w:r>
      <w:r w:rsidRPr="00C4677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projektą (TAIS Nr.19-1773(2)), kuriame, be kita ko siūloma keisti nurodytu nutarimu patvirtintų teisės aktų </w:t>
      </w:r>
      <w:r w:rsidR="0000326A">
        <w:rPr>
          <w:sz w:val="24"/>
          <w:szCs w:val="24"/>
          <w:lang w:eastAsia="lt-LT"/>
        </w:rPr>
        <w:t xml:space="preserve">tvirtinimo </w:t>
      </w:r>
      <w:r>
        <w:rPr>
          <w:sz w:val="24"/>
          <w:szCs w:val="24"/>
          <w:lang w:eastAsia="lt-LT"/>
        </w:rPr>
        <w:t>žymas,  Nuostatų 91.5 papunktyje turėtų būti nurodoma, kad Organizacinių ir techninių kibernetinio saugumo reikalavimų, taikomų kibernetinio saugumo subjektams, aprašas patvirtintas ne Vyriausybės 2018 m. gruodžio 5 d. nutarimu Nr.1209, o Vyriausybės  2018 m. rugpjūčio 13 d. nutarimu Nr.818.</w:t>
      </w:r>
    </w:p>
    <w:p w14:paraId="35728AA2" w14:textId="77777777" w:rsidR="00895040" w:rsidRPr="00895040" w:rsidRDefault="00895040" w:rsidP="00C4677E">
      <w:pPr>
        <w:pStyle w:val="ListParagraph"/>
        <w:spacing w:line="312" w:lineRule="auto"/>
        <w:ind w:left="927"/>
        <w:jc w:val="both"/>
        <w:rPr>
          <w:sz w:val="24"/>
          <w:szCs w:val="24"/>
        </w:rPr>
      </w:pPr>
    </w:p>
    <w:p w14:paraId="3761F85D" w14:textId="77777777" w:rsidR="00D20FDD" w:rsidRPr="00D20FDD" w:rsidRDefault="00C9429C" w:rsidP="00D20FDD">
      <w:pPr>
        <w:spacing w:line="360" w:lineRule="auto"/>
        <w:jc w:val="both"/>
        <w:rPr>
          <w:i/>
          <w:sz w:val="24"/>
          <w:szCs w:val="24"/>
        </w:rPr>
      </w:pPr>
      <w:r w:rsidRPr="00D20FDD">
        <w:rPr>
          <w:i/>
          <w:sz w:val="24"/>
          <w:szCs w:val="24"/>
        </w:rPr>
        <w:t>Dėl susijusių aspektų</w:t>
      </w:r>
      <w:r w:rsidR="00D20FDD" w:rsidRPr="00D20FDD">
        <w:rPr>
          <w:i/>
          <w:sz w:val="24"/>
          <w:szCs w:val="24"/>
        </w:rPr>
        <w:t>:</w:t>
      </w:r>
    </w:p>
    <w:p w14:paraId="7CE544C3" w14:textId="7B07C1F0" w:rsidR="002F2DBF" w:rsidRPr="00825C55" w:rsidRDefault="00D20FDD" w:rsidP="00D20FD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Pakartotinai atkreipiame dėmesį, kad turėtų būti inicijuojamos </w:t>
      </w:r>
      <w:r w:rsidR="00C9429C">
        <w:rPr>
          <w:sz w:val="24"/>
          <w:szCs w:val="24"/>
        </w:rPr>
        <w:t>Į</w:t>
      </w:r>
      <w:r w:rsidR="00C9429C" w:rsidRPr="00F66E3F">
        <w:rPr>
          <w:sz w:val="24"/>
          <w:szCs w:val="24"/>
        </w:rPr>
        <w:t>tariamųjų, kaltinamųjų ir nuteistųjų registro įstatymo</w:t>
      </w:r>
      <w:r w:rsidR="00C94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atitinkamos pataisos siekiant šio įstatymo nuostatas suderinti su šiuo metu galiojančio Valstybės informacinių išteklių </w:t>
      </w:r>
      <w:r w:rsidR="00027F8D">
        <w:rPr>
          <w:sz w:val="24"/>
          <w:szCs w:val="24"/>
        </w:rPr>
        <w:t xml:space="preserve">valdymo </w:t>
      </w:r>
      <w:r>
        <w:rPr>
          <w:sz w:val="24"/>
          <w:szCs w:val="24"/>
        </w:rPr>
        <w:t>įstatymo nuostatomis (dėl registro tvarkytojo įvardijimo specialiame įstatyme, dėl  vartojamų sąvokų – žr.</w:t>
      </w:r>
      <w:r w:rsidR="00C9429C">
        <w:rPr>
          <w:sz w:val="24"/>
          <w:szCs w:val="24"/>
        </w:rPr>
        <w:t xml:space="preserve"> Vyriausybės kanceliarijos Teisės grupės 2019 m. sausio 16 d.  išvadoje Nr. NV- 139 </w:t>
      </w:r>
      <w:r>
        <w:rPr>
          <w:sz w:val="24"/>
          <w:szCs w:val="24"/>
        </w:rPr>
        <w:t>1 pastabą</w:t>
      </w:r>
      <w:r w:rsidR="00C9429C" w:rsidRPr="00F66E3F">
        <w:rPr>
          <w:sz w:val="24"/>
          <w:szCs w:val="24"/>
        </w:rPr>
        <w:t>)</w:t>
      </w:r>
      <w:r w:rsidR="00C9429C">
        <w:rPr>
          <w:sz w:val="24"/>
          <w:szCs w:val="24"/>
        </w:rPr>
        <w:t>.</w:t>
      </w:r>
    </w:p>
    <w:p w14:paraId="52E27761" w14:textId="755AF967" w:rsidR="00C0579C" w:rsidRDefault="00C0579C" w:rsidP="00C0579C">
      <w:pPr>
        <w:spacing w:line="312" w:lineRule="auto"/>
        <w:jc w:val="both"/>
        <w:rPr>
          <w:sz w:val="24"/>
          <w:szCs w:val="24"/>
        </w:rPr>
      </w:pPr>
    </w:p>
    <w:p w14:paraId="3E1EC959" w14:textId="77777777" w:rsidR="001F18AE" w:rsidRDefault="001F18AE" w:rsidP="00C0579C">
      <w:pPr>
        <w:spacing w:line="312" w:lineRule="auto"/>
        <w:jc w:val="both"/>
        <w:rPr>
          <w:sz w:val="24"/>
          <w:szCs w:val="24"/>
        </w:rPr>
      </w:pPr>
      <w:bookmarkStart w:id="2" w:name="_GoBack"/>
      <w:bookmarkEnd w:id="2"/>
    </w:p>
    <w:p w14:paraId="250BE5DD" w14:textId="565FFD73" w:rsidR="003D376A" w:rsidRDefault="00C930F2" w:rsidP="00556C76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6146CDEC" w14:textId="36A69F75" w:rsidR="00C20021" w:rsidRDefault="00C20021" w:rsidP="00556C76">
      <w:pPr>
        <w:pStyle w:val="Preformatted"/>
        <w:spacing w:line="288" w:lineRule="auto"/>
        <w:ind w:firstLine="567"/>
        <w:rPr>
          <w:rFonts w:ascii="Times New Roman" w:hAnsi="Times New Roman"/>
          <w:sz w:val="24"/>
          <w:szCs w:val="24"/>
        </w:rPr>
      </w:pPr>
    </w:p>
    <w:p w14:paraId="02ACEA57" w14:textId="77777777" w:rsidR="00895040" w:rsidRDefault="00895040" w:rsidP="00556C76">
      <w:pPr>
        <w:pStyle w:val="Preformatted"/>
        <w:spacing w:line="288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251818" w:rsidP="00556C76">
            <w:pPr>
              <w:spacing w:before="60" w:after="60"/>
              <w:ind w:hanging="105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556C76">
      <w:pPr>
        <w:pStyle w:val="Preformatted"/>
        <w:spacing w:line="360" w:lineRule="auto"/>
        <w:ind w:firstLine="567"/>
        <w:rPr>
          <w:rFonts w:ascii="Times New Roman" w:hAnsi="Times New Roman"/>
          <w:sz w:val="24"/>
        </w:rPr>
      </w:pPr>
    </w:p>
    <w:sectPr w:rsidR="00A0581D" w:rsidSect="00825C55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ED26" w14:textId="77777777" w:rsidR="00251818" w:rsidRDefault="00251818">
      <w:r>
        <w:separator/>
      </w:r>
    </w:p>
  </w:endnote>
  <w:endnote w:type="continuationSeparator" w:id="0">
    <w:p w14:paraId="6F6D1D8B" w14:textId="77777777" w:rsidR="00251818" w:rsidRDefault="0025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0DF99" w14:textId="77777777" w:rsidR="00251818" w:rsidRDefault="00251818">
      <w:r>
        <w:separator/>
      </w:r>
    </w:p>
  </w:footnote>
  <w:footnote w:type="continuationSeparator" w:id="0">
    <w:p w14:paraId="27DD8711" w14:textId="77777777" w:rsidR="00251818" w:rsidRDefault="0025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85AE64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F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94B24F7"/>
    <w:multiLevelType w:val="hybridMultilevel"/>
    <w:tmpl w:val="25CECFCC"/>
    <w:lvl w:ilvl="0" w:tplc="81E00F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499B7525"/>
    <w:multiLevelType w:val="hybridMultilevel"/>
    <w:tmpl w:val="C888B746"/>
    <w:lvl w:ilvl="0" w:tplc="86169D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77E02669"/>
    <w:multiLevelType w:val="hybridMultilevel"/>
    <w:tmpl w:val="9DFE9AEC"/>
    <w:lvl w:ilvl="0" w:tplc="B65A4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7"/>
  </w:num>
  <w:num w:numId="5">
    <w:abstractNumId w:val="14"/>
  </w:num>
  <w:num w:numId="6">
    <w:abstractNumId w:val="25"/>
  </w:num>
  <w:num w:numId="7">
    <w:abstractNumId w:val="17"/>
  </w:num>
  <w:num w:numId="8">
    <w:abstractNumId w:val="29"/>
  </w:num>
  <w:num w:numId="9">
    <w:abstractNumId w:val="24"/>
  </w:num>
  <w:num w:numId="10">
    <w:abstractNumId w:val="8"/>
  </w:num>
  <w:num w:numId="11">
    <w:abstractNumId w:val="2"/>
  </w:num>
  <w:num w:numId="12">
    <w:abstractNumId w:val="13"/>
  </w:num>
  <w:num w:numId="13">
    <w:abstractNumId w:val="32"/>
  </w:num>
  <w:num w:numId="14">
    <w:abstractNumId w:val="22"/>
  </w:num>
  <w:num w:numId="15">
    <w:abstractNumId w:val="4"/>
  </w:num>
  <w:num w:numId="16">
    <w:abstractNumId w:val="12"/>
  </w:num>
  <w:num w:numId="17">
    <w:abstractNumId w:val="6"/>
  </w:num>
  <w:num w:numId="18">
    <w:abstractNumId w:val="21"/>
  </w:num>
  <w:num w:numId="19">
    <w:abstractNumId w:val="9"/>
  </w:num>
  <w:num w:numId="20">
    <w:abstractNumId w:val="5"/>
  </w:num>
  <w:num w:numId="21">
    <w:abstractNumId w:val="18"/>
  </w:num>
  <w:num w:numId="22">
    <w:abstractNumId w:val="28"/>
  </w:num>
  <w:num w:numId="23">
    <w:abstractNumId w:val="26"/>
  </w:num>
  <w:num w:numId="24">
    <w:abstractNumId w:val="3"/>
  </w:num>
  <w:num w:numId="25">
    <w:abstractNumId w:val="16"/>
  </w:num>
  <w:num w:numId="26">
    <w:abstractNumId w:val="15"/>
  </w:num>
  <w:num w:numId="27">
    <w:abstractNumId w:val="0"/>
  </w:num>
  <w:num w:numId="28">
    <w:abstractNumId w:val="19"/>
  </w:num>
  <w:num w:numId="29">
    <w:abstractNumId w:val="27"/>
  </w:num>
  <w:num w:numId="30">
    <w:abstractNumId w:val="20"/>
  </w:num>
  <w:num w:numId="31">
    <w:abstractNumId w:val="10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801"/>
    <w:rsid w:val="00002C09"/>
    <w:rsid w:val="0000326A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27F8D"/>
    <w:rsid w:val="0003171F"/>
    <w:rsid w:val="00031E24"/>
    <w:rsid w:val="0003243A"/>
    <w:rsid w:val="000401F4"/>
    <w:rsid w:val="00042EC0"/>
    <w:rsid w:val="00044E00"/>
    <w:rsid w:val="00050440"/>
    <w:rsid w:val="00056FDE"/>
    <w:rsid w:val="00064553"/>
    <w:rsid w:val="00075410"/>
    <w:rsid w:val="00075588"/>
    <w:rsid w:val="00076B70"/>
    <w:rsid w:val="00081CAB"/>
    <w:rsid w:val="00085A33"/>
    <w:rsid w:val="0009099A"/>
    <w:rsid w:val="000953F5"/>
    <w:rsid w:val="0009747A"/>
    <w:rsid w:val="000A629A"/>
    <w:rsid w:val="000A6AE7"/>
    <w:rsid w:val="000B2A5D"/>
    <w:rsid w:val="000B2BDE"/>
    <w:rsid w:val="000B2E64"/>
    <w:rsid w:val="000C2979"/>
    <w:rsid w:val="000C58DB"/>
    <w:rsid w:val="000D270F"/>
    <w:rsid w:val="000D3FCC"/>
    <w:rsid w:val="000D4C32"/>
    <w:rsid w:val="000D7DBD"/>
    <w:rsid w:val="000E1E8F"/>
    <w:rsid w:val="000E3EAE"/>
    <w:rsid w:val="000E4554"/>
    <w:rsid w:val="000F02D4"/>
    <w:rsid w:val="000F2D2C"/>
    <w:rsid w:val="00104E24"/>
    <w:rsid w:val="001121C5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36CB"/>
    <w:rsid w:val="0016635A"/>
    <w:rsid w:val="00177338"/>
    <w:rsid w:val="00177477"/>
    <w:rsid w:val="00177FE0"/>
    <w:rsid w:val="001823E3"/>
    <w:rsid w:val="001871F9"/>
    <w:rsid w:val="00191F0F"/>
    <w:rsid w:val="00195133"/>
    <w:rsid w:val="00196930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7B72"/>
    <w:rsid w:val="001E068A"/>
    <w:rsid w:val="001E4E86"/>
    <w:rsid w:val="001E54BD"/>
    <w:rsid w:val="001E5FDF"/>
    <w:rsid w:val="001E66D1"/>
    <w:rsid w:val="001F18AE"/>
    <w:rsid w:val="001F3899"/>
    <w:rsid w:val="001F70DB"/>
    <w:rsid w:val="001F70FF"/>
    <w:rsid w:val="001F7F29"/>
    <w:rsid w:val="002005E6"/>
    <w:rsid w:val="00200B69"/>
    <w:rsid w:val="00200F85"/>
    <w:rsid w:val="00202476"/>
    <w:rsid w:val="002024EE"/>
    <w:rsid w:val="0020756B"/>
    <w:rsid w:val="002107D1"/>
    <w:rsid w:val="00216DC2"/>
    <w:rsid w:val="00222E2A"/>
    <w:rsid w:val="00222E2B"/>
    <w:rsid w:val="00223DB8"/>
    <w:rsid w:val="00224CCF"/>
    <w:rsid w:val="00224CD4"/>
    <w:rsid w:val="0023002C"/>
    <w:rsid w:val="002342FD"/>
    <w:rsid w:val="00237D3F"/>
    <w:rsid w:val="0024153E"/>
    <w:rsid w:val="00241FE0"/>
    <w:rsid w:val="00242267"/>
    <w:rsid w:val="00243249"/>
    <w:rsid w:val="00251818"/>
    <w:rsid w:val="00253749"/>
    <w:rsid w:val="00255507"/>
    <w:rsid w:val="00256841"/>
    <w:rsid w:val="00257F2D"/>
    <w:rsid w:val="002643F4"/>
    <w:rsid w:val="00264654"/>
    <w:rsid w:val="00265AFA"/>
    <w:rsid w:val="00270896"/>
    <w:rsid w:val="0027224D"/>
    <w:rsid w:val="00275283"/>
    <w:rsid w:val="00282B69"/>
    <w:rsid w:val="00282BC6"/>
    <w:rsid w:val="002844D2"/>
    <w:rsid w:val="0029227B"/>
    <w:rsid w:val="002931F9"/>
    <w:rsid w:val="00295D62"/>
    <w:rsid w:val="00296A46"/>
    <w:rsid w:val="002A1DBA"/>
    <w:rsid w:val="002B4652"/>
    <w:rsid w:val="002C10CD"/>
    <w:rsid w:val="002C3221"/>
    <w:rsid w:val="002D2F4F"/>
    <w:rsid w:val="002D32DE"/>
    <w:rsid w:val="002D46E1"/>
    <w:rsid w:val="002E2581"/>
    <w:rsid w:val="002E4DDD"/>
    <w:rsid w:val="002E52D7"/>
    <w:rsid w:val="002F0F06"/>
    <w:rsid w:val="002F2265"/>
    <w:rsid w:val="002F2DBF"/>
    <w:rsid w:val="002F6433"/>
    <w:rsid w:val="003001BC"/>
    <w:rsid w:val="00302CE7"/>
    <w:rsid w:val="00305B94"/>
    <w:rsid w:val="00306AE5"/>
    <w:rsid w:val="00307286"/>
    <w:rsid w:val="003169BB"/>
    <w:rsid w:val="00322F2A"/>
    <w:rsid w:val="003277C6"/>
    <w:rsid w:val="00332E4F"/>
    <w:rsid w:val="0034323F"/>
    <w:rsid w:val="00347F63"/>
    <w:rsid w:val="0035068E"/>
    <w:rsid w:val="003512EE"/>
    <w:rsid w:val="0035257D"/>
    <w:rsid w:val="00355FB4"/>
    <w:rsid w:val="003576FB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2C29"/>
    <w:rsid w:val="003830B6"/>
    <w:rsid w:val="00390CAA"/>
    <w:rsid w:val="00391824"/>
    <w:rsid w:val="003953FF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E0750"/>
    <w:rsid w:val="003E17C2"/>
    <w:rsid w:val="003E46B4"/>
    <w:rsid w:val="003F06D3"/>
    <w:rsid w:val="003F6645"/>
    <w:rsid w:val="003F6FE9"/>
    <w:rsid w:val="00403C9B"/>
    <w:rsid w:val="004049A2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A3A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23B1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B6CDE"/>
    <w:rsid w:val="004C25BB"/>
    <w:rsid w:val="004D106C"/>
    <w:rsid w:val="004D13D3"/>
    <w:rsid w:val="004D2FEA"/>
    <w:rsid w:val="004D3D29"/>
    <w:rsid w:val="004D4686"/>
    <w:rsid w:val="004D6B7E"/>
    <w:rsid w:val="004D7BD3"/>
    <w:rsid w:val="004E6B1D"/>
    <w:rsid w:val="004F3453"/>
    <w:rsid w:val="005004AF"/>
    <w:rsid w:val="0050537C"/>
    <w:rsid w:val="0050537E"/>
    <w:rsid w:val="00505BC5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5A6D"/>
    <w:rsid w:val="00556C76"/>
    <w:rsid w:val="005600EB"/>
    <w:rsid w:val="00560E84"/>
    <w:rsid w:val="005611A0"/>
    <w:rsid w:val="00561BBD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80457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0EC0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84A"/>
    <w:rsid w:val="00612A9D"/>
    <w:rsid w:val="00612D48"/>
    <w:rsid w:val="006173F5"/>
    <w:rsid w:val="00620B33"/>
    <w:rsid w:val="006252A3"/>
    <w:rsid w:val="0063193D"/>
    <w:rsid w:val="006355F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3383"/>
    <w:rsid w:val="00684D95"/>
    <w:rsid w:val="006A4F97"/>
    <w:rsid w:val="006A52C3"/>
    <w:rsid w:val="006A58A0"/>
    <w:rsid w:val="006A5C01"/>
    <w:rsid w:val="006B34FC"/>
    <w:rsid w:val="006B51C1"/>
    <w:rsid w:val="006B5349"/>
    <w:rsid w:val="006B5E13"/>
    <w:rsid w:val="006B63D8"/>
    <w:rsid w:val="006C6125"/>
    <w:rsid w:val="006C7C72"/>
    <w:rsid w:val="006D52D0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4551C"/>
    <w:rsid w:val="007472B4"/>
    <w:rsid w:val="00747EC2"/>
    <w:rsid w:val="0075157F"/>
    <w:rsid w:val="00752943"/>
    <w:rsid w:val="00755EE8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1DE9"/>
    <w:rsid w:val="00812F95"/>
    <w:rsid w:val="00815FBC"/>
    <w:rsid w:val="00816068"/>
    <w:rsid w:val="00824415"/>
    <w:rsid w:val="00824834"/>
    <w:rsid w:val="008255F6"/>
    <w:rsid w:val="00825C55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333"/>
    <w:rsid w:val="00864F29"/>
    <w:rsid w:val="00867FBC"/>
    <w:rsid w:val="00873593"/>
    <w:rsid w:val="008751E3"/>
    <w:rsid w:val="008753D9"/>
    <w:rsid w:val="00877D34"/>
    <w:rsid w:val="008860B8"/>
    <w:rsid w:val="00886223"/>
    <w:rsid w:val="008901B8"/>
    <w:rsid w:val="00890478"/>
    <w:rsid w:val="00893959"/>
    <w:rsid w:val="00895040"/>
    <w:rsid w:val="00897F90"/>
    <w:rsid w:val="008A142C"/>
    <w:rsid w:val="008A16EC"/>
    <w:rsid w:val="008A20E3"/>
    <w:rsid w:val="008A3B5C"/>
    <w:rsid w:val="008A4410"/>
    <w:rsid w:val="008A4573"/>
    <w:rsid w:val="008B086C"/>
    <w:rsid w:val="008B75BE"/>
    <w:rsid w:val="008C1999"/>
    <w:rsid w:val="008C2BB5"/>
    <w:rsid w:val="008C38F6"/>
    <w:rsid w:val="008C39B4"/>
    <w:rsid w:val="008D61D3"/>
    <w:rsid w:val="008D75A4"/>
    <w:rsid w:val="008E162C"/>
    <w:rsid w:val="008E2931"/>
    <w:rsid w:val="008E5016"/>
    <w:rsid w:val="008F1364"/>
    <w:rsid w:val="008F1A6A"/>
    <w:rsid w:val="0091122F"/>
    <w:rsid w:val="0092440B"/>
    <w:rsid w:val="00943747"/>
    <w:rsid w:val="00943F2F"/>
    <w:rsid w:val="00957118"/>
    <w:rsid w:val="00957B16"/>
    <w:rsid w:val="00962CBF"/>
    <w:rsid w:val="00962D76"/>
    <w:rsid w:val="00966AFD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C1EF3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3254"/>
    <w:rsid w:val="00A2446C"/>
    <w:rsid w:val="00A24DF3"/>
    <w:rsid w:val="00A27873"/>
    <w:rsid w:val="00A30718"/>
    <w:rsid w:val="00A313AE"/>
    <w:rsid w:val="00A31E34"/>
    <w:rsid w:val="00A34F05"/>
    <w:rsid w:val="00A41572"/>
    <w:rsid w:val="00A442B5"/>
    <w:rsid w:val="00A4465E"/>
    <w:rsid w:val="00A45282"/>
    <w:rsid w:val="00A46C42"/>
    <w:rsid w:val="00A538FD"/>
    <w:rsid w:val="00A555D2"/>
    <w:rsid w:val="00A70910"/>
    <w:rsid w:val="00A70FA7"/>
    <w:rsid w:val="00A7783C"/>
    <w:rsid w:val="00A82FB2"/>
    <w:rsid w:val="00A83720"/>
    <w:rsid w:val="00A9023A"/>
    <w:rsid w:val="00A919CA"/>
    <w:rsid w:val="00A94B31"/>
    <w:rsid w:val="00A95E1E"/>
    <w:rsid w:val="00AA114E"/>
    <w:rsid w:val="00AA686F"/>
    <w:rsid w:val="00AB3111"/>
    <w:rsid w:val="00AB43DF"/>
    <w:rsid w:val="00AB511A"/>
    <w:rsid w:val="00AB7C92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316"/>
    <w:rsid w:val="00AF6785"/>
    <w:rsid w:val="00B00E3B"/>
    <w:rsid w:val="00B03346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3DBE"/>
    <w:rsid w:val="00B55D4C"/>
    <w:rsid w:val="00B61B7B"/>
    <w:rsid w:val="00B65012"/>
    <w:rsid w:val="00B670D2"/>
    <w:rsid w:val="00B67E54"/>
    <w:rsid w:val="00B702C5"/>
    <w:rsid w:val="00B70497"/>
    <w:rsid w:val="00B733AD"/>
    <w:rsid w:val="00B74357"/>
    <w:rsid w:val="00B74363"/>
    <w:rsid w:val="00B751B9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948"/>
    <w:rsid w:val="00BA5C3F"/>
    <w:rsid w:val="00BA6CEF"/>
    <w:rsid w:val="00BB42DA"/>
    <w:rsid w:val="00BB4B45"/>
    <w:rsid w:val="00BB756F"/>
    <w:rsid w:val="00BC31FA"/>
    <w:rsid w:val="00BC4B04"/>
    <w:rsid w:val="00BC544D"/>
    <w:rsid w:val="00BD44AB"/>
    <w:rsid w:val="00BD4DD4"/>
    <w:rsid w:val="00BD6508"/>
    <w:rsid w:val="00BD680D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0579C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68F8"/>
    <w:rsid w:val="00C405F3"/>
    <w:rsid w:val="00C43305"/>
    <w:rsid w:val="00C433B5"/>
    <w:rsid w:val="00C4677E"/>
    <w:rsid w:val="00C513A6"/>
    <w:rsid w:val="00C52F01"/>
    <w:rsid w:val="00C612E6"/>
    <w:rsid w:val="00C61D8E"/>
    <w:rsid w:val="00C62688"/>
    <w:rsid w:val="00C6376E"/>
    <w:rsid w:val="00C63EE8"/>
    <w:rsid w:val="00C65DCD"/>
    <w:rsid w:val="00C66055"/>
    <w:rsid w:val="00C66235"/>
    <w:rsid w:val="00C669F7"/>
    <w:rsid w:val="00C80DDD"/>
    <w:rsid w:val="00C8384B"/>
    <w:rsid w:val="00C930F2"/>
    <w:rsid w:val="00C9429C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1C02"/>
    <w:rsid w:val="00CF5EE4"/>
    <w:rsid w:val="00CF74A9"/>
    <w:rsid w:val="00D10C0F"/>
    <w:rsid w:val="00D118DC"/>
    <w:rsid w:val="00D14EB5"/>
    <w:rsid w:val="00D164AE"/>
    <w:rsid w:val="00D20598"/>
    <w:rsid w:val="00D20FDD"/>
    <w:rsid w:val="00D217E7"/>
    <w:rsid w:val="00D24C4E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4DC4"/>
    <w:rsid w:val="00D65288"/>
    <w:rsid w:val="00D679B4"/>
    <w:rsid w:val="00D72FC3"/>
    <w:rsid w:val="00D86700"/>
    <w:rsid w:val="00D921E2"/>
    <w:rsid w:val="00D96658"/>
    <w:rsid w:val="00DA178A"/>
    <w:rsid w:val="00DA17D0"/>
    <w:rsid w:val="00DA5BC9"/>
    <w:rsid w:val="00DB2199"/>
    <w:rsid w:val="00DB669E"/>
    <w:rsid w:val="00DB739C"/>
    <w:rsid w:val="00DC2DCA"/>
    <w:rsid w:val="00DC3D91"/>
    <w:rsid w:val="00DC3F17"/>
    <w:rsid w:val="00DC58F7"/>
    <w:rsid w:val="00DD17FC"/>
    <w:rsid w:val="00DD329F"/>
    <w:rsid w:val="00DD4580"/>
    <w:rsid w:val="00DD66F3"/>
    <w:rsid w:val="00DE26F8"/>
    <w:rsid w:val="00DE5826"/>
    <w:rsid w:val="00DF58FA"/>
    <w:rsid w:val="00E0496B"/>
    <w:rsid w:val="00E06A40"/>
    <w:rsid w:val="00E11C36"/>
    <w:rsid w:val="00E23F1A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19A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2D45"/>
    <w:rsid w:val="00E84A0D"/>
    <w:rsid w:val="00E91947"/>
    <w:rsid w:val="00E94408"/>
    <w:rsid w:val="00EA02E9"/>
    <w:rsid w:val="00EA20EA"/>
    <w:rsid w:val="00EB5828"/>
    <w:rsid w:val="00EC0CDA"/>
    <w:rsid w:val="00EC45F3"/>
    <w:rsid w:val="00EE0CD0"/>
    <w:rsid w:val="00EE3239"/>
    <w:rsid w:val="00EE49D3"/>
    <w:rsid w:val="00EF4553"/>
    <w:rsid w:val="00F02470"/>
    <w:rsid w:val="00F03F29"/>
    <w:rsid w:val="00F07B2B"/>
    <w:rsid w:val="00F106FC"/>
    <w:rsid w:val="00F10A92"/>
    <w:rsid w:val="00F10B61"/>
    <w:rsid w:val="00F110EA"/>
    <w:rsid w:val="00F111DC"/>
    <w:rsid w:val="00F14288"/>
    <w:rsid w:val="00F15564"/>
    <w:rsid w:val="00F15E90"/>
    <w:rsid w:val="00F1654F"/>
    <w:rsid w:val="00F1764B"/>
    <w:rsid w:val="00F2283C"/>
    <w:rsid w:val="00F31AC7"/>
    <w:rsid w:val="00F325DC"/>
    <w:rsid w:val="00F4279B"/>
    <w:rsid w:val="00F46390"/>
    <w:rsid w:val="00F5049B"/>
    <w:rsid w:val="00F6021B"/>
    <w:rsid w:val="00F65EC4"/>
    <w:rsid w:val="00F66E3F"/>
    <w:rsid w:val="00F7075E"/>
    <w:rsid w:val="00F72E14"/>
    <w:rsid w:val="00F73971"/>
    <w:rsid w:val="00F73D9C"/>
    <w:rsid w:val="00F759DC"/>
    <w:rsid w:val="00F8001B"/>
    <w:rsid w:val="00F80B7E"/>
    <w:rsid w:val="00F80C52"/>
    <w:rsid w:val="00F80C69"/>
    <w:rsid w:val="00F822CE"/>
    <w:rsid w:val="00F85D8F"/>
    <w:rsid w:val="00F95458"/>
    <w:rsid w:val="00F96B49"/>
    <w:rsid w:val="00FA2C2C"/>
    <w:rsid w:val="00FA7BC1"/>
    <w:rsid w:val="00FB3036"/>
    <w:rsid w:val="00FB5B01"/>
    <w:rsid w:val="00FB6E37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09CD"/>
    <w:rsid w:val="000377FB"/>
    <w:rsid w:val="00050CCB"/>
    <w:rsid w:val="00094011"/>
    <w:rsid w:val="001225CB"/>
    <w:rsid w:val="00155EAC"/>
    <w:rsid w:val="00174674"/>
    <w:rsid w:val="001A523D"/>
    <w:rsid w:val="001C01C8"/>
    <w:rsid w:val="001C2E5A"/>
    <w:rsid w:val="001E3B19"/>
    <w:rsid w:val="002016BE"/>
    <w:rsid w:val="0021610F"/>
    <w:rsid w:val="002308CD"/>
    <w:rsid w:val="00264D98"/>
    <w:rsid w:val="00272B95"/>
    <w:rsid w:val="00285F71"/>
    <w:rsid w:val="002E5EB2"/>
    <w:rsid w:val="002F2A27"/>
    <w:rsid w:val="00306938"/>
    <w:rsid w:val="00340B77"/>
    <w:rsid w:val="00390B72"/>
    <w:rsid w:val="003F58B2"/>
    <w:rsid w:val="00404C54"/>
    <w:rsid w:val="004129AD"/>
    <w:rsid w:val="00422322"/>
    <w:rsid w:val="004477E7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332E2"/>
    <w:rsid w:val="006920BA"/>
    <w:rsid w:val="006965BA"/>
    <w:rsid w:val="00715088"/>
    <w:rsid w:val="0077292E"/>
    <w:rsid w:val="007A115D"/>
    <w:rsid w:val="007D7597"/>
    <w:rsid w:val="008D2C0A"/>
    <w:rsid w:val="00945E25"/>
    <w:rsid w:val="00951FDE"/>
    <w:rsid w:val="009851A0"/>
    <w:rsid w:val="00987EA8"/>
    <w:rsid w:val="009943C0"/>
    <w:rsid w:val="009A0794"/>
    <w:rsid w:val="009E18B5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C474AC"/>
    <w:rsid w:val="00C851FB"/>
    <w:rsid w:val="00CB2553"/>
    <w:rsid w:val="00CD71F1"/>
    <w:rsid w:val="00D0112A"/>
    <w:rsid w:val="00DA388C"/>
    <w:rsid w:val="00DC452D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A0834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C1A7-C2BF-42EF-98B6-8C1BD2FC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272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2019-03-29T10:55:00Z</dcterms:created>
  <dc:creator>DULEVIČIŪTĖ-AKIMOVIENĖ, Akvilė</dc:creator>
  <cp:lastModifiedBy>Daiva Gubistienė</cp:lastModifiedBy>
  <cp:lastPrinted>2017-08-17T12:40:00Z</cp:lastPrinted>
  <dcterms:modified xsi:type="dcterms:W3CDTF">2019-04-04T12:29:00Z</dcterms:modified>
  <cp:revision>26</cp:revision>
</cp:coreProperties>
</file>