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2B1A3" w14:textId="77777777" w:rsidR="00B97916" w:rsidRPr="0091583B" w:rsidRDefault="00B97916" w:rsidP="00A77D04">
      <w:pPr>
        <w:tabs>
          <w:tab w:val="left" w:pos="567"/>
        </w:tabs>
        <w:jc w:val="right"/>
        <w:rPr>
          <w:b/>
          <w:bCs/>
          <w:lang w:val="lt-LT"/>
        </w:rPr>
      </w:pPr>
    </w:p>
    <w:p w14:paraId="3C7598A0" w14:textId="75F7B44C" w:rsidR="001771A9" w:rsidRPr="0091583B" w:rsidRDefault="003B35AC" w:rsidP="00D740FE">
      <w:pPr>
        <w:tabs>
          <w:tab w:val="left" w:pos="142"/>
        </w:tabs>
        <w:spacing w:after="120"/>
        <w:jc w:val="center"/>
        <w:rPr>
          <w:b/>
          <w:bCs/>
          <w:lang w:val="lt-LT"/>
        </w:rPr>
      </w:pPr>
      <w:r w:rsidRPr="0091583B">
        <w:rPr>
          <w:b/>
          <w:lang w:val="lt-LT"/>
        </w:rPr>
        <w:t>DIREKTYV</w:t>
      </w:r>
      <w:r w:rsidR="00AD4873" w:rsidRPr="0091583B">
        <w:rPr>
          <w:b/>
          <w:lang w:val="lt-LT"/>
        </w:rPr>
        <w:t>OS</w:t>
      </w:r>
      <w:r w:rsidRPr="0091583B">
        <w:rPr>
          <w:b/>
          <w:lang w:val="lt-LT"/>
        </w:rPr>
        <w:t xml:space="preserve"> 2019/944 </w:t>
      </w:r>
      <w:r w:rsidR="001771A9" w:rsidRPr="0091583B">
        <w:rPr>
          <w:b/>
          <w:bCs/>
          <w:lang w:val="lt-LT"/>
        </w:rPr>
        <w:t xml:space="preserve">IR </w:t>
      </w:r>
      <w:r w:rsidR="00D740FE" w:rsidRPr="00D740FE">
        <w:rPr>
          <w:b/>
          <w:bCs/>
          <w:lang w:val="lt-LT"/>
        </w:rPr>
        <w:t>LIETUVOS RESPUBLIKOS</w:t>
      </w:r>
      <w:r w:rsidR="00D740FE">
        <w:rPr>
          <w:b/>
          <w:bCs/>
          <w:lang w:val="lt-LT"/>
        </w:rPr>
        <w:t xml:space="preserve"> </w:t>
      </w:r>
      <w:r w:rsidR="00D740FE" w:rsidRPr="00D740FE">
        <w:rPr>
          <w:b/>
          <w:bCs/>
          <w:lang w:val="lt-LT"/>
        </w:rPr>
        <w:t>ELEKTROS ENERGETIKOS ĮSTATYMO NR. VIII-1881 2, 9, 12, 16,</w:t>
      </w:r>
      <w:r w:rsidR="00FB07C7">
        <w:rPr>
          <w:b/>
          <w:bCs/>
          <w:lang w:val="lt-LT"/>
        </w:rPr>
        <w:t xml:space="preserve"> 17,</w:t>
      </w:r>
      <w:r w:rsidR="00D740FE" w:rsidRPr="00D740FE">
        <w:rPr>
          <w:b/>
          <w:bCs/>
          <w:lang w:val="lt-LT"/>
        </w:rPr>
        <w:t xml:space="preserve"> 30, 31, 33, 35, 39</w:t>
      </w:r>
      <w:r w:rsidR="00D740FE" w:rsidRPr="00D740FE">
        <w:rPr>
          <w:b/>
          <w:bCs/>
          <w:vertAlign w:val="superscript"/>
          <w:lang w:val="lt-LT"/>
        </w:rPr>
        <w:t>1</w:t>
      </w:r>
      <w:r w:rsidR="00D740FE" w:rsidRPr="00D740FE">
        <w:rPr>
          <w:b/>
          <w:bCs/>
          <w:lang w:val="lt-LT"/>
        </w:rPr>
        <w:t>, 59 IR 69 STRAIPSNIŲ</w:t>
      </w:r>
      <w:r w:rsidR="004C08C9">
        <w:rPr>
          <w:b/>
          <w:bCs/>
          <w:lang w:val="lt-LT"/>
        </w:rPr>
        <w:t>, PRIEDO</w:t>
      </w:r>
      <w:r w:rsidR="00D740FE" w:rsidRPr="00D740FE">
        <w:rPr>
          <w:b/>
          <w:bCs/>
          <w:lang w:val="lt-LT"/>
        </w:rPr>
        <w:t xml:space="preserve"> PAKEITIMO IR ĮSTATYMO PAPILDYMO 61</w:t>
      </w:r>
      <w:r w:rsidR="00D740FE" w:rsidRPr="00D740FE">
        <w:rPr>
          <w:b/>
          <w:bCs/>
          <w:vertAlign w:val="superscript"/>
          <w:lang w:val="lt-LT"/>
        </w:rPr>
        <w:t>1</w:t>
      </w:r>
      <w:r w:rsidR="00D740FE" w:rsidRPr="00D740FE">
        <w:rPr>
          <w:b/>
          <w:bCs/>
          <w:lang w:val="lt-LT"/>
        </w:rPr>
        <w:t xml:space="preserve"> STRAIPSNIU</w:t>
      </w:r>
      <w:r w:rsidR="00D740FE">
        <w:rPr>
          <w:b/>
          <w:bCs/>
          <w:lang w:val="lt-LT"/>
        </w:rPr>
        <w:t xml:space="preserve"> </w:t>
      </w:r>
      <w:r w:rsidR="00D740FE" w:rsidRPr="00D740FE">
        <w:rPr>
          <w:b/>
          <w:bCs/>
          <w:lang w:val="lt-LT"/>
        </w:rPr>
        <w:t>ĮSTATYMO</w:t>
      </w:r>
      <w:r w:rsidR="00ED7DDD" w:rsidRPr="0091583B">
        <w:rPr>
          <w:b/>
          <w:lang w:val="lt-LT"/>
        </w:rPr>
        <w:t xml:space="preserve"> PROJEKTO</w:t>
      </w:r>
      <w:r w:rsidR="009F55EE" w:rsidRPr="0091583B">
        <w:rPr>
          <w:b/>
          <w:lang w:val="lt-LT"/>
        </w:rPr>
        <w:br/>
      </w:r>
      <w:r w:rsidR="002E6551" w:rsidRPr="0091583B">
        <w:rPr>
          <w:b/>
          <w:bCs/>
          <w:lang w:val="lt-LT"/>
        </w:rPr>
        <w:t xml:space="preserve"> ATITIKT</w:t>
      </w:r>
      <w:r w:rsidR="001771A9" w:rsidRPr="0091583B">
        <w:rPr>
          <w:b/>
          <w:bCs/>
          <w:lang w:val="lt-LT"/>
        </w:rPr>
        <w:t>IES LENTELĖ</w:t>
      </w:r>
    </w:p>
    <w:tbl>
      <w:tblPr>
        <w:tblW w:w="15183" w:type="dxa"/>
        <w:tblInd w:w="15" w:type="dxa"/>
        <w:tblLayout w:type="fixed"/>
        <w:tblCellMar>
          <w:top w:w="15" w:type="dxa"/>
          <w:left w:w="15" w:type="dxa"/>
          <w:bottom w:w="15" w:type="dxa"/>
          <w:right w:w="15" w:type="dxa"/>
        </w:tblCellMar>
        <w:tblLook w:val="0000" w:firstRow="0" w:lastRow="0" w:firstColumn="0" w:lastColumn="0" w:noHBand="0" w:noVBand="0"/>
      </w:tblPr>
      <w:tblGrid>
        <w:gridCol w:w="4395"/>
        <w:gridCol w:w="7796"/>
        <w:gridCol w:w="2992"/>
      </w:tblGrid>
      <w:tr w:rsidR="001771A9" w:rsidRPr="0091583B" w14:paraId="1ED23F43" w14:textId="77777777" w:rsidTr="00A44E9E">
        <w:trPr>
          <w:cantSplit/>
          <w:trHeight w:val="943"/>
        </w:trPr>
        <w:tc>
          <w:tcPr>
            <w:tcW w:w="4395" w:type="dxa"/>
            <w:tcBorders>
              <w:top w:val="single" w:sz="4" w:space="0" w:color="000000"/>
              <w:left w:val="single" w:sz="4" w:space="0" w:color="000000"/>
              <w:bottom w:val="single" w:sz="4" w:space="0" w:color="000000"/>
            </w:tcBorders>
          </w:tcPr>
          <w:p w14:paraId="066D06DF" w14:textId="19C99760" w:rsidR="001771A9" w:rsidRPr="0091583B" w:rsidRDefault="00856513" w:rsidP="00A77D04">
            <w:pPr>
              <w:tabs>
                <w:tab w:val="left" w:pos="567"/>
              </w:tabs>
              <w:snapToGrid w:val="0"/>
              <w:ind w:right="127"/>
              <w:jc w:val="both"/>
              <w:rPr>
                <w:b/>
                <w:bCs/>
                <w:lang w:val="lt-LT"/>
              </w:rPr>
            </w:pPr>
            <w:r w:rsidRPr="0091583B">
              <w:rPr>
                <w:b/>
                <w:bCs/>
                <w:lang w:val="lt-LT"/>
              </w:rPr>
              <w:t>2019 m. birželio 5 d. Europos Parlamento ir Tarybos direktyva (ES) 2019/944 dėl elektros energijos vidaus rinkos bendrųjų taisyklių, kuria iš dalies keičiama Direktyva 2012/27/ES</w:t>
            </w:r>
          </w:p>
        </w:tc>
        <w:tc>
          <w:tcPr>
            <w:tcW w:w="7796" w:type="dxa"/>
            <w:tcBorders>
              <w:top w:val="single" w:sz="4" w:space="0" w:color="000000"/>
              <w:left w:val="single" w:sz="4" w:space="0" w:color="000000"/>
              <w:bottom w:val="single" w:sz="4" w:space="0" w:color="000000"/>
            </w:tcBorders>
          </w:tcPr>
          <w:p w14:paraId="58DD2C3E" w14:textId="1BA068E8" w:rsidR="001771A9" w:rsidRPr="0091583B" w:rsidRDefault="008C153C" w:rsidP="008A6BE2">
            <w:pPr>
              <w:pStyle w:val="Pagrindinistekstas"/>
              <w:tabs>
                <w:tab w:val="left" w:pos="567"/>
              </w:tabs>
              <w:spacing w:after="0"/>
              <w:ind w:right="142"/>
              <w:jc w:val="both"/>
              <w:rPr>
                <w:b/>
                <w:bCs/>
                <w:lang w:val="lt-LT"/>
              </w:rPr>
            </w:pPr>
            <w:r w:rsidRPr="0091583B">
              <w:rPr>
                <w:b/>
                <w:bCs/>
                <w:lang w:val="lt-LT"/>
              </w:rPr>
              <w:t>Lietuvos Respublikos elektros energetikos įstatymo Nr. VIII-1881 2, 9, 12, 16,</w:t>
            </w:r>
            <w:r w:rsidR="00C777DB">
              <w:rPr>
                <w:b/>
                <w:bCs/>
                <w:lang w:val="lt-LT"/>
              </w:rPr>
              <w:t xml:space="preserve"> </w:t>
            </w:r>
            <w:r w:rsidR="00FB07C7">
              <w:rPr>
                <w:b/>
                <w:bCs/>
                <w:lang w:val="lt-LT"/>
              </w:rPr>
              <w:t xml:space="preserve">17, </w:t>
            </w:r>
            <w:r w:rsidR="00C777DB">
              <w:rPr>
                <w:b/>
                <w:bCs/>
                <w:lang w:val="lt-LT"/>
              </w:rPr>
              <w:t>30,</w:t>
            </w:r>
            <w:r w:rsidRPr="0091583B">
              <w:rPr>
                <w:b/>
                <w:bCs/>
                <w:lang w:val="lt-LT"/>
              </w:rPr>
              <w:t xml:space="preserve"> 31,</w:t>
            </w:r>
            <w:r w:rsidR="00D740FE">
              <w:rPr>
                <w:b/>
                <w:bCs/>
                <w:lang w:val="lt-LT"/>
              </w:rPr>
              <w:t xml:space="preserve"> 33,</w:t>
            </w:r>
            <w:r w:rsidRPr="0091583B">
              <w:rPr>
                <w:b/>
                <w:bCs/>
                <w:lang w:val="lt-LT"/>
              </w:rPr>
              <w:t xml:space="preserve"> 35</w:t>
            </w:r>
            <w:r w:rsidR="00C777DB">
              <w:rPr>
                <w:b/>
                <w:bCs/>
                <w:lang w:val="lt-LT"/>
              </w:rPr>
              <w:t xml:space="preserve">, </w:t>
            </w:r>
            <w:r w:rsidR="00D740FE">
              <w:rPr>
                <w:b/>
                <w:bCs/>
                <w:lang w:val="lt-LT"/>
              </w:rPr>
              <w:t>39</w:t>
            </w:r>
            <w:r w:rsidR="00D740FE" w:rsidRPr="00D740FE">
              <w:rPr>
                <w:b/>
                <w:bCs/>
                <w:vertAlign w:val="superscript"/>
                <w:lang w:val="lt-LT"/>
              </w:rPr>
              <w:t>1</w:t>
            </w:r>
            <w:r w:rsidR="00D740FE">
              <w:rPr>
                <w:b/>
                <w:bCs/>
                <w:lang w:val="lt-LT"/>
              </w:rPr>
              <w:t xml:space="preserve">, </w:t>
            </w:r>
            <w:r w:rsidR="00C777DB">
              <w:rPr>
                <w:b/>
                <w:bCs/>
                <w:lang w:val="lt-LT"/>
              </w:rPr>
              <w:t>59</w:t>
            </w:r>
            <w:r w:rsidRPr="0091583B">
              <w:rPr>
                <w:b/>
                <w:bCs/>
                <w:lang w:val="lt-LT"/>
              </w:rPr>
              <w:t xml:space="preserve"> ir 69 straipsnių</w:t>
            </w:r>
            <w:r w:rsidR="004C08C9">
              <w:rPr>
                <w:b/>
                <w:bCs/>
                <w:lang w:val="lt-LT"/>
              </w:rPr>
              <w:t>, priedo</w:t>
            </w:r>
            <w:r w:rsidRPr="0091583B">
              <w:rPr>
                <w:b/>
                <w:bCs/>
                <w:lang w:val="lt-LT"/>
              </w:rPr>
              <w:t xml:space="preserve"> pakeitimo ir Įstatymo papildymo 61</w:t>
            </w:r>
            <w:r w:rsidRPr="0091583B">
              <w:rPr>
                <w:b/>
                <w:bCs/>
                <w:vertAlign w:val="superscript"/>
                <w:lang w:val="lt-LT"/>
              </w:rPr>
              <w:t>1</w:t>
            </w:r>
            <w:r w:rsidRPr="0091583B">
              <w:rPr>
                <w:b/>
                <w:bCs/>
                <w:lang w:val="lt-LT"/>
              </w:rPr>
              <w:t xml:space="preserve"> straipsniu įstatymo projektu (toliau – </w:t>
            </w:r>
            <w:r w:rsidR="00C37D8B" w:rsidRPr="0091583B">
              <w:rPr>
                <w:b/>
                <w:lang w:val="lt-LT"/>
              </w:rPr>
              <w:t>Elektros energetikos įstatymo pakeitimo projektas)</w:t>
            </w:r>
          </w:p>
        </w:tc>
        <w:tc>
          <w:tcPr>
            <w:tcW w:w="2992" w:type="dxa"/>
            <w:tcBorders>
              <w:top w:val="single" w:sz="4" w:space="0" w:color="000000"/>
              <w:left w:val="single" w:sz="4" w:space="0" w:color="000000"/>
              <w:bottom w:val="single" w:sz="4" w:space="0" w:color="000000"/>
              <w:right w:val="single" w:sz="4" w:space="0" w:color="000000"/>
            </w:tcBorders>
          </w:tcPr>
          <w:p w14:paraId="37F721A3" w14:textId="77777777" w:rsidR="001771A9" w:rsidRPr="0091583B" w:rsidRDefault="001771A9" w:rsidP="00A44E9E">
            <w:pPr>
              <w:tabs>
                <w:tab w:val="left" w:pos="567"/>
              </w:tabs>
              <w:snapToGrid w:val="0"/>
              <w:rPr>
                <w:b/>
                <w:lang w:val="lt-LT"/>
              </w:rPr>
            </w:pPr>
            <w:r w:rsidRPr="0091583B">
              <w:rPr>
                <w:b/>
                <w:lang w:val="lt-LT"/>
              </w:rPr>
              <w:t>Direktyvos perkėlimo</w:t>
            </w:r>
            <w:r w:rsidR="00E3585E" w:rsidRPr="0091583B">
              <w:rPr>
                <w:b/>
                <w:lang w:val="lt-LT"/>
              </w:rPr>
              <w:t xml:space="preserve"> (</w:t>
            </w:r>
            <w:r w:rsidRPr="0091583B">
              <w:rPr>
                <w:b/>
                <w:lang w:val="lt-LT"/>
              </w:rPr>
              <w:t>įgyvendinimo</w:t>
            </w:r>
            <w:r w:rsidR="00E3585E" w:rsidRPr="0091583B">
              <w:rPr>
                <w:b/>
                <w:lang w:val="lt-LT"/>
              </w:rPr>
              <w:t>)</w:t>
            </w:r>
            <w:r w:rsidRPr="0091583B">
              <w:rPr>
                <w:b/>
                <w:lang w:val="lt-LT"/>
              </w:rPr>
              <w:t xml:space="preserve"> lygis</w:t>
            </w:r>
            <w:r w:rsidR="00E3585E" w:rsidRPr="0091583B">
              <w:rPr>
                <w:b/>
                <w:lang w:val="lt-LT"/>
              </w:rPr>
              <w:t xml:space="preserve"> (visiškas, dalinis)</w:t>
            </w:r>
          </w:p>
        </w:tc>
      </w:tr>
      <w:tr w:rsidR="001771A9" w:rsidRPr="0091583B" w14:paraId="524925E6" w14:textId="77777777" w:rsidTr="00A44E9E">
        <w:tblPrEx>
          <w:tblCellMar>
            <w:top w:w="57" w:type="dxa"/>
            <w:left w:w="57" w:type="dxa"/>
            <w:bottom w:w="57" w:type="dxa"/>
            <w:right w:w="57" w:type="dxa"/>
          </w:tblCellMar>
        </w:tblPrEx>
        <w:tc>
          <w:tcPr>
            <w:tcW w:w="4395" w:type="dxa"/>
            <w:tcBorders>
              <w:left w:val="single" w:sz="4" w:space="0" w:color="000000"/>
              <w:bottom w:val="single" w:sz="4" w:space="0" w:color="auto"/>
            </w:tcBorders>
          </w:tcPr>
          <w:p w14:paraId="02D1A70A" w14:textId="48B5B62A" w:rsidR="001771A9" w:rsidRPr="0091583B" w:rsidRDefault="002463E0" w:rsidP="00A77D04">
            <w:pPr>
              <w:tabs>
                <w:tab w:val="left" w:pos="567"/>
              </w:tabs>
              <w:snapToGrid w:val="0"/>
              <w:jc w:val="both"/>
              <w:rPr>
                <w:b/>
                <w:bCs/>
                <w:color w:val="000000"/>
                <w:lang w:val="lt-LT"/>
              </w:rPr>
            </w:pPr>
            <w:r w:rsidRPr="0091583B">
              <w:rPr>
                <w:b/>
                <w:bCs/>
                <w:color w:val="000000"/>
                <w:lang w:val="lt-LT"/>
              </w:rPr>
              <w:t>2</w:t>
            </w:r>
            <w:r w:rsidR="001771A9" w:rsidRPr="0091583B">
              <w:rPr>
                <w:b/>
                <w:bCs/>
                <w:color w:val="000000"/>
                <w:lang w:val="lt-LT"/>
              </w:rPr>
              <w:t xml:space="preserve"> straipsnio </w:t>
            </w:r>
            <w:r w:rsidRPr="0091583B">
              <w:rPr>
                <w:b/>
                <w:bCs/>
                <w:color w:val="000000"/>
                <w:lang w:val="lt-LT"/>
              </w:rPr>
              <w:t>1</w:t>
            </w:r>
            <w:r w:rsidR="001771A9" w:rsidRPr="0091583B">
              <w:rPr>
                <w:b/>
                <w:bCs/>
                <w:color w:val="000000"/>
                <w:lang w:val="lt-LT"/>
              </w:rPr>
              <w:t xml:space="preserve"> dali</w:t>
            </w:r>
            <w:r w:rsidRPr="0091583B">
              <w:rPr>
                <w:b/>
                <w:bCs/>
                <w:color w:val="000000"/>
                <w:lang w:val="lt-LT"/>
              </w:rPr>
              <w:t>e</w:t>
            </w:r>
            <w:r w:rsidR="001771A9" w:rsidRPr="0091583B">
              <w:rPr>
                <w:b/>
                <w:bCs/>
                <w:color w:val="000000"/>
                <w:lang w:val="lt-LT"/>
              </w:rPr>
              <w:t>s</w:t>
            </w:r>
            <w:r w:rsidRPr="0091583B">
              <w:rPr>
                <w:b/>
                <w:bCs/>
                <w:color w:val="000000"/>
                <w:lang w:val="lt-LT"/>
              </w:rPr>
              <w:t xml:space="preserve"> 18 punktas</w:t>
            </w:r>
          </w:p>
          <w:p w14:paraId="4001D8DD" w14:textId="7EB9C879" w:rsidR="001771A9" w:rsidRPr="0091583B" w:rsidRDefault="001677AC" w:rsidP="0091583B">
            <w:pPr>
              <w:tabs>
                <w:tab w:val="left" w:pos="567"/>
              </w:tabs>
              <w:snapToGrid w:val="0"/>
              <w:jc w:val="both"/>
              <w:rPr>
                <w:color w:val="000000"/>
                <w:lang w:val="lt-LT"/>
              </w:rPr>
            </w:pPr>
            <w:r w:rsidRPr="001677AC">
              <w:rPr>
                <w:color w:val="000000"/>
                <w:lang w:val="lt-LT"/>
              </w:rPr>
              <w:t>18)   telkimas– funkcija, kurią atlieka fizinis arba juridinis asmuo, kuris pardavimo, pirkimo arba pateikimo aukcionui bet kokioje elektros energijos rinkoje tikslais sukombinuoja daugelio vartotojų apkrovas arba jų pagamintą elektros energiją;</w:t>
            </w:r>
          </w:p>
        </w:tc>
        <w:tc>
          <w:tcPr>
            <w:tcW w:w="7796" w:type="dxa"/>
            <w:tcBorders>
              <w:left w:val="single" w:sz="4" w:space="0" w:color="000000"/>
              <w:bottom w:val="single" w:sz="4" w:space="0" w:color="auto"/>
            </w:tcBorders>
          </w:tcPr>
          <w:p w14:paraId="2E645810" w14:textId="71F59168" w:rsidR="00EE7BF0" w:rsidRDefault="00EE7BF0" w:rsidP="00A15B35">
            <w:pPr>
              <w:ind w:firstLine="17"/>
              <w:jc w:val="both"/>
              <w:rPr>
                <w:b/>
                <w:lang w:val="lt-LT"/>
              </w:rPr>
            </w:pPr>
            <w:r w:rsidRPr="00BC74D7">
              <w:rPr>
                <w:b/>
                <w:lang w:val="lt-LT"/>
              </w:rPr>
              <w:t>Elektros energetikos įstatymo pakeitimo projektas</w:t>
            </w:r>
          </w:p>
          <w:p w14:paraId="74D84574" w14:textId="77777777" w:rsidR="007A1AC5" w:rsidRPr="00BC74D7" w:rsidRDefault="007A1AC5" w:rsidP="00A15B35">
            <w:pPr>
              <w:ind w:firstLine="17"/>
              <w:jc w:val="both"/>
              <w:rPr>
                <w:b/>
                <w:lang w:val="lt-LT"/>
              </w:rPr>
            </w:pPr>
          </w:p>
          <w:p w14:paraId="4964781A" w14:textId="05409636" w:rsidR="001771A9" w:rsidRDefault="007A1AC5" w:rsidP="007A1AC5">
            <w:pPr>
              <w:tabs>
                <w:tab w:val="left" w:pos="567"/>
              </w:tabs>
              <w:jc w:val="both"/>
              <w:rPr>
                <w:bCs/>
                <w:lang w:val="lt-LT"/>
              </w:rPr>
            </w:pPr>
            <w:r w:rsidRPr="007A1AC5">
              <w:rPr>
                <w:b/>
                <w:bCs/>
                <w:lang w:val="lt-LT"/>
              </w:rPr>
              <w:t>1 straipsnis. 2 straipsnio pakeitimas</w:t>
            </w:r>
          </w:p>
          <w:p w14:paraId="7211317E" w14:textId="77777777" w:rsidR="00BC74D7" w:rsidRPr="00BC74D7" w:rsidRDefault="00BC74D7" w:rsidP="00A15B35">
            <w:pPr>
              <w:tabs>
                <w:tab w:val="left" w:pos="567"/>
              </w:tabs>
              <w:jc w:val="both"/>
              <w:rPr>
                <w:bCs/>
                <w:lang w:val="lt-LT"/>
              </w:rPr>
            </w:pPr>
            <w:r w:rsidRPr="00BC74D7">
              <w:rPr>
                <w:bCs/>
                <w:lang w:val="lt-LT"/>
              </w:rPr>
              <w:t>2. Pripažinti netekusia galios 2 straipsnio 14</w:t>
            </w:r>
            <w:r w:rsidRPr="00BC74D7">
              <w:rPr>
                <w:bCs/>
                <w:vertAlign w:val="superscript"/>
                <w:lang w:val="en-US"/>
              </w:rPr>
              <w:t>1</w:t>
            </w:r>
            <w:r w:rsidRPr="00BC74D7">
              <w:rPr>
                <w:bCs/>
                <w:lang w:val="lt-LT"/>
              </w:rPr>
              <w:t xml:space="preserve"> dalį.</w:t>
            </w:r>
          </w:p>
          <w:p w14:paraId="18A49CEC" w14:textId="77777777" w:rsidR="00BC74D7" w:rsidRPr="00BC74D7" w:rsidRDefault="00BC74D7" w:rsidP="00A15B35">
            <w:pPr>
              <w:tabs>
                <w:tab w:val="left" w:pos="567"/>
              </w:tabs>
              <w:jc w:val="both"/>
              <w:rPr>
                <w:bCs/>
                <w:strike/>
                <w:lang w:val="lt-LT"/>
              </w:rPr>
            </w:pPr>
            <w:r w:rsidRPr="00BC74D7">
              <w:rPr>
                <w:bCs/>
                <w:strike/>
                <w:lang w:val="lt-LT"/>
              </w:rPr>
              <w:t>14</w:t>
            </w:r>
            <w:r w:rsidRPr="00BC74D7">
              <w:rPr>
                <w:bCs/>
                <w:strike/>
                <w:vertAlign w:val="superscript"/>
                <w:lang w:val="lt-LT"/>
              </w:rPr>
              <w:t>1</w:t>
            </w:r>
            <w:r w:rsidRPr="00BC74D7">
              <w:rPr>
                <w:bCs/>
                <w:strike/>
                <w:lang w:val="lt-LT"/>
              </w:rPr>
              <w:t>. Elektros energijos paklausos valdymo paslaugos teikėjas – asmuo, atsakingas už elektros energijos vartotojų grupės faktinės maksimalios leistinos naudoti galios atitiktį tų vartotojų ir perdavimo sistemos ar skirstomųjų tinklų operatoriaus nustatytai leistinų naudoti galių sumai.</w:t>
            </w:r>
          </w:p>
          <w:p w14:paraId="7E24BDCE" w14:textId="77777777" w:rsidR="00BC74D7" w:rsidRPr="00BC74D7" w:rsidRDefault="00BC74D7" w:rsidP="00A15B35">
            <w:pPr>
              <w:tabs>
                <w:tab w:val="left" w:pos="567"/>
              </w:tabs>
              <w:jc w:val="both"/>
              <w:rPr>
                <w:bCs/>
                <w:lang w:val="lt-LT"/>
              </w:rPr>
            </w:pPr>
            <w:r w:rsidRPr="00BC74D7">
              <w:rPr>
                <w:bCs/>
                <w:lang w:val="lt-LT"/>
              </w:rPr>
              <w:t>3. Papildyti 2 straipsnį 14</w:t>
            </w:r>
            <w:r w:rsidRPr="00BC74D7">
              <w:rPr>
                <w:bCs/>
                <w:vertAlign w:val="superscript"/>
                <w:lang w:val="en-US"/>
              </w:rPr>
              <w:t>2</w:t>
            </w:r>
            <w:r w:rsidRPr="00BC74D7">
              <w:rPr>
                <w:bCs/>
                <w:lang w:val="lt-LT"/>
              </w:rPr>
              <w:t xml:space="preserve"> dalimi:</w:t>
            </w:r>
          </w:p>
          <w:p w14:paraId="62929141" w14:textId="77777777" w:rsidR="00BC74D7" w:rsidRPr="00BC74D7" w:rsidRDefault="00BC74D7" w:rsidP="00A15B35">
            <w:pPr>
              <w:tabs>
                <w:tab w:val="left" w:pos="567"/>
              </w:tabs>
              <w:jc w:val="both"/>
              <w:rPr>
                <w:bCs/>
                <w:lang w:val="lt-LT"/>
              </w:rPr>
            </w:pPr>
            <w:r w:rsidRPr="00BC74D7">
              <w:rPr>
                <w:bCs/>
                <w:lang w:val="lt-LT"/>
              </w:rPr>
              <w:t>„</w:t>
            </w:r>
            <w:r w:rsidRPr="00BC74D7">
              <w:rPr>
                <w:b/>
                <w:bCs/>
                <w:lang w:val="lt-LT"/>
              </w:rPr>
              <w:t>14</w:t>
            </w:r>
            <w:r w:rsidRPr="00BC74D7">
              <w:rPr>
                <w:b/>
                <w:bCs/>
                <w:vertAlign w:val="superscript"/>
                <w:lang w:val="lt-LT"/>
              </w:rPr>
              <w:t>2</w:t>
            </w:r>
            <w:r w:rsidRPr="00BC74D7">
              <w:rPr>
                <w:b/>
                <w:bCs/>
                <w:lang w:val="lt-LT"/>
              </w:rPr>
              <w:t xml:space="preserve">. </w:t>
            </w:r>
            <w:bookmarkStart w:id="0" w:name="_Hlk22884412"/>
            <w:r w:rsidRPr="00BC74D7">
              <w:rPr>
                <w:b/>
                <w:bCs/>
                <w:lang w:val="lt-LT"/>
              </w:rPr>
              <w:t xml:space="preserve">Elektros energijos paklausos telkimas </w:t>
            </w:r>
            <w:bookmarkEnd w:id="0"/>
            <w:r w:rsidRPr="00BC74D7">
              <w:rPr>
                <w:b/>
                <w:bCs/>
                <w:lang w:val="lt-LT"/>
              </w:rPr>
              <w:t>(toliau – paklausos telkimas) –</w:t>
            </w:r>
            <w:r w:rsidRPr="00BC74D7">
              <w:rPr>
                <w:bCs/>
                <w:lang w:val="lt-LT"/>
              </w:rPr>
              <w:t xml:space="preserve"> </w:t>
            </w:r>
            <w:r w:rsidRPr="00BC74D7">
              <w:rPr>
                <w:b/>
                <w:bCs/>
                <w:lang w:val="lt-LT"/>
              </w:rPr>
              <w:t>asmens veikla, apimanti jo paties ir (arba) grupės kitų vartotojų elektros energijos paklausos pokyčių ir (arba) elektros energijos gamybos derinimą, siekiant nesuvartotos arba pagamintos elektros energijos kiekį ir (arba) nesuvartotą arba patiektą galią parduoti, pirkti arba pateikti aukcionui elektros energijos, balansavimo ir rezervinės galios rinkose.</w:t>
            </w:r>
            <w:r w:rsidRPr="00BC74D7">
              <w:rPr>
                <w:bCs/>
                <w:lang w:val="lt-LT"/>
              </w:rPr>
              <w:t>“</w:t>
            </w:r>
          </w:p>
          <w:p w14:paraId="022E002A" w14:textId="65820E1E" w:rsidR="00BC74D7" w:rsidRPr="00BC74D7" w:rsidRDefault="00BC74D7" w:rsidP="00A15B35">
            <w:pPr>
              <w:tabs>
                <w:tab w:val="left" w:pos="567"/>
              </w:tabs>
              <w:jc w:val="both"/>
              <w:rPr>
                <w:bCs/>
                <w:lang w:val="lt-LT"/>
              </w:rPr>
            </w:pPr>
          </w:p>
        </w:tc>
        <w:tc>
          <w:tcPr>
            <w:tcW w:w="2992" w:type="dxa"/>
            <w:tcBorders>
              <w:left w:val="single" w:sz="4" w:space="0" w:color="000000"/>
              <w:bottom w:val="single" w:sz="4" w:space="0" w:color="auto"/>
              <w:right w:val="single" w:sz="4" w:space="0" w:color="000000"/>
            </w:tcBorders>
          </w:tcPr>
          <w:p w14:paraId="39C907BA" w14:textId="77777777" w:rsidR="001771A9" w:rsidRPr="0091583B" w:rsidRDefault="00B26F41" w:rsidP="00A77D04">
            <w:pPr>
              <w:pStyle w:val="Antrats"/>
              <w:tabs>
                <w:tab w:val="left" w:pos="567"/>
              </w:tabs>
              <w:snapToGrid w:val="0"/>
              <w:jc w:val="both"/>
              <w:rPr>
                <w:szCs w:val="24"/>
              </w:rPr>
            </w:pPr>
            <w:r w:rsidRPr="0091583B">
              <w:rPr>
                <w:szCs w:val="24"/>
              </w:rPr>
              <w:t>Visiškas</w:t>
            </w:r>
          </w:p>
          <w:p w14:paraId="703A3473" w14:textId="77777777" w:rsidR="00265920" w:rsidRPr="0091583B" w:rsidRDefault="00265920" w:rsidP="00A77D04">
            <w:pPr>
              <w:pStyle w:val="Antrats"/>
              <w:tabs>
                <w:tab w:val="left" w:pos="567"/>
              </w:tabs>
              <w:snapToGrid w:val="0"/>
              <w:jc w:val="both"/>
              <w:rPr>
                <w:szCs w:val="24"/>
              </w:rPr>
            </w:pPr>
          </w:p>
          <w:p w14:paraId="03FB145F" w14:textId="77777777" w:rsidR="00265920" w:rsidRPr="0091583B" w:rsidRDefault="00265920" w:rsidP="00A77D04">
            <w:pPr>
              <w:pStyle w:val="Antrats"/>
              <w:tabs>
                <w:tab w:val="left" w:pos="567"/>
              </w:tabs>
              <w:snapToGrid w:val="0"/>
              <w:jc w:val="both"/>
              <w:rPr>
                <w:szCs w:val="24"/>
              </w:rPr>
            </w:pPr>
          </w:p>
        </w:tc>
      </w:tr>
      <w:tr w:rsidR="002463E0" w:rsidRPr="0091583B" w14:paraId="205A37E9" w14:textId="77777777" w:rsidTr="00F03477">
        <w:tblPrEx>
          <w:tblCellMar>
            <w:top w:w="57" w:type="dxa"/>
            <w:left w:w="57" w:type="dxa"/>
            <w:bottom w:w="57" w:type="dxa"/>
            <w:right w:w="57" w:type="dxa"/>
          </w:tblCellMar>
        </w:tblPrEx>
        <w:tc>
          <w:tcPr>
            <w:tcW w:w="4395" w:type="dxa"/>
            <w:tcBorders>
              <w:top w:val="single" w:sz="4" w:space="0" w:color="auto"/>
              <w:left w:val="single" w:sz="4" w:space="0" w:color="000000"/>
              <w:bottom w:val="single" w:sz="4" w:space="0" w:color="auto"/>
            </w:tcBorders>
          </w:tcPr>
          <w:p w14:paraId="7A7C8C51" w14:textId="572313B5" w:rsidR="002463E0" w:rsidRPr="0091583B" w:rsidRDefault="002463E0" w:rsidP="002463E0">
            <w:pPr>
              <w:tabs>
                <w:tab w:val="left" w:pos="567"/>
              </w:tabs>
              <w:snapToGrid w:val="0"/>
              <w:jc w:val="both"/>
              <w:rPr>
                <w:b/>
                <w:bCs/>
                <w:color w:val="000000"/>
                <w:lang w:val="lt-LT"/>
              </w:rPr>
            </w:pPr>
            <w:r w:rsidRPr="0091583B">
              <w:rPr>
                <w:b/>
                <w:bCs/>
                <w:color w:val="000000"/>
                <w:lang w:val="lt-LT"/>
              </w:rPr>
              <w:t>2 straipsnio 1 dalies 19 punktas</w:t>
            </w:r>
          </w:p>
          <w:p w14:paraId="33CBEC3A" w14:textId="316B6FFB" w:rsidR="002463E0" w:rsidRPr="0091583B" w:rsidRDefault="002463E0" w:rsidP="002463E0">
            <w:pPr>
              <w:tabs>
                <w:tab w:val="left" w:pos="567"/>
              </w:tabs>
              <w:snapToGrid w:val="0"/>
              <w:jc w:val="both"/>
              <w:rPr>
                <w:color w:val="000000"/>
                <w:lang w:val="lt-LT"/>
              </w:rPr>
            </w:pPr>
            <w:r w:rsidRPr="001677AC">
              <w:rPr>
                <w:color w:val="000000"/>
                <w:lang w:val="lt-LT"/>
              </w:rPr>
              <w:t>19)   nepriklausomas telkėjas– telkimą vykdantis rinkos dalyvis, kuris nėra susijęs su vartotojo tiekėju;</w:t>
            </w:r>
          </w:p>
        </w:tc>
        <w:tc>
          <w:tcPr>
            <w:tcW w:w="7796" w:type="dxa"/>
            <w:tcBorders>
              <w:top w:val="single" w:sz="4" w:space="0" w:color="auto"/>
              <w:left w:val="single" w:sz="4" w:space="0" w:color="000000"/>
              <w:bottom w:val="single" w:sz="4" w:space="0" w:color="auto"/>
            </w:tcBorders>
          </w:tcPr>
          <w:p w14:paraId="7E885213" w14:textId="77777777" w:rsidR="002463E0" w:rsidRDefault="0091583B" w:rsidP="007A1AC5">
            <w:pPr>
              <w:tabs>
                <w:tab w:val="left" w:pos="567"/>
              </w:tabs>
              <w:snapToGrid w:val="0"/>
              <w:jc w:val="both"/>
              <w:rPr>
                <w:bCs/>
                <w:lang w:val="lt-LT"/>
              </w:rPr>
            </w:pPr>
            <w:r w:rsidRPr="00BC74D7">
              <w:rPr>
                <w:bCs/>
                <w:lang w:val="lt-LT"/>
              </w:rPr>
              <w:t>Elektros energetikos įstatymo pakeitimo projektas</w:t>
            </w:r>
          </w:p>
          <w:p w14:paraId="6C1EE8CB" w14:textId="77777777" w:rsidR="007F0FA9" w:rsidRDefault="007F0FA9" w:rsidP="007F0FA9">
            <w:pPr>
              <w:tabs>
                <w:tab w:val="left" w:pos="567"/>
              </w:tabs>
              <w:snapToGrid w:val="0"/>
              <w:jc w:val="both"/>
              <w:rPr>
                <w:b/>
                <w:bCs/>
                <w:lang w:val="lt-LT"/>
              </w:rPr>
            </w:pPr>
          </w:p>
          <w:p w14:paraId="6B2BD834" w14:textId="7A1E0125" w:rsidR="007F0FA9" w:rsidRDefault="007F0FA9" w:rsidP="007F0FA9">
            <w:pPr>
              <w:tabs>
                <w:tab w:val="left" w:pos="567"/>
              </w:tabs>
              <w:snapToGrid w:val="0"/>
              <w:jc w:val="both"/>
              <w:rPr>
                <w:b/>
                <w:bCs/>
                <w:lang w:val="lt-LT"/>
              </w:rPr>
            </w:pPr>
            <w:r w:rsidRPr="00992965">
              <w:rPr>
                <w:b/>
                <w:bCs/>
                <w:lang w:val="lt-LT"/>
              </w:rPr>
              <w:t>1 straipsnis. 2 straipsnio pakeitimas</w:t>
            </w:r>
          </w:p>
          <w:p w14:paraId="6E91D1D5" w14:textId="77777777" w:rsidR="007F0FA9" w:rsidRDefault="007F0FA9" w:rsidP="007A1AC5">
            <w:pPr>
              <w:tabs>
                <w:tab w:val="left" w:pos="567"/>
              </w:tabs>
              <w:snapToGrid w:val="0"/>
              <w:jc w:val="both"/>
              <w:rPr>
                <w:bCs/>
                <w:lang w:val="lt-LT"/>
              </w:rPr>
            </w:pPr>
          </w:p>
          <w:p w14:paraId="042BDC0E" w14:textId="77777777" w:rsidR="007F0FA9" w:rsidRPr="007F0FA9" w:rsidRDefault="007F0FA9" w:rsidP="007F0FA9">
            <w:pPr>
              <w:tabs>
                <w:tab w:val="left" w:pos="567"/>
              </w:tabs>
              <w:snapToGrid w:val="0"/>
              <w:jc w:val="both"/>
              <w:rPr>
                <w:bCs/>
                <w:lang w:val="lt-LT"/>
              </w:rPr>
            </w:pPr>
            <w:r w:rsidRPr="007F0FA9">
              <w:rPr>
                <w:bCs/>
                <w:lang w:val="lt-LT"/>
              </w:rPr>
              <w:t>10. Papildyti 2 straipsnį 50</w:t>
            </w:r>
            <w:r w:rsidRPr="007F0FA9">
              <w:rPr>
                <w:bCs/>
                <w:vertAlign w:val="superscript"/>
                <w:lang w:val="en-US"/>
              </w:rPr>
              <w:t>1</w:t>
            </w:r>
            <w:r w:rsidRPr="007F0FA9">
              <w:rPr>
                <w:bCs/>
                <w:lang w:val="lt-LT"/>
              </w:rPr>
              <w:t xml:space="preserve"> dalimi:</w:t>
            </w:r>
          </w:p>
          <w:p w14:paraId="7E65661A" w14:textId="21A5BEC8" w:rsidR="007F0FA9" w:rsidRPr="00BC74D7" w:rsidRDefault="007F0FA9" w:rsidP="007F0FA9">
            <w:pPr>
              <w:tabs>
                <w:tab w:val="left" w:pos="567"/>
              </w:tabs>
              <w:snapToGrid w:val="0"/>
              <w:jc w:val="both"/>
              <w:rPr>
                <w:bCs/>
                <w:lang w:val="lt-LT"/>
              </w:rPr>
            </w:pPr>
            <w:r w:rsidRPr="007F0FA9">
              <w:rPr>
                <w:bCs/>
                <w:lang w:val="lt-LT"/>
              </w:rPr>
              <w:lastRenderedPageBreak/>
              <w:t>„</w:t>
            </w:r>
            <w:r w:rsidRPr="007F0FA9">
              <w:rPr>
                <w:b/>
                <w:bCs/>
                <w:lang w:val="lt-LT"/>
              </w:rPr>
              <w:t>50</w:t>
            </w:r>
            <w:r w:rsidRPr="007F0FA9">
              <w:rPr>
                <w:b/>
                <w:bCs/>
                <w:vertAlign w:val="superscript"/>
                <w:lang w:val="lt-LT"/>
              </w:rPr>
              <w:t>1</w:t>
            </w:r>
            <w:r w:rsidRPr="007F0FA9">
              <w:rPr>
                <w:b/>
                <w:bCs/>
                <w:lang w:val="lt-LT"/>
              </w:rPr>
              <w:t xml:space="preserve">. </w:t>
            </w:r>
            <w:bookmarkStart w:id="1" w:name="_Hlk22817067"/>
            <w:r w:rsidRPr="007F0FA9">
              <w:rPr>
                <w:b/>
                <w:bCs/>
                <w:lang w:val="lt-LT"/>
              </w:rPr>
              <w:t xml:space="preserve">Vartotojo elektros energijos paklausos pokytis </w:t>
            </w:r>
            <w:bookmarkEnd w:id="1"/>
            <w:r w:rsidRPr="007F0FA9">
              <w:rPr>
                <w:b/>
                <w:bCs/>
                <w:lang w:val="lt-LT"/>
              </w:rPr>
              <w:t>(toliau –</w:t>
            </w:r>
            <w:bookmarkStart w:id="2" w:name="_Hlk22806002"/>
            <w:r w:rsidRPr="007F0FA9">
              <w:rPr>
                <w:b/>
                <w:bCs/>
                <w:lang w:val="lt-LT"/>
              </w:rPr>
              <w:t xml:space="preserve"> vartotojo paklausos pokytis</w:t>
            </w:r>
            <w:bookmarkEnd w:id="2"/>
            <w:r w:rsidRPr="007F0FA9">
              <w:rPr>
                <w:b/>
                <w:bCs/>
                <w:lang w:val="lt-LT"/>
              </w:rPr>
              <w:t>) – vartotojo įprasto elektros energijos vartojimo režimo pasikeitimas, kai vartotojas suvartoja mažiau ar daugiau nei įprasta elektros energijos ir (arba) galios, reaguodamas į rinkos veiksnius, įskaitant pagal laiką kintančias elektros energijos kainas ar tinklų operatoriaus mokamas sumas, arba priimdamas individualiai ar per nepriklausomą elektros energijos paklausos telkėją didmeninėje rinkoje pateiktą pasiūlymą už tam tikrą atlygį sumažinti arba padidinti savo elektros energijos vartojimą. Vartotojo elektros energijos paklausos pokytis išreiškiamas elektros energijos kiekiu ir (arba) galia.</w:t>
            </w:r>
            <w:r w:rsidRPr="007F0FA9">
              <w:rPr>
                <w:bCs/>
                <w:lang w:val="lt-LT"/>
              </w:rPr>
              <w:t>“</w:t>
            </w:r>
          </w:p>
        </w:tc>
        <w:tc>
          <w:tcPr>
            <w:tcW w:w="2992" w:type="dxa"/>
            <w:tcBorders>
              <w:top w:val="single" w:sz="4" w:space="0" w:color="auto"/>
              <w:left w:val="single" w:sz="4" w:space="0" w:color="000000"/>
              <w:bottom w:val="single" w:sz="4" w:space="0" w:color="auto"/>
              <w:right w:val="single" w:sz="4" w:space="0" w:color="000000"/>
            </w:tcBorders>
          </w:tcPr>
          <w:p w14:paraId="316AB0F1" w14:textId="77777777" w:rsidR="007F0FA9" w:rsidRPr="0091583B" w:rsidRDefault="007F0FA9" w:rsidP="007F0FA9">
            <w:pPr>
              <w:pStyle w:val="Antrats"/>
              <w:tabs>
                <w:tab w:val="left" w:pos="567"/>
              </w:tabs>
              <w:snapToGrid w:val="0"/>
              <w:jc w:val="both"/>
              <w:rPr>
                <w:szCs w:val="24"/>
              </w:rPr>
            </w:pPr>
            <w:r w:rsidRPr="0091583B">
              <w:rPr>
                <w:szCs w:val="24"/>
              </w:rPr>
              <w:lastRenderedPageBreak/>
              <w:t>Visiškas</w:t>
            </w:r>
          </w:p>
          <w:p w14:paraId="40B5FA90" w14:textId="6512D09C" w:rsidR="002463E0" w:rsidRPr="0091583B" w:rsidRDefault="002463E0" w:rsidP="002463E0">
            <w:pPr>
              <w:pStyle w:val="Antrats"/>
              <w:tabs>
                <w:tab w:val="left" w:pos="567"/>
              </w:tabs>
              <w:snapToGrid w:val="0"/>
              <w:jc w:val="both"/>
              <w:rPr>
                <w:szCs w:val="24"/>
              </w:rPr>
            </w:pPr>
          </w:p>
        </w:tc>
      </w:tr>
      <w:tr w:rsidR="002463E0" w:rsidRPr="0091583B" w14:paraId="68DB013A" w14:textId="77777777" w:rsidTr="00F03477">
        <w:tblPrEx>
          <w:tblCellMar>
            <w:top w:w="57" w:type="dxa"/>
            <w:left w:w="57" w:type="dxa"/>
            <w:bottom w:w="57" w:type="dxa"/>
            <w:right w:w="57" w:type="dxa"/>
          </w:tblCellMar>
        </w:tblPrEx>
        <w:tc>
          <w:tcPr>
            <w:tcW w:w="4395" w:type="dxa"/>
            <w:tcBorders>
              <w:top w:val="single" w:sz="4" w:space="0" w:color="auto"/>
              <w:left w:val="single" w:sz="4" w:space="0" w:color="000000"/>
              <w:bottom w:val="single" w:sz="4" w:space="0" w:color="auto"/>
            </w:tcBorders>
          </w:tcPr>
          <w:p w14:paraId="05237373" w14:textId="58092802" w:rsidR="002463E0" w:rsidRPr="0091583B" w:rsidRDefault="002463E0" w:rsidP="002463E0">
            <w:pPr>
              <w:tabs>
                <w:tab w:val="left" w:pos="567"/>
              </w:tabs>
              <w:snapToGrid w:val="0"/>
              <w:jc w:val="both"/>
              <w:rPr>
                <w:b/>
                <w:bCs/>
                <w:color w:val="000000"/>
                <w:lang w:val="lt-LT"/>
              </w:rPr>
            </w:pPr>
            <w:r w:rsidRPr="0091583B">
              <w:rPr>
                <w:b/>
                <w:bCs/>
                <w:color w:val="000000"/>
                <w:lang w:val="lt-LT"/>
              </w:rPr>
              <w:t>2 straipsnio 1 dalies 20 punktas</w:t>
            </w:r>
          </w:p>
          <w:p w14:paraId="1BE53686" w14:textId="610FB85C" w:rsidR="002463E0" w:rsidRPr="0091583B" w:rsidRDefault="002463E0" w:rsidP="002463E0">
            <w:pPr>
              <w:tabs>
                <w:tab w:val="left" w:pos="567"/>
              </w:tabs>
              <w:jc w:val="both"/>
              <w:rPr>
                <w:color w:val="000000"/>
                <w:lang w:val="lt-LT"/>
              </w:rPr>
            </w:pPr>
            <w:r w:rsidRPr="001677AC">
              <w:rPr>
                <w:color w:val="000000"/>
                <w:lang w:val="lt-LT"/>
              </w:rPr>
              <w:t>20)   reguliavimas apkrova</w:t>
            </w:r>
            <w:r w:rsidRPr="0091583B">
              <w:rPr>
                <w:color w:val="000000"/>
                <w:lang w:val="lt-LT"/>
              </w:rPr>
              <w:t xml:space="preserve"> </w:t>
            </w:r>
            <w:r w:rsidRPr="001677AC">
              <w:rPr>
                <w:color w:val="000000"/>
                <w:lang w:val="lt-LT"/>
              </w:rPr>
              <w:t>– elektros energijos apkrovos pasikeitimas, kai galutiniai vartotojai reaguodami į rinkos signalus, įskaitant pagal laiką varijuojančias elektros energijos kainas ar skatinamąsias išmokas, arba reaguodami į tai, kad priimamas jų savarankiškai arba per telkėjus organizuotoje rinkoje, kaip apibrėžta Komisijos įgyvendinimo reglamento (ES) Nr. 1348/2014 2 straipsnio 4 punkte, pateiktas pasiūlymas už tam tikrą kainą sumažinti arba padidinti savo apkrovą, keičia savo įprastus arba esamus vartojimo modelius;</w:t>
            </w:r>
          </w:p>
        </w:tc>
        <w:tc>
          <w:tcPr>
            <w:tcW w:w="7796" w:type="dxa"/>
            <w:tcBorders>
              <w:top w:val="single" w:sz="4" w:space="0" w:color="auto"/>
              <w:left w:val="single" w:sz="4" w:space="0" w:color="000000"/>
              <w:bottom w:val="single" w:sz="4" w:space="0" w:color="auto"/>
            </w:tcBorders>
          </w:tcPr>
          <w:p w14:paraId="47B5B269" w14:textId="77777777" w:rsidR="002463E0" w:rsidRDefault="0091583B" w:rsidP="002463E0">
            <w:pPr>
              <w:tabs>
                <w:tab w:val="left" w:pos="567"/>
              </w:tabs>
              <w:snapToGrid w:val="0"/>
              <w:jc w:val="both"/>
              <w:rPr>
                <w:b/>
                <w:lang w:val="lt-LT"/>
              </w:rPr>
            </w:pPr>
            <w:r w:rsidRPr="0091583B">
              <w:rPr>
                <w:b/>
                <w:lang w:val="lt-LT"/>
              </w:rPr>
              <w:t>Elektros energetikos įstatymo pakeitimo projektas</w:t>
            </w:r>
          </w:p>
          <w:p w14:paraId="716F679B" w14:textId="77777777" w:rsidR="00484E57" w:rsidRDefault="00484E57" w:rsidP="002463E0">
            <w:pPr>
              <w:tabs>
                <w:tab w:val="left" w:pos="567"/>
              </w:tabs>
              <w:snapToGrid w:val="0"/>
              <w:jc w:val="both"/>
              <w:rPr>
                <w:b/>
                <w:lang w:val="lt-LT"/>
              </w:rPr>
            </w:pPr>
          </w:p>
          <w:p w14:paraId="2CD702B9" w14:textId="54652416" w:rsidR="00484E57" w:rsidRDefault="002A6F80" w:rsidP="002463E0">
            <w:pPr>
              <w:tabs>
                <w:tab w:val="left" w:pos="567"/>
              </w:tabs>
              <w:snapToGrid w:val="0"/>
              <w:jc w:val="both"/>
              <w:rPr>
                <w:b/>
                <w:bCs/>
                <w:lang w:val="lt-LT"/>
              </w:rPr>
            </w:pPr>
            <w:r w:rsidRPr="00992965">
              <w:rPr>
                <w:b/>
                <w:bCs/>
                <w:lang w:val="lt-LT"/>
              </w:rPr>
              <w:t>1 straipsnis. 2 straipsnio pakeitimas</w:t>
            </w:r>
          </w:p>
          <w:p w14:paraId="47263C4E" w14:textId="77777777" w:rsidR="00992965" w:rsidRPr="00992965" w:rsidRDefault="00992965" w:rsidP="002463E0">
            <w:pPr>
              <w:tabs>
                <w:tab w:val="left" w:pos="567"/>
              </w:tabs>
              <w:snapToGrid w:val="0"/>
              <w:jc w:val="both"/>
              <w:rPr>
                <w:b/>
                <w:bCs/>
                <w:lang w:val="lt-LT"/>
              </w:rPr>
            </w:pPr>
          </w:p>
          <w:p w14:paraId="702AA395" w14:textId="77777777" w:rsidR="00992965" w:rsidRPr="00992965" w:rsidRDefault="00992965" w:rsidP="00992965">
            <w:pPr>
              <w:tabs>
                <w:tab w:val="left" w:pos="567"/>
              </w:tabs>
              <w:snapToGrid w:val="0"/>
              <w:jc w:val="both"/>
              <w:rPr>
                <w:bCs/>
                <w:lang w:val="lt-LT"/>
              </w:rPr>
            </w:pPr>
            <w:r w:rsidRPr="00992965">
              <w:rPr>
                <w:bCs/>
                <w:lang w:val="lt-LT"/>
              </w:rPr>
              <w:t>6. Papildyti 2 straipsnį 28</w:t>
            </w:r>
            <w:r w:rsidRPr="00992965">
              <w:rPr>
                <w:bCs/>
                <w:vertAlign w:val="superscript"/>
                <w:lang w:val="en-US"/>
              </w:rPr>
              <w:t>1</w:t>
            </w:r>
            <w:r w:rsidRPr="00992965">
              <w:rPr>
                <w:bCs/>
                <w:lang w:val="lt-LT"/>
              </w:rPr>
              <w:t xml:space="preserve"> dalimi:</w:t>
            </w:r>
          </w:p>
          <w:p w14:paraId="2ED27EBF" w14:textId="117BC8B5" w:rsidR="00992965" w:rsidRPr="00992965" w:rsidRDefault="00992965" w:rsidP="00992965">
            <w:pPr>
              <w:tabs>
                <w:tab w:val="left" w:pos="567"/>
              </w:tabs>
              <w:snapToGrid w:val="0"/>
              <w:jc w:val="both"/>
              <w:rPr>
                <w:bCs/>
                <w:lang w:val="lt-LT"/>
              </w:rPr>
            </w:pPr>
            <w:r w:rsidRPr="00992965">
              <w:rPr>
                <w:bCs/>
                <w:lang w:val="lt-LT"/>
              </w:rPr>
              <w:t>„</w:t>
            </w:r>
            <w:r w:rsidRPr="00992965">
              <w:rPr>
                <w:b/>
                <w:lang w:val="lt-LT"/>
              </w:rPr>
              <w:t>28</w:t>
            </w:r>
            <w:r w:rsidRPr="00992965">
              <w:rPr>
                <w:b/>
                <w:vertAlign w:val="superscript"/>
                <w:lang w:val="lt-LT"/>
              </w:rPr>
              <w:t>1</w:t>
            </w:r>
            <w:r w:rsidRPr="00992965">
              <w:rPr>
                <w:b/>
                <w:lang w:val="lt-LT"/>
              </w:rPr>
              <w:t xml:space="preserve">. </w:t>
            </w:r>
            <w:r w:rsidR="00504ED7" w:rsidRPr="00504ED7">
              <w:rPr>
                <w:b/>
                <w:lang w:val="lt-LT"/>
              </w:rPr>
              <w:t>Nepriklausomas elektros energijos paklausos telkėjas (toliau – nepriklausomas paklausos telkėjas) – elektros energijos rinkos dalyvis, kuris, turėdamas reikiamą leidimą, vykdo vartotojų elektros energijos paklausos telkimo veiklą ir nėra susijęs su savo aptarnaujamų vartotojų tiekėju. Nepriklausomas elektros energijos paklausos telkėjas ir tiekėjas laikomi susijusiais, jeigu jie priklauso susijusių ūkio subjektų grupei, kaip ji apibrėžiama Lietuvos Respublikos konkurencijos įstatyme, ir (ar) yra susijusios įmonės, kaip jos apibrėžiamos Lietuvos Respublikos smulkiojo ir vidutinio verslo plėtros įstatyme.</w:t>
            </w:r>
            <w:r w:rsidRPr="00992965">
              <w:rPr>
                <w:bCs/>
                <w:lang w:val="lt-LT"/>
              </w:rPr>
              <w:t>“</w:t>
            </w:r>
          </w:p>
          <w:p w14:paraId="6FF6712C" w14:textId="7333FF53" w:rsidR="002A6F80" w:rsidRPr="0091583B" w:rsidRDefault="002A6F80" w:rsidP="002463E0">
            <w:pPr>
              <w:tabs>
                <w:tab w:val="left" w:pos="567"/>
              </w:tabs>
              <w:snapToGrid w:val="0"/>
              <w:jc w:val="both"/>
              <w:rPr>
                <w:lang w:val="lt-LT"/>
              </w:rPr>
            </w:pPr>
          </w:p>
        </w:tc>
        <w:tc>
          <w:tcPr>
            <w:tcW w:w="2992" w:type="dxa"/>
            <w:tcBorders>
              <w:top w:val="single" w:sz="4" w:space="0" w:color="auto"/>
              <w:left w:val="single" w:sz="4" w:space="0" w:color="000000"/>
              <w:bottom w:val="single" w:sz="4" w:space="0" w:color="auto"/>
              <w:right w:val="single" w:sz="4" w:space="0" w:color="000000"/>
            </w:tcBorders>
          </w:tcPr>
          <w:p w14:paraId="333A910A" w14:textId="612916E4" w:rsidR="002463E0" w:rsidRPr="0091583B" w:rsidRDefault="007F0FA9" w:rsidP="002463E0">
            <w:pPr>
              <w:pStyle w:val="Antrats"/>
              <w:tabs>
                <w:tab w:val="left" w:pos="567"/>
              </w:tabs>
              <w:snapToGrid w:val="0"/>
              <w:jc w:val="both"/>
              <w:rPr>
                <w:szCs w:val="24"/>
              </w:rPr>
            </w:pPr>
            <w:r w:rsidRPr="0091583B">
              <w:rPr>
                <w:szCs w:val="24"/>
              </w:rPr>
              <w:t>Visiškas</w:t>
            </w:r>
          </w:p>
        </w:tc>
      </w:tr>
      <w:tr w:rsidR="007F0FA9" w:rsidRPr="0091583B" w14:paraId="0FB40280" w14:textId="77777777" w:rsidTr="00EE1E24">
        <w:tblPrEx>
          <w:tblCellMar>
            <w:top w:w="57" w:type="dxa"/>
            <w:left w:w="57" w:type="dxa"/>
            <w:bottom w:w="57" w:type="dxa"/>
            <w:right w:w="57" w:type="dxa"/>
          </w:tblCellMar>
        </w:tblPrEx>
        <w:tc>
          <w:tcPr>
            <w:tcW w:w="4395" w:type="dxa"/>
            <w:tcBorders>
              <w:top w:val="single" w:sz="4" w:space="0" w:color="auto"/>
              <w:left w:val="single" w:sz="4" w:space="0" w:color="000000"/>
              <w:bottom w:val="single" w:sz="4" w:space="0" w:color="auto"/>
            </w:tcBorders>
          </w:tcPr>
          <w:p w14:paraId="22E33F8F" w14:textId="1A351645" w:rsidR="000650B4" w:rsidRPr="00150D0E" w:rsidRDefault="000650B4" w:rsidP="00150D0E">
            <w:pPr>
              <w:tabs>
                <w:tab w:val="left" w:pos="567"/>
              </w:tabs>
              <w:snapToGrid w:val="0"/>
              <w:jc w:val="both"/>
              <w:rPr>
                <w:b/>
                <w:bCs/>
                <w:color w:val="000000"/>
                <w:lang w:val="lt-LT"/>
              </w:rPr>
            </w:pPr>
            <w:r w:rsidRPr="00150D0E">
              <w:rPr>
                <w:b/>
                <w:bCs/>
                <w:color w:val="000000"/>
                <w:lang w:val="lt-LT"/>
              </w:rPr>
              <w:t xml:space="preserve">13 straipsnio </w:t>
            </w:r>
            <w:r w:rsidR="00150D0E" w:rsidRPr="00150D0E">
              <w:rPr>
                <w:b/>
                <w:bCs/>
                <w:color w:val="000000"/>
                <w:lang w:val="lt-LT"/>
              </w:rPr>
              <w:t>1 ir 2 dalys</w:t>
            </w:r>
          </w:p>
          <w:p w14:paraId="102AE103" w14:textId="77777777" w:rsidR="000650B4" w:rsidRPr="000650B4" w:rsidRDefault="000650B4" w:rsidP="000650B4">
            <w:pPr>
              <w:tabs>
                <w:tab w:val="left" w:pos="567"/>
              </w:tabs>
              <w:jc w:val="both"/>
              <w:rPr>
                <w:color w:val="000000"/>
                <w:lang w:val="lt-LT"/>
              </w:rPr>
            </w:pPr>
            <w:r w:rsidRPr="000650B4">
              <w:rPr>
                <w:color w:val="000000"/>
                <w:lang w:val="lt-LT"/>
              </w:rPr>
              <w:t xml:space="preserve">1.   Valstybės narės užtikrina, kad visi vartotojai turėtų galimybę savo nuožiūra pirkti ir parduoti elektros energijos paslaugas, įskaitant telkimą, išskyrus tiekimą, nepriklausomai nuo jų elektros </w:t>
            </w:r>
            <w:r w:rsidRPr="000650B4">
              <w:rPr>
                <w:color w:val="000000"/>
                <w:lang w:val="lt-LT"/>
              </w:rPr>
              <w:lastRenderedPageBreak/>
              <w:t>energijos tiekimo sutarties ir nuo jų pasirinktos elektros energijos įmonės.</w:t>
            </w:r>
          </w:p>
          <w:p w14:paraId="1D09EFB1" w14:textId="77777777" w:rsidR="000650B4" w:rsidRPr="000650B4" w:rsidRDefault="000650B4" w:rsidP="000650B4">
            <w:pPr>
              <w:tabs>
                <w:tab w:val="left" w:pos="567"/>
              </w:tabs>
              <w:jc w:val="both"/>
              <w:rPr>
                <w:color w:val="000000"/>
                <w:lang w:val="lt-LT"/>
              </w:rPr>
            </w:pPr>
            <w:r w:rsidRPr="000650B4">
              <w:rPr>
                <w:color w:val="000000"/>
                <w:lang w:val="lt-LT"/>
              </w:rPr>
              <w:t>2.   Valstybės narės užtikrina, kad galutiniam vartotojui pageidaujant sudaryti telkimo sutartį, galutinis vartotojas galėtų tai padaryti nereikalaujant galutinio vartotojo elektros energijos įmonės sutikimo.</w:t>
            </w:r>
          </w:p>
          <w:p w14:paraId="2AC17E45" w14:textId="41EB9441" w:rsidR="007F0FA9" w:rsidRPr="0091583B" w:rsidRDefault="000650B4" w:rsidP="000650B4">
            <w:pPr>
              <w:tabs>
                <w:tab w:val="left" w:pos="567"/>
              </w:tabs>
              <w:jc w:val="both"/>
              <w:rPr>
                <w:color w:val="000000"/>
                <w:lang w:val="lt-LT"/>
              </w:rPr>
            </w:pPr>
            <w:r w:rsidRPr="000650B4">
              <w:rPr>
                <w:color w:val="000000"/>
                <w:lang w:val="lt-LT"/>
              </w:rPr>
              <w:t>Valstybės narės užtikrina, kad telkimu užsiimantys rinkos dalyviai išsamiai informuotų vartotojus apie jiems jų siūlomų pasirašyti sutarčių nuostatas ir sąlygas.</w:t>
            </w:r>
          </w:p>
        </w:tc>
        <w:tc>
          <w:tcPr>
            <w:tcW w:w="7796" w:type="dxa"/>
            <w:tcBorders>
              <w:top w:val="single" w:sz="4" w:space="0" w:color="auto"/>
              <w:left w:val="single" w:sz="4" w:space="0" w:color="000000"/>
              <w:bottom w:val="single" w:sz="4" w:space="0" w:color="auto"/>
            </w:tcBorders>
          </w:tcPr>
          <w:p w14:paraId="1D861C96" w14:textId="77777777" w:rsidR="00150D0E" w:rsidRDefault="00150D0E" w:rsidP="00150D0E">
            <w:pPr>
              <w:tabs>
                <w:tab w:val="left" w:pos="567"/>
              </w:tabs>
              <w:snapToGrid w:val="0"/>
              <w:jc w:val="both"/>
              <w:rPr>
                <w:b/>
                <w:lang w:val="lt-LT"/>
              </w:rPr>
            </w:pPr>
            <w:r w:rsidRPr="0091583B">
              <w:rPr>
                <w:b/>
                <w:lang w:val="lt-LT"/>
              </w:rPr>
              <w:lastRenderedPageBreak/>
              <w:t>Elektros energetikos įstatymo pakeitimo projektas</w:t>
            </w:r>
          </w:p>
          <w:p w14:paraId="3FABBA9C" w14:textId="77777777" w:rsidR="007F0FA9" w:rsidRDefault="007F0FA9" w:rsidP="00EE1E24">
            <w:pPr>
              <w:tabs>
                <w:tab w:val="left" w:pos="567"/>
              </w:tabs>
              <w:snapToGrid w:val="0"/>
              <w:jc w:val="both"/>
              <w:rPr>
                <w:lang w:val="lt-LT"/>
              </w:rPr>
            </w:pPr>
          </w:p>
          <w:p w14:paraId="083D3462" w14:textId="52E43AAE" w:rsidR="00E7641F" w:rsidRDefault="00D740FE" w:rsidP="00E7641F">
            <w:pPr>
              <w:tabs>
                <w:tab w:val="left" w:pos="567"/>
              </w:tabs>
              <w:snapToGrid w:val="0"/>
              <w:jc w:val="both"/>
              <w:rPr>
                <w:b/>
                <w:lang w:val="lt-LT"/>
              </w:rPr>
            </w:pPr>
            <w:r>
              <w:rPr>
                <w:b/>
                <w:lang w:val="lt-LT"/>
              </w:rPr>
              <w:t>1</w:t>
            </w:r>
            <w:r w:rsidR="002B4A62">
              <w:rPr>
                <w:b/>
                <w:lang w:val="lt-LT"/>
              </w:rPr>
              <w:t>2</w:t>
            </w:r>
            <w:bookmarkStart w:id="3" w:name="_GoBack"/>
            <w:bookmarkEnd w:id="3"/>
            <w:r w:rsidR="00E7641F" w:rsidRPr="00E7641F">
              <w:rPr>
                <w:b/>
                <w:lang w:val="lt-LT"/>
              </w:rPr>
              <w:t xml:space="preserve"> straipsnis. Įstatymo papildymas 61</w:t>
            </w:r>
            <w:r w:rsidR="00E7641F" w:rsidRPr="00E7641F">
              <w:rPr>
                <w:b/>
                <w:vertAlign w:val="superscript"/>
                <w:lang w:val="lt-LT"/>
              </w:rPr>
              <w:t>1</w:t>
            </w:r>
            <w:r w:rsidR="00E7641F" w:rsidRPr="00E7641F">
              <w:rPr>
                <w:b/>
                <w:lang w:val="lt-LT"/>
              </w:rPr>
              <w:t xml:space="preserve"> straipsniu</w:t>
            </w:r>
          </w:p>
          <w:p w14:paraId="7B133088" w14:textId="77777777" w:rsidR="00E7641F" w:rsidRPr="00E7641F" w:rsidRDefault="00E7641F" w:rsidP="00E7641F">
            <w:pPr>
              <w:tabs>
                <w:tab w:val="left" w:pos="567"/>
              </w:tabs>
              <w:snapToGrid w:val="0"/>
              <w:jc w:val="both"/>
              <w:rPr>
                <w:bCs/>
                <w:lang w:val="lt-LT"/>
              </w:rPr>
            </w:pPr>
          </w:p>
          <w:p w14:paraId="2F0F4FFF" w14:textId="77777777" w:rsidR="00E7641F" w:rsidRPr="00E7641F" w:rsidRDefault="00E7641F" w:rsidP="00E7641F">
            <w:pPr>
              <w:tabs>
                <w:tab w:val="left" w:pos="567"/>
              </w:tabs>
              <w:snapToGrid w:val="0"/>
              <w:jc w:val="both"/>
              <w:rPr>
                <w:bCs/>
                <w:lang w:val="lt-LT"/>
              </w:rPr>
            </w:pPr>
            <w:r w:rsidRPr="00E7641F">
              <w:rPr>
                <w:bCs/>
                <w:lang w:val="lt-LT"/>
              </w:rPr>
              <w:t>Papildyti Įstatymą 61</w:t>
            </w:r>
            <w:r w:rsidRPr="00E7641F">
              <w:rPr>
                <w:bCs/>
                <w:vertAlign w:val="superscript"/>
                <w:lang w:val="lt-LT"/>
              </w:rPr>
              <w:t>1</w:t>
            </w:r>
            <w:r w:rsidRPr="00E7641F">
              <w:rPr>
                <w:bCs/>
                <w:lang w:val="lt-LT"/>
              </w:rPr>
              <w:t xml:space="preserve"> straipsniu:</w:t>
            </w:r>
          </w:p>
          <w:p w14:paraId="797CAC8B" w14:textId="227CCA18" w:rsidR="00E7641F" w:rsidRPr="00E7641F" w:rsidRDefault="00E7641F" w:rsidP="00E7641F">
            <w:pPr>
              <w:tabs>
                <w:tab w:val="left" w:pos="567"/>
              </w:tabs>
              <w:snapToGrid w:val="0"/>
              <w:jc w:val="both"/>
              <w:rPr>
                <w:bCs/>
                <w:lang w:val="lt-LT"/>
              </w:rPr>
            </w:pPr>
            <w:r w:rsidRPr="00E7641F">
              <w:rPr>
                <w:bCs/>
                <w:lang w:val="lt-LT"/>
              </w:rPr>
              <w:t>„</w:t>
            </w:r>
            <w:r w:rsidRPr="00E7641F">
              <w:rPr>
                <w:b/>
                <w:bCs/>
                <w:lang w:val="lt-LT"/>
              </w:rPr>
              <w:t>61</w:t>
            </w:r>
            <w:r w:rsidRPr="00E7641F">
              <w:rPr>
                <w:b/>
                <w:bCs/>
                <w:vertAlign w:val="superscript"/>
                <w:lang w:val="lt-LT"/>
              </w:rPr>
              <w:t>1</w:t>
            </w:r>
            <w:r w:rsidRPr="00E7641F">
              <w:rPr>
                <w:b/>
                <w:bCs/>
                <w:lang w:val="lt-LT"/>
              </w:rPr>
              <w:t xml:space="preserve"> straipsnis. </w:t>
            </w:r>
            <w:r w:rsidR="009A1E85" w:rsidRPr="009A1E85">
              <w:rPr>
                <w:b/>
                <w:bCs/>
                <w:lang w:val="lt-LT"/>
              </w:rPr>
              <w:t>Vartotojo ir nepriklausomo paklausos telkėjo sutartis</w:t>
            </w:r>
          </w:p>
          <w:p w14:paraId="3EF45891" w14:textId="16A4126B" w:rsidR="00E7641F" w:rsidRPr="00E7641F" w:rsidRDefault="00E7641F" w:rsidP="00E7641F">
            <w:pPr>
              <w:tabs>
                <w:tab w:val="left" w:pos="567"/>
              </w:tabs>
              <w:snapToGrid w:val="0"/>
              <w:jc w:val="both"/>
              <w:rPr>
                <w:b/>
                <w:lang w:val="lt-LT"/>
              </w:rPr>
            </w:pPr>
            <w:r w:rsidRPr="00E7641F">
              <w:rPr>
                <w:b/>
                <w:lang w:val="lt-LT"/>
              </w:rPr>
              <w:lastRenderedPageBreak/>
              <w:t xml:space="preserve">1. </w:t>
            </w:r>
            <w:r w:rsidR="006C364F" w:rsidRPr="006C364F">
              <w:rPr>
                <w:b/>
                <w:lang w:val="lt-LT"/>
              </w:rPr>
              <w:t>Vartotojas, nusprendęs dalyvauti telkiant elektros energijos paklausą, turintis tam tinkamą elektros apskaitos prietaisą, sudaro sutartį su nepriklausomu paklausos telkėju. Vartotojas turi teisę sudaryti sutartį be tiekėjo, kuris vartotojui tiekia elektros energiją, sutikimo.</w:t>
            </w:r>
          </w:p>
          <w:p w14:paraId="3EF6871F" w14:textId="77777777" w:rsidR="00E7641F" w:rsidRPr="00E7641F" w:rsidRDefault="00E7641F" w:rsidP="00E7641F">
            <w:pPr>
              <w:tabs>
                <w:tab w:val="left" w:pos="567"/>
              </w:tabs>
              <w:snapToGrid w:val="0"/>
              <w:jc w:val="both"/>
              <w:rPr>
                <w:bCs/>
                <w:lang w:val="lt-LT"/>
              </w:rPr>
            </w:pPr>
            <w:r w:rsidRPr="00E7641F">
              <w:rPr>
                <w:b/>
                <w:lang w:val="lt-LT"/>
              </w:rPr>
              <w:t>2. Vartotojo ir nepriklausomo paklausos telkėjo sutartis yra konfidenciali ir gali būti atskleista tik perdavimo sistemos operatoriui ir tinklų operatoriui, prie kurio tinklų yra prijungti vartotojo įrenginiai, ir priežiūros institucijoms. Vartotojas turi teisę tretiesiems asmenims atskleisti informaciją apie sutarties su nepriklausomu paklausos telkėju sudarymo faktą, tačiau negali atskleisti šios sutarties nuostatų ir sąlygų turinio, neturėdamas nepriklausomo paklausos telkėjo sutikimo.</w:t>
            </w:r>
          </w:p>
          <w:p w14:paraId="0EFBD118" w14:textId="77777777" w:rsidR="006C364F" w:rsidRDefault="00E7641F" w:rsidP="00E7641F">
            <w:pPr>
              <w:tabs>
                <w:tab w:val="left" w:pos="567"/>
              </w:tabs>
              <w:snapToGrid w:val="0"/>
              <w:jc w:val="both"/>
              <w:rPr>
                <w:b/>
                <w:lang w:val="lt-LT"/>
              </w:rPr>
            </w:pPr>
            <w:r w:rsidRPr="00E7641F">
              <w:rPr>
                <w:b/>
                <w:lang w:val="lt-LT"/>
              </w:rPr>
              <w:t>3. Nepriklausomas paklausos telkėjas, prieš sudarydamas sutartį su vartotoju, privalo išsamiai informuoti vartotoją apie jam siūlomos pasirašyti sutarties nuostatas ir sąlygas.</w:t>
            </w:r>
          </w:p>
          <w:p w14:paraId="5C15F328" w14:textId="0DB18393" w:rsidR="00E7641F" w:rsidRPr="0091583B" w:rsidRDefault="009E0F8E" w:rsidP="00E7641F">
            <w:pPr>
              <w:tabs>
                <w:tab w:val="left" w:pos="567"/>
              </w:tabs>
              <w:snapToGrid w:val="0"/>
              <w:jc w:val="both"/>
              <w:rPr>
                <w:lang w:val="lt-LT"/>
              </w:rPr>
            </w:pPr>
            <w:r w:rsidRPr="009E0F8E">
              <w:rPr>
                <w:b/>
                <w:bCs/>
                <w:lang w:val="lt-LT"/>
              </w:rPr>
              <w:t>4. Nepriklausomas paklausos telkėjas prieš sudarydamas arba nutraukdamas sutartį su vartotoju prieš 3 savaites apie tai raštu privalo pranešti tinklų operatoriui, prie kurio valdomų tinklų yra prijungti vartotojo įrenginiai</w:t>
            </w:r>
            <w:r>
              <w:rPr>
                <w:b/>
                <w:bCs/>
                <w:lang w:val="lt-LT"/>
              </w:rPr>
              <w:t>.</w:t>
            </w:r>
            <w:r w:rsidR="00E7641F" w:rsidRPr="00E7641F">
              <w:rPr>
                <w:bCs/>
                <w:lang w:val="lt-LT"/>
              </w:rPr>
              <w:t>“</w:t>
            </w:r>
          </w:p>
        </w:tc>
        <w:tc>
          <w:tcPr>
            <w:tcW w:w="2992" w:type="dxa"/>
            <w:tcBorders>
              <w:top w:val="single" w:sz="4" w:space="0" w:color="auto"/>
              <w:left w:val="single" w:sz="4" w:space="0" w:color="000000"/>
              <w:bottom w:val="single" w:sz="4" w:space="0" w:color="auto"/>
              <w:right w:val="single" w:sz="4" w:space="0" w:color="000000"/>
            </w:tcBorders>
          </w:tcPr>
          <w:p w14:paraId="511E3A6B" w14:textId="2FAB69E9" w:rsidR="007F0FA9" w:rsidRPr="0091583B" w:rsidRDefault="00F00F97" w:rsidP="00EE1E24">
            <w:pPr>
              <w:pStyle w:val="Antrats"/>
              <w:tabs>
                <w:tab w:val="left" w:pos="567"/>
              </w:tabs>
              <w:snapToGrid w:val="0"/>
              <w:jc w:val="both"/>
              <w:rPr>
                <w:szCs w:val="24"/>
              </w:rPr>
            </w:pPr>
            <w:r>
              <w:rPr>
                <w:szCs w:val="24"/>
              </w:rPr>
              <w:lastRenderedPageBreak/>
              <w:t>Visiškas</w:t>
            </w:r>
          </w:p>
        </w:tc>
      </w:tr>
    </w:tbl>
    <w:p w14:paraId="722CE25F" w14:textId="77777777" w:rsidR="00B26F41" w:rsidRPr="0091583B" w:rsidRDefault="00B26F41" w:rsidP="00A77D04">
      <w:pPr>
        <w:tabs>
          <w:tab w:val="left" w:pos="567"/>
        </w:tabs>
        <w:jc w:val="center"/>
        <w:rPr>
          <w:lang w:val="lt-LT"/>
        </w:rPr>
      </w:pPr>
      <w:r w:rsidRPr="0091583B">
        <w:rPr>
          <w:lang w:val="lt-LT"/>
        </w:rPr>
        <w:t>______________</w:t>
      </w:r>
    </w:p>
    <w:p w14:paraId="3EF55212" w14:textId="77777777" w:rsidR="001771A9" w:rsidRPr="0091583B" w:rsidRDefault="001771A9" w:rsidP="00A77D04">
      <w:pPr>
        <w:tabs>
          <w:tab w:val="left" w:pos="567"/>
        </w:tabs>
        <w:suppressAutoHyphens w:val="0"/>
        <w:jc w:val="both"/>
        <w:rPr>
          <w:lang w:val="lt-LT"/>
        </w:rPr>
      </w:pPr>
    </w:p>
    <w:sectPr w:rsidR="001771A9" w:rsidRPr="0091583B" w:rsidSect="00E3585E">
      <w:footnotePr>
        <w:pos w:val="beneathText"/>
      </w:footnotePr>
      <w:pgSz w:w="16837" w:h="11905" w:orient="landscape"/>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Extended">
    <w:altName w:val="Times New Roman"/>
    <w:charset w:val="00"/>
    <w:family w:val="swiss"/>
    <w:pitch w:val="variable"/>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pStyle w:val="Antrat1"/>
      <w:suff w:val="nothing"/>
      <w:lvlText w:val=""/>
      <w:lvlJc w:val="left"/>
      <w:pPr>
        <w:tabs>
          <w:tab w:val="num" w:pos="0"/>
        </w:tabs>
      </w:pPr>
    </w:lvl>
    <w:lvl w:ilvl="1">
      <w:start w:val="1"/>
      <w:numFmt w:val="none"/>
      <w:pStyle w:val="Antrat2"/>
      <w:suff w:val="nothing"/>
      <w:lvlText w:val=""/>
      <w:lvlJc w:val="left"/>
      <w:pPr>
        <w:tabs>
          <w:tab w:val="num" w:pos="1701"/>
        </w:tabs>
      </w:pPr>
    </w:lvl>
    <w:lvl w:ilvl="2">
      <w:start w:val="1"/>
      <w:numFmt w:val="none"/>
      <w:pStyle w:val="Antrat3"/>
      <w:suff w:val="nothing"/>
      <w:lvlText w:val=""/>
      <w:lvlJc w:val="left"/>
      <w:pPr>
        <w:tabs>
          <w:tab w:val="num" w:pos="0"/>
        </w:tabs>
      </w:pPr>
    </w:lvl>
    <w:lvl w:ilvl="3">
      <w:start w:val="1"/>
      <w:numFmt w:val="none"/>
      <w:pStyle w:val="Antrat4"/>
      <w:suff w:val="nothing"/>
      <w:lvlText w:val=""/>
      <w:lvlJc w:val="left"/>
      <w:pPr>
        <w:tabs>
          <w:tab w:val="num" w:pos="2138"/>
        </w:tabs>
      </w:pPr>
    </w:lvl>
    <w:lvl w:ilvl="4">
      <w:start w:val="1"/>
      <w:numFmt w:val="decimal"/>
      <w:pStyle w:val="Antrat5"/>
      <w:lvlText w:val="()%5"/>
      <w:lvlJc w:val="left"/>
      <w:pPr>
        <w:tabs>
          <w:tab w:val="num" w:pos="3827"/>
        </w:tabs>
      </w:pPr>
    </w:lvl>
    <w:lvl w:ilvl="5">
      <w:start w:val="1"/>
      <w:numFmt w:val="lowerLetter"/>
      <w:pStyle w:val="Antrat6"/>
      <w:lvlText w:val="()%6"/>
      <w:lvlJc w:val="left"/>
      <w:pPr>
        <w:tabs>
          <w:tab w:val="num" w:pos="4535"/>
        </w:tabs>
      </w:pPr>
    </w:lvl>
    <w:lvl w:ilvl="6">
      <w:start w:val="1"/>
      <w:numFmt w:val="lowerRoman"/>
      <w:pStyle w:val="Antrat7"/>
      <w:lvlText w:val="()%7"/>
      <w:lvlJc w:val="left"/>
      <w:pPr>
        <w:tabs>
          <w:tab w:val="num" w:pos="5243"/>
        </w:tabs>
      </w:pPr>
    </w:lvl>
    <w:lvl w:ilvl="7">
      <w:start w:val="1"/>
      <w:numFmt w:val="lowerLetter"/>
      <w:pStyle w:val="Antrat8"/>
      <w:lvlText w:val="()%8"/>
      <w:lvlJc w:val="left"/>
      <w:pPr>
        <w:tabs>
          <w:tab w:val="num" w:pos="5951"/>
        </w:tabs>
      </w:pPr>
    </w:lvl>
    <w:lvl w:ilvl="8">
      <w:start w:val="1"/>
      <w:numFmt w:val="lowerRoman"/>
      <w:pStyle w:val="Antrat9"/>
      <w:lvlText w:val="()%9"/>
      <w:lvlJc w:val="left"/>
      <w:pPr>
        <w:tabs>
          <w:tab w:val="num" w:pos="6659"/>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1A9"/>
    <w:rsid w:val="000650B4"/>
    <w:rsid w:val="00110E1B"/>
    <w:rsid w:val="00123E62"/>
    <w:rsid w:val="00150D0E"/>
    <w:rsid w:val="001677AC"/>
    <w:rsid w:val="001771A9"/>
    <w:rsid w:val="001920F9"/>
    <w:rsid w:val="002207EE"/>
    <w:rsid w:val="002348AA"/>
    <w:rsid w:val="002463E0"/>
    <w:rsid w:val="002618C6"/>
    <w:rsid w:val="00265920"/>
    <w:rsid w:val="002A3277"/>
    <w:rsid w:val="002A6F80"/>
    <w:rsid w:val="002B4A62"/>
    <w:rsid w:val="002E0311"/>
    <w:rsid w:val="002E6551"/>
    <w:rsid w:val="003B35AC"/>
    <w:rsid w:val="00424718"/>
    <w:rsid w:val="00484E57"/>
    <w:rsid w:val="004C08C9"/>
    <w:rsid w:val="00504ED7"/>
    <w:rsid w:val="00536DDF"/>
    <w:rsid w:val="00616DDA"/>
    <w:rsid w:val="006C364F"/>
    <w:rsid w:val="0079640D"/>
    <w:rsid w:val="007A1AC5"/>
    <w:rsid w:val="007F0FA9"/>
    <w:rsid w:val="00856513"/>
    <w:rsid w:val="00893C00"/>
    <w:rsid w:val="008A6BE2"/>
    <w:rsid w:val="008C153C"/>
    <w:rsid w:val="008E0684"/>
    <w:rsid w:val="009027E0"/>
    <w:rsid w:val="0091583B"/>
    <w:rsid w:val="00922B9A"/>
    <w:rsid w:val="00992965"/>
    <w:rsid w:val="009A1E85"/>
    <w:rsid w:val="009D0859"/>
    <w:rsid w:val="009E0F8E"/>
    <w:rsid w:val="009F55EE"/>
    <w:rsid w:val="00A15B35"/>
    <w:rsid w:val="00A44E9E"/>
    <w:rsid w:val="00A77D04"/>
    <w:rsid w:val="00AD4873"/>
    <w:rsid w:val="00B26F41"/>
    <w:rsid w:val="00B40920"/>
    <w:rsid w:val="00B97916"/>
    <w:rsid w:val="00BA5031"/>
    <w:rsid w:val="00BC432C"/>
    <w:rsid w:val="00BC74D7"/>
    <w:rsid w:val="00C23073"/>
    <w:rsid w:val="00C37D8B"/>
    <w:rsid w:val="00C56834"/>
    <w:rsid w:val="00C777DB"/>
    <w:rsid w:val="00D25747"/>
    <w:rsid w:val="00D740FE"/>
    <w:rsid w:val="00E34A47"/>
    <w:rsid w:val="00E3585E"/>
    <w:rsid w:val="00E7641F"/>
    <w:rsid w:val="00EC0BB2"/>
    <w:rsid w:val="00ED7DDD"/>
    <w:rsid w:val="00EE7BF0"/>
    <w:rsid w:val="00F00F97"/>
    <w:rsid w:val="00F509AF"/>
    <w:rsid w:val="00F6102F"/>
    <w:rsid w:val="00F701F1"/>
    <w:rsid w:val="00F82330"/>
    <w:rsid w:val="00FB06E3"/>
    <w:rsid w:val="00FB07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E27E"/>
  <w15:docId w15:val="{19DACEB7-49F7-4983-A4DD-3CC1AFAD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suppressAutoHyphens w:val="0"/>
      <w:spacing w:after="360"/>
      <w:ind w:left="2421" w:right="1701"/>
      <w:jc w:val="center"/>
      <w:outlineLvl w:val="0"/>
    </w:pPr>
    <w:rPr>
      <w:rFonts w:ascii="HelveticaLT Extended" w:hAnsi="HelveticaLT Extended"/>
      <w:b/>
      <w:caps/>
      <w:kern w:val="1"/>
      <w:szCs w:val="20"/>
      <w:lang w:val="lt-LT"/>
    </w:rPr>
  </w:style>
  <w:style w:type="paragraph" w:styleId="Antrat2">
    <w:name w:val="heading 2"/>
    <w:basedOn w:val="prastasis"/>
    <w:next w:val="prastasis"/>
    <w:qFormat/>
    <w:pPr>
      <w:keepNext/>
      <w:numPr>
        <w:ilvl w:val="1"/>
        <w:numId w:val="1"/>
      </w:numPr>
      <w:suppressAutoHyphens w:val="0"/>
      <w:spacing w:before="240" w:after="120"/>
      <w:ind w:left="2421" w:right="1701"/>
      <w:jc w:val="center"/>
      <w:outlineLvl w:val="1"/>
    </w:pPr>
    <w:rPr>
      <w:rFonts w:ascii="TimesLT" w:hAnsi="TimesLT"/>
      <w:caps/>
      <w:szCs w:val="20"/>
      <w:lang w:val="lt-LT"/>
    </w:rPr>
  </w:style>
  <w:style w:type="paragraph" w:styleId="Antrat3">
    <w:name w:val="heading 3"/>
    <w:basedOn w:val="prastasis"/>
    <w:next w:val="prastasis"/>
    <w:qFormat/>
    <w:pPr>
      <w:keepNext/>
      <w:numPr>
        <w:ilvl w:val="2"/>
        <w:numId w:val="1"/>
      </w:numPr>
      <w:suppressAutoHyphens w:val="0"/>
      <w:spacing w:before="240" w:after="120"/>
      <w:ind w:left="2421" w:right="1701"/>
      <w:jc w:val="center"/>
      <w:outlineLvl w:val="2"/>
    </w:pPr>
    <w:rPr>
      <w:rFonts w:ascii="TimesLT" w:hAnsi="TimesLT"/>
      <w:caps/>
      <w:sz w:val="22"/>
      <w:szCs w:val="20"/>
      <w:lang w:val="lt-LT"/>
    </w:rPr>
  </w:style>
  <w:style w:type="paragraph" w:styleId="Antrat4">
    <w:name w:val="heading 4"/>
    <w:basedOn w:val="prastasis"/>
    <w:next w:val="prastasis"/>
    <w:qFormat/>
    <w:pPr>
      <w:keepNext/>
      <w:numPr>
        <w:ilvl w:val="3"/>
        <w:numId w:val="1"/>
      </w:numPr>
      <w:suppressAutoHyphens w:val="0"/>
      <w:spacing w:before="120" w:line="360" w:lineRule="auto"/>
      <w:ind w:left="2138" w:hanging="1418"/>
      <w:jc w:val="both"/>
      <w:outlineLvl w:val="3"/>
    </w:pPr>
    <w:rPr>
      <w:rFonts w:ascii="TimesLT" w:hAnsi="TimesLT"/>
      <w:b/>
      <w:sz w:val="22"/>
      <w:szCs w:val="20"/>
      <w:lang w:val="lt-LT"/>
    </w:rPr>
  </w:style>
  <w:style w:type="paragraph" w:styleId="Antrat5">
    <w:name w:val="heading 5"/>
    <w:basedOn w:val="prastasis"/>
    <w:next w:val="prastasis"/>
    <w:qFormat/>
    <w:pPr>
      <w:numPr>
        <w:ilvl w:val="4"/>
        <w:numId w:val="1"/>
      </w:numPr>
      <w:suppressAutoHyphens w:val="0"/>
      <w:spacing w:before="240" w:after="60" w:line="360" w:lineRule="auto"/>
      <w:ind w:left="3827" w:hanging="708"/>
      <w:jc w:val="both"/>
      <w:outlineLvl w:val="4"/>
    </w:pPr>
    <w:rPr>
      <w:rFonts w:ascii="Arial" w:hAnsi="Arial"/>
      <w:sz w:val="22"/>
      <w:szCs w:val="20"/>
      <w:lang w:val="lt-LT"/>
    </w:rPr>
  </w:style>
  <w:style w:type="paragraph" w:styleId="Antrat6">
    <w:name w:val="heading 6"/>
    <w:basedOn w:val="prastasis"/>
    <w:next w:val="prastasis"/>
    <w:qFormat/>
    <w:pPr>
      <w:numPr>
        <w:ilvl w:val="5"/>
        <w:numId w:val="1"/>
      </w:numPr>
      <w:suppressAutoHyphens w:val="0"/>
      <w:spacing w:before="240" w:after="60" w:line="360" w:lineRule="auto"/>
      <w:ind w:left="4535" w:hanging="708"/>
      <w:jc w:val="both"/>
      <w:outlineLvl w:val="5"/>
    </w:pPr>
    <w:rPr>
      <w:rFonts w:ascii="Arial" w:hAnsi="Arial"/>
      <w:i/>
      <w:sz w:val="22"/>
      <w:szCs w:val="20"/>
      <w:lang w:val="lt-LT"/>
    </w:rPr>
  </w:style>
  <w:style w:type="paragraph" w:styleId="Antrat7">
    <w:name w:val="heading 7"/>
    <w:basedOn w:val="prastasis"/>
    <w:next w:val="prastasis"/>
    <w:qFormat/>
    <w:pPr>
      <w:numPr>
        <w:ilvl w:val="6"/>
        <w:numId w:val="1"/>
      </w:numPr>
      <w:suppressAutoHyphens w:val="0"/>
      <w:spacing w:before="240" w:after="60" w:line="360" w:lineRule="auto"/>
      <w:ind w:left="5243" w:hanging="708"/>
      <w:jc w:val="both"/>
      <w:outlineLvl w:val="6"/>
    </w:pPr>
    <w:rPr>
      <w:rFonts w:ascii="Arial" w:hAnsi="Arial"/>
      <w:sz w:val="20"/>
      <w:szCs w:val="20"/>
      <w:lang w:val="lt-LT"/>
    </w:rPr>
  </w:style>
  <w:style w:type="paragraph" w:styleId="Antrat8">
    <w:name w:val="heading 8"/>
    <w:basedOn w:val="prastasis"/>
    <w:next w:val="prastasis"/>
    <w:qFormat/>
    <w:pPr>
      <w:numPr>
        <w:ilvl w:val="7"/>
        <w:numId w:val="1"/>
      </w:numPr>
      <w:suppressAutoHyphens w:val="0"/>
      <w:spacing w:before="240" w:after="60" w:line="360" w:lineRule="auto"/>
      <w:ind w:left="5951" w:hanging="708"/>
      <w:jc w:val="both"/>
      <w:outlineLvl w:val="7"/>
    </w:pPr>
    <w:rPr>
      <w:rFonts w:ascii="Arial" w:hAnsi="Arial"/>
      <w:i/>
      <w:sz w:val="20"/>
      <w:szCs w:val="20"/>
      <w:lang w:val="lt-LT"/>
    </w:rPr>
  </w:style>
  <w:style w:type="paragraph" w:styleId="Antrat9">
    <w:name w:val="heading 9"/>
    <w:basedOn w:val="prastasis"/>
    <w:next w:val="prastasis"/>
    <w:qFormat/>
    <w:pPr>
      <w:numPr>
        <w:ilvl w:val="8"/>
        <w:numId w:val="1"/>
      </w:numPr>
      <w:suppressAutoHyphens w:val="0"/>
      <w:spacing w:before="240" w:after="60" w:line="360" w:lineRule="auto"/>
      <w:ind w:left="6659" w:hanging="708"/>
      <w:jc w:val="both"/>
      <w:outlineLvl w:val="8"/>
    </w:pPr>
    <w:rPr>
      <w:rFonts w:ascii="Arial" w:hAnsi="Arial"/>
      <w:i/>
      <w:sz w:val="18"/>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styleId="Hipersaitas">
    <w:name w:val="Hyperlink"/>
    <w:rPr>
      <w:color w:val="0000FF"/>
      <w:u w:val="single"/>
    </w:rPr>
  </w:style>
  <w:style w:type="character" w:styleId="Emfaz">
    <w:name w:val="Emphasis"/>
    <w:qFormat/>
    <w:rPr>
      <w:i/>
      <w:iCs/>
    </w:rPr>
  </w:style>
  <w:style w:type="character" w:customStyle="1" w:styleId="Typewriter">
    <w:name w:val="Typewriter"/>
    <w:rPr>
      <w:rFonts w:ascii="Courier New" w:hAnsi="Courier New"/>
      <w:sz w:val="20"/>
    </w:rPr>
  </w:style>
  <w:style w:type="character" w:customStyle="1" w:styleId="WW-FootnoteCharacters">
    <w:name w:val="WW-Footnote Characters"/>
    <w:rPr>
      <w:b/>
      <w:vertAlign w:val="superscript"/>
    </w:rPr>
  </w:style>
  <w:style w:type="character" w:customStyle="1" w:styleId="FootnoteCharacters">
    <w:name w:val="Footnote Characters"/>
  </w:style>
  <w:style w:type="character" w:styleId="Puslapioinaosnuoroda">
    <w:name w:val="footnote reference"/>
    <w:semiHidden/>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Dokumentoinaosnumeris">
    <w:name w:val="endnote reference"/>
    <w:semiHidden/>
    <w:rPr>
      <w:vertAlign w:val="superscript"/>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tabs>
        <w:tab w:val="center" w:pos="4153"/>
        <w:tab w:val="right" w:pos="8306"/>
      </w:tabs>
    </w:pPr>
    <w:rPr>
      <w:szCs w:val="20"/>
      <w:lang w:val="lt-LT"/>
    </w:rPr>
  </w:style>
  <w:style w:type="paragraph" w:styleId="prastasiniatinklio">
    <w:name w:val="Normal (Web)"/>
    <w:basedOn w:val="prastasis"/>
    <w:pPr>
      <w:suppressAutoHyphens w:val="0"/>
      <w:spacing w:before="280" w:after="119"/>
    </w:pPr>
    <w:rPr>
      <w:rFonts w:ascii="Arial Unicode MS" w:hAnsi="Arial Unicode MS"/>
    </w:rPr>
  </w:style>
  <w:style w:type="paragraph" w:styleId="Pagrindinistekstas2">
    <w:name w:val="Body Text 2"/>
    <w:basedOn w:val="prastasis"/>
    <w:pPr>
      <w:jc w:val="both"/>
    </w:pPr>
    <w:rPr>
      <w:sz w:val="20"/>
      <w:lang w:val="lt-LT"/>
    </w:rPr>
  </w:style>
  <w:style w:type="paragraph" w:customStyle="1" w:styleId="istatymas">
    <w:name w:val="istatymas"/>
    <w:basedOn w:val="prastasis"/>
    <w:pPr>
      <w:suppressAutoHyphens w:val="0"/>
      <w:spacing w:before="280" w:after="280"/>
    </w:pPr>
    <w:rPr>
      <w:rFonts w:ascii="Arial Unicode MS" w:hAnsi="Arial Unicode MS"/>
    </w:rPr>
  </w:style>
  <w:style w:type="paragraph" w:customStyle="1" w:styleId="WW-BodyText3">
    <w:name w:val="WW-Body Text 3"/>
    <w:basedOn w:val="prastasis"/>
    <w:pPr>
      <w:jc w:val="center"/>
    </w:pPr>
    <w:rPr>
      <w:b/>
      <w:szCs w:val="20"/>
      <w:lang w:val="lt-LT"/>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rPr>
  </w:style>
  <w:style w:type="paragraph" w:customStyle="1" w:styleId="bodytext">
    <w:name w:val="bodytext"/>
    <w:basedOn w:val="prastasis"/>
    <w:pPr>
      <w:suppressAutoHyphens w:val="0"/>
      <w:spacing w:before="280" w:after="280"/>
    </w:pPr>
    <w:rPr>
      <w:lang w:val="ru-RU"/>
    </w:rPr>
  </w:style>
  <w:style w:type="paragraph" w:customStyle="1" w:styleId="x">
    <w:name w:val="x"/>
    <w:basedOn w:val="prastasis"/>
    <w:pPr>
      <w:suppressAutoHyphens w:val="0"/>
      <w:spacing w:before="280" w:after="280"/>
    </w:pPr>
    <w:rPr>
      <w:lang w:val="ru-RU"/>
    </w:rPr>
  </w:style>
  <w:style w:type="paragraph" w:styleId="Pagrindiniotekstotrauka">
    <w:name w:val="Body Text Indent"/>
    <w:basedOn w:val="prastasis"/>
    <w:pPr>
      <w:spacing w:after="120"/>
      <w:ind w:left="283"/>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i/>
      <w:iCs/>
    </w:rPr>
  </w:style>
  <w:style w:type="paragraph" w:customStyle="1" w:styleId="Titrearticle">
    <w:name w:val="Titre article"/>
    <w:basedOn w:val="prastasis"/>
    <w:next w:val="prastasis"/>
    <w:pPr>
      <w:keepNext/>
      <w:spacing w:before="360" w:after="120"/>
      <w:jc w:val="center"/>
    </w:pPr>
    <w:rPr>
      <w:i/>
    </w:rPr>
  </w:style>
  <w:style w:type="paragraph" w:customStyle="1" w:styleId="Point0">
    <w:name w:val="Point 0"/>
    <w:basedOn w:val="prastasis"/>
    <w:pPr>
      <w:ind w:left="850" w:hanging="850"/>
    </w:pPr>
  </w:style>
  <w:style w:type="paragraph" w:customStyle="1" w:styleId="Point1">
    <w:name w:val="Point 1"/>
    <w:basedOn w:val="prastasis"/>
    <w:pPr>
      <w:ind w:left="1417" w:hanging="567"/>
    </w:pPr>
  </w:style>
  <w:style w:type="paragraph" w:styleId="Puslapioinaostekstas">
    <w:name w:val="footnote text"/>
    <w:basedOn w:val="prastasis"/>
    <w:semiHidden/>
    <w:pPr>
      <w:suppressLineNumbers/>
      <w:ind w:left="283" w:hanging="283"/>
    </w:pPr>
    <w:rPr>
      <w:sz w:val="20"/>
      <w:szCs w:val="20"/>
    </w:rPr>
  </w:style>
  <w:style w:type="paragraph" w:customStyle="1" w:styleId="Text1">
    <w:name w:val="Text 1"/>
    <w:basedOn w:val="prastasis"/>
    <w:pPr>
      <w:ind w:left="850"/>
    </w:pPr>
  </w:style>
  <w:style w:type="paragraph" w:customStyle="1" w:styleId="NormalCentered">
    <w:name w:val="Normal Centered"/>
    <w:basedOn w:val="prastasis"/>
    <w:pPr>
      <w:jc w:val="center"/>
    </w:pPr>
  </w:style>
  <w:style w:type="paragraph" w:customStyle="1" w:styleId="Annexetitreacte">
    <w:name w:val="Annexe titre (acte)"/>
    <w:basedOn w:val="prastasis"/>
    <w:next w:val="prastasis"/>
    <w:pPr>
      <w:jc w:val="center"/>
    </w:pPr>
    <w:rPr>
      <w:b/>
      <w:u w:val="single"/>
    </w:rPr>
  </w:style>
  <w:style w:type="paragraph" w:customStyle="1" w:styleId="Lignefinal">
    <w:name w:val="Ligne final"/>
    <w:basedOn w:val="prastasis"/>
    <w:next w:val="prastasis"/>
    <w:pPr>
      <w:pBdr>
        <w:bottom w:val="single" w:sz="4" w:space="0" w:color="000000"/>
      </w:pBdr>
      <w:spacing w:before="720" w:after="360"/>
      <w:ind w:left="3400" w:right="3400"/>
      <w:jc w:val="center"/>
    </w:pPr>
    <w:rPr>
      <w:b/>
    </w:rPr>
  </w:style>
  <w:style w:type="character" w:customStyle="1" w:styleId="WW-FootnoteCharacters111111">
    <w:name w:val="WW-Footnote Characters111111"/>
  </w:style>
  <w:style w:type="paragraph" w:styleId="Pagrindiniotekstotrauka2">
    <w:name w:val="Body Text Indent 2"/>
    <w:basedOn w:val="prastasis"/>
    <w:pPr>
      <w:spacing w:after="120"/>
      <w:ind w:firstLine="426"/>
      <w:jc w:val="both"/>
    </w:pPr>
    <w:rPr>
      <w:lang w:val="lt-LT"/>
    </w:rPr>
  </w:style>
  <w:style w:type="paragraph" w:styleId="Pagrindiniotekstotrauka3">
    <w:name w:val="Body Text Indent 3"/>
    <w:basedOn w:val="prastasis"/>
    <w:pPr>
      <w:autoSpaceDE w:val="0"/>
      <w:autoSpaceDN w:val="0"/>
      <w:adjustRightInd w:val="0"/>
      <w:spacing w:after="120"/>
      <w:ind w:firstLine="312"/>
      <w:jc w:val="both"/>
    </w:pPr>
  </w:style>
  <w:style w:type="paragraph" w:styleId="Pagrindinistekstas3">
    <w:name w:val="Body Text 3"/>
    <w:basedOn w:val="prastasis"/>
    <w:pPr>
      <w:jc w:val="both"/>
    </w:pPr>
    <w:rPr>
      <w:i/>
      <w:iCs/>
    </w:rPr>
  </w:style>
  <w:style w:type="paragraph" w:customStyle="1" w:styleId="ISTATYMAS0">
    <w:name w:val="ISTATYMAS"/>
    <w:pPr>
      <w:suppressAutoHyphens/>
      <w:autoSpaceDE w:val="0"/>
      <w:jc w:val="center"/>
    </w:pPr>
    <w:rPr>
      <w:rFonts w:ascii="TimesLT" w:eastAsia="Arial" w:hAnsi="TimesLT"/>
      <w:lang w:val="en-US" w:eastAsia="ar-SA"/>
    </w:rPr>
  </w:style>
  <w:style w:type="paragraph" w:customStyle="1" w:styleId="WW-BodyText2">
    <w:name w:val="WW-Body Text 2"/>
    <w:basedOn w:val="prastasis"/>
    <w:pPr>
      <w:spacing w:line="360" w:lineRule="auto"/>
      <w:jc w:val="both"/>
    </w:pPr>
    <w:rPr>
      <w:szCs w:val="20"/>
    </w:rPr>
  </w:style>
  <w:style w:type="paragraph" w:customStyle="1" w:styleId="nuo">
    <w:name w:val="?nuo"/>
    <w:pPr>
      <w:widowControl w:val="0"/>
      <w:suppressAutoHyphens/>
    </w:pPr>
    <w:rPr>
      <w:rFonts w:ascii="TimesLT" w:hAnsi="TimesLT"/>
      <w:spacing w:val="-1"/>
      <w:kern w:val="1"/>
      <w:sz w:val="24"/>
      <w:lang w:val="en-US"/>
    </w:rPr>
  </w:style>
  <w:style w:type="paragraph" w:styleId="Debesliotekstas">
    <w:name w:val="Balloon Text"/>
    <w:basedOn w:val="prastasis"/>
    <w:semiHidden/>
    <w:rsid w:val="001771A9"/>
    <w:rPr>
      <w:rFonts w:ascii="Tahoma" w:hAnsi="Tahoma" w:cs="Tahoma"/>
      <w:sz w:val="16"/>
      <w:szCs w:val="16"/>
    </w:rPr>
  </w:style>
  <w:style w:type="character" w:styleId="Komentaronuoroda">
    <w:name w:val="annotation reference"/>
    <w:semiHidden/>
    <w:rsid w:val="002E6551"/>
    <w:rPr>
      <w:sz w:val="16"/>
      <w:szCs w:val="16"/>
    </w:rPr>
  </w:style>
  <w:style w:type="paragraph" w:styleId="Komentarotekstas">
    <w:name w:val="annotation text"/>
    <w:basedOn w:val="prastasis"/>
    <w:semiHidden/>
    <w:rsid w:val="002E6551"/>
    <w:rPr>
      <w:sz w:val="20"/>
      <w:szCs w:val="20"/>
    </w:rPr>
  </w:style>
  <w:style w:type="paragraph" w:styleId="Komentarotema">
    <w:name w:val="annotation subject"/>
    <w:basedOn w:val="Komentarotekstas"/>
    <w:next w:val="Komentarotekstas"/>
    <w:semiHidden/>
    <w:rsid w:val="002E6551"/>
    <w:rPr>
      <w:b/>
      <w:bCs/>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rsid w:val="00B40920"/>
    <w:pPr>
      <w:suppressAutoHyphens w:val="0"/>
      <w:spacing w:after="160" w:line="240" w:lineRule="exact"/>
    </w:pPr>
    <w:rPr>
      <w:rFonts w:ascii="Tahoma" w:hAnsi="Tahoma"/>
      <w:sz w:val="20"/>
      <w:szCs w:val="20"/>
      <w:lang w:val="en-US" w:eastAsia="en-US"/>
    </w:rPr>
  </w:style>
  <w:style w:type="character" w:styleId="Neapdorotaspaminjimas">
    <w:name w:val="Unresolved Mention"/>
    <w:basedOn w:val="Numatytasispastraiposriftas"/>
    <w:uiPriority w:val="99"/>
    <w:semiHidden/>
    <w:unhideWhenUsed/>
    <w:rsid w:val="00167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750965">
      <w:bodyDiv w:val="1"/>
      <w:marLeft w:val="0"/>
      <w:marRight w:val="0"/>
      <w:marTop w:val="0"/>
      <w:marBottom w:val="0"/>
      <w:divBdr>
        <w:top w:val="none" w:sz="0" w:space="0" w:color="auto"/>
        <w:left w:val="none" w:sz="0" w:space="0" w:color="auto"/>
        <w:bottom w:val="none" w:sz="0" w:space="0" w:color="auto"/>
        <w:right w:val="none" w:sz="0" w:space="0" w:color="auto"/>
      </w:divBdr>
      <w:divsChild>
        <w:div w:id="618682851">
          <w:marLeft w:val="0"/>
          <w:marRight w:val="0"/>
          <w:marTop w:val="0"/>
          <w:marBottom w:val="0"/>
          <w:divBdr>
            <w:top w:val="none" w:sz="0" w:space="0" w:color="auto"/>
            <w:left w:val="none" w:sz="0" w:space="0" w:color="auto"/>
            <w:bottom w:val="none" w:sz="0" w:space="0" w:color="auto"/>
            <w:right w:val="none" w:sz="0" w:space="0" w:color="auto"/>
          </w:divBdr>
        </w:div>
        <w:div w:id="882254106">
          <w:marLeft w:val="0"/>
          <w:marRight w:val="0"/>
          <w:marTop w:val="0"/>
          <w:marBottom w:val="0"/>
          <w:divBdr>
            <w:top w:val="none" w:sz="0" w:space="0" w:color="auto"/>
            <w:left w:val="none" w:sz="0" w:space="0" w:color="auto"/>
            <w:bottom w:val="none" w:sz="0" w:space="0" w:color="auto"/>
            <w:right w:val="none" w:sz="0" w:space="0" w:color="auto"/>
          </w:divBdr>
        </w:div>
        <w:div w:id="919751572">
          <w:marLeft w:val="0"/>
          <w:marRight w:val="0"/>
          <w:marTop w:val="0"/>
          <w:marBottom w:val="0"/>
          <w:divBdr>
            <w:top w:val="none" w:sz="0" w:space="0" w:color="auto"/>
            <w:left w:val="none" w:sz="0" w:space="0" w:color="auto"/>
            <w:bottom w:val="none" w:sz="0" w:space="0" w:color="auto"/>
            <w:right w:val="none" w:sz="0" w:space="0" w:color="auto"/>
          </w:divBdr>
        </w:div>
        <w:div w:id="1787001127">
          <w:marLeft w:val="0"/>
          <w:marRight w:val="0"/>
          <w:marTop w:val="0"/>
          <w:marBottom w:val="0"/>
          <w:divBdr>
            <w:top w:val="none" w:sz="0" w:space="0" w:color="auto"/>
            <w:left w:val="none" w:sz="0" w:space="0" w:color="auto"/>
            <w:bottom w:val="none" w:sz="0" w:space="0" w:color="auto"/>
            <w:right w:val="none" w:sz="0" w:space="0" w:color="auto"/>
          </w:divBdr>
        </w:div>
        <w:div w:id="1992561340">
          <w:marLeft w:val="0"/>
          <w:marRight w:val="0"/>
          <w:marTop w:val="0"/>
          <w:marBottom w:val="0"/>
          <w:divBdr>
            <w:top w:val="none" w:sz="0" w:space="0" w:color="auto"/>
            <w:left w:val="none" w:sz="0" w:space="0" w:color="auto"/>
            <w:bottom w:val="none" w:sz="0" w:space="0" w:color="auto"/>
            <w:right w:val="none" w:sz="0" w:space="0" w:color="auto"/>
          </w:divBdr>
        </w:div>
        <w:div w:id="2000234577">
          <w:marLeft w:val="0"/>
          <w:marRight w:val="0"/>
          <w:marTop w:val="0"/>
          <w:marBottom w:val="0"/>
          <w:divBdr>
            <w:top w:val="none" w:sz="0" w:space="0" w:color="auto"/>
            <w:left w:val="none" w:sz="0" w:space="0" w:color="auto"/>
            <w:bottom w:val="none" w:sz="0" w:space="0" w:color="auto"/>
            <w:right w:val="none" w:sz="0" w:space="0" w:color="auto"/>
          </w:divBdr>
        </w:div>
      </w:divsChild>
    </w:div>
    <w:div w:id="459227687">
      <w:bodyDiv w:val="1"/>
      <w:marLeft w:val="0"/>
      <w:marRight w:val="0"/>
      <w:marTop w:val="0"/>
      <w:marBottom w:val="0"/>
      <w:divBdr>
        <w:top w:val="none" w:sz="0" w:space="0" w:color="auto"/>
        <w:left w:val="none" w:sz="0" w:space="0" w:color="auto"/>
        <w:bottom w:val="none" w:sz="0" w:space="0" w:color="auto"/>
        <w:right w:val="none" w:sz="0" w:space="0" w:color="auto"/>
      </w:divBdr>
    </w:div>
    <w:div w:id="659388405">
      <w:bodyDiv w:val="1"/>
      <w:marLeft w:val="0"/>
      <w:marRight w:val="0"/>
      <w:marTop w:val="0"/>
      <w:marBottom w:val="0"/>
      <w:divBdr>
        <w:top w:val="none" w:sz="0" w:space="0" w:color="auto"/>
        <w:left w:val="none" w:sz="0" w:space="0" w:color="auto"/>
        <w:bottom w:val="none" w:sz="0" w:space="0" w:color="auto"/>
        <w:right w:val="none" w:sz="0" w:space="0" w:color="auto"/>
      </w:divBdr>
      <w:divsChild>
        <w:div w:id="65764907">
          <w:marLeft w:val="0"/>
          <w:marRight w:val="0"/>
          <w:marTop w:val="0"/>
          <w:marBottom w:val="0"/>
          <w:divBdr>
            <w:top w:val="none" w:sz="0" w:space="0" w:color="auto"/>
            <w:left w:val="none" w:sz="0" w:space="0" w:color="auto"/>
            <w:bottom w:val="none" w:sz="0" w:space="0" w:color="auto"/>
            <w:right w:val="none" w:sz="0" w:space="0" w:color="auto"/>
          </w:divBdr>
        </w:div>
        <w:div w:id="597451110">
          <w:marLeft w:val="0"/>
          <w:marRight w:val="0"/>
          <w:marTop w:val="0"/>
          <w:marBottom w:val="0"/>
          <w:divBdr>
            <w:top w:val="none" w:sz="0" w:space="0" w:color="auto"/>
            <w:left w:val="none" w:sz="0" w:space="0" w:color="auto"/>
            <w:bottom w:val="none" w:sz="0" w:space="0" w:color="auto"/>
            <w:right w:val="none" w:sz="0" w:space="0" w:color="auto"/>
          </w:divBdr>
        </w:div>
        <w:div w:id="1933661394">
          <w:marLeft w:val="0"/>
          <w:marRight w:val="0"/>
          <w:marTop w:val="0"/>
          <w:marBottom w:val="0"/>
          <w:divBdr>
            <w:top w:val="none" w:sz="0" w:space="0" w:color="auto"/>
            <w:left w:val="none" w:sz="0" w:space="0" w:color="auto"/>
            <w:bottom w:val="none" w:sz="0" w:space="0" w:color="auto"/>
            <w:right w:val="none" w:sz="0" w:space="0" w:color="auto"/>
          </w:divBdr>
        </w:div>
      </w:divsChild>
    </w:div>
    <w:div w:id="756290064">
      <w:bodyDiv w:val="1"/>
      <w:marLeft w:val="0"/>
      <w:marRight w:val="0"/>
      <w:marTop w:val="0"/>
      <w:marBottom w:val="0"/>
      <w:divBdr>
        <w:top w:val="none" w:sz="0" w:space="0" w:color="auto"/>
        <w:left w:val="none" w:sz="0" w:space="0" w:color="auto"/>
        <w:bottom w:val="none" w:sz="0" w:space="0" w:color="auto"/>
        <w:right w:val="none" w:sz="0" w:space="0" w:color="auto"/>
      </w:divBdr>
      <w:divsChild>
        <w:div w:id="331378545">
          <w:marLeft w:val="0"/>
          <w:marRight w:val="0"/>
          <w:marTop w:val="0"/>
          <w:marBottom w:val="0"/>
          <w:divBdr>
            <w:top w:val="none" w:sz="0" w:space="0" w:color="auto"/>
            <w:left w:val="none" w:sz="0" w:space="0" w:color="auto"/>
            <w:bottom w:val="none" w:sz="0" w:space="0" w:color="auto"/>
            <w:right w:val="none" w:sz="0" w:space="0" w:color="auto"/>
          </w:divBdr>
        </w:div>
        <w:div w:id="1808007586">
          <w:marLeft w:val="0"/>
          <w:marRight w:val="0"/>
          <w:marTop w:val="0"/>
          <w:marBottom w:val="0"/>
          <w:divBdr>
            <w:top w:val="none" w:sz="0" w:space="0" w:color="auto"/>
            <w:left w:val="none" w:sz="0" w:space="0" w:color="auto"/>
            <w:bottom w:val="none" w:sz="0" w:space="0" w:color="auto"/>
            <w:right w:val="none" w:sz="0" w:space="0" w:color="auto"/>
          </w:divBdr>
        </w:div>
      </w:divsChild>
    </w:div>
    <w:div w:id="1003170688">
      <w:bodyDiv w:val="1"/>
      <w:marLeft w:val="0"/>
      <w:marRight w:val="0"/>
      <w:marTop w:val="0"/>
      <w:marBottom w:val="0"/>
      <w:divBdr>
        <w:top w:val="none" w:sz="0" w:space="0" w:color="auto"/>
        <w:left w:val="none" w:sz="0" w:space="0" w:color="auto"/>
        <w:bottom w:val="none" w:sz="0" w:space="0" w:color="auto"/>
        <w:right w:val="none" w:sz="0" w:space="0" w:color="auto"/>
      </w:divBdr>
    </w:div>
    <w:div w:id="1019546575">
      <w:bodyDiv w:val="1"/>
      <w:marLeft w:val="0"/>
      <w:marRight w:val="0"/>
      <w:marTop w:val="0"/>
      <w:marBottom w:val="0"/>
      <w:divBdr>
        <w:top w:val="none" w:sz="0" w:space="0" w:color="auto"/>
        <w:left w:val="none" w:sz="0" w:space="0" w:color="auto"/>
        <w:bottom w:val="none" w:sz="0" w:space="0" w:color="auto"/>
        <w:right w:val="none" w:sz="0" w:space="0" w:color="auto"/>
      </w:divBdr>
    </w:div>
    <w:div w:id="1177694810">
      <w:bodyDiv w:val="1"/>
      <w:marLeft w:val="0"/>
      <w:marRight w:val="0"/>
      <w:marTop w:val="0"/>
      <w:marBottom w:val="0"/>
      <w:divBdr>
        <w:top w:val="none" w:sz="0" w:space="0" w:color="auto"/>
        <w:left w:val="none" w:sz="0" w:space="0" w:color="auto"/>
        <w:bottom w:val="none" w:sz="0" w:space="0" w:color="auto"/>
        <w:right w:val="none" w:sz="0" w:space="0" w:color="auto"/>
      </w:divBdr>
      <w:divsChild>
        <w:div w:id="92017814">
          <w:marLeft w:val="0"/>
          <w:marRight w:val="0"/>
          <w:marTop w:val="0"/>
          <w:marBottom w:val="0"/>
          <w:divBdr>
            <w:top w:val="none" w:sz="0" w:space="0" w:color="auto"/>
            <w:left w:val="none" w:sz="0" w:space="0" w:color="auto"/>
            <w:bottom w:val="none" w:sz="0" w:space="0" w:color="auto"/>
            <w:right w:val="none" w:sz="0" w:space="0" w:color="auto"/>
          </w:divBdr>
        </w:div>
        <w:div w:id="1250115934">
          <w:marLeft w:val="0"/>
          <w:marRight w:val="0"/>
          <w:marTop w:val="0"/>
          <w:marBottom w:val="0"/>
          <w:divBdr>
            <w:top w:val="none" w:sz="0" w:space="0" w:color="auto"/>
            <w:left w:val="none" w:sz="0" w:space="0" w:color="auto"/>
            <w:bottom w:val="none" w:sz="0" w:space="0" w:color="auto"/>
            <w:right w:val="none" w:sz="0" w:space="0" w:color="auto"/>
          </w:divBdr>
        </w:div>
        <w:div w:id="1499465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2" ma:contentTypeDescription="Kurkite naują dokumentą." ma:contentTypeScope="" ma:versionID="e23b0e25d12be756a0ee6d67bee93ee4">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53b485598f98e3096df00eebfe00f260"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8475E-7F23-4AF3-B129-35B1A99A7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C71CC-02C6-470F-8661-5C0C62A671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105AE-F7D3-4293-9BA7-49F5C4233F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4021</Words>
  <Characters>2293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Europos Parlamento ir Tarybos direktyva 2006/21/EB 2006 m</vt:lpstr>
      <vt:lpstr>Europos Parlamento ir Tarybos direktyva 2006/21/EB 2006 m</vt:lpstr>
    </vt:vector>
  </TitlesOfParts>
  <Company>AM</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2020-03-18T11:12:00Z</dcterms:created>
  <dc:creator>Aleksandr</dc:creator>
  <cp:lastModifiedBy>Elena Mačiulaitytė</cp:lastModifiedBy>
  <cp:lastPrinted>2010-02-25T11:55:00Z</cp:lastPrinted>
  <dcterms:modified xsi:type="dcterms:W3CDTF">2020-03-27T11:52:00Z</dcterms:modified>
  <cp:revision>10</cp:revision>
  <dc:title>Europos Parlamento ir Tarybos direktyva 2006/21/EB 2006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