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3C" w:rsidRPr="005A62B3" w:rsidRDefault="00BA2F52" w:rsidP="005A62B3">
      <w:pPr>
        <w:pStyle w:val="NormalWeb"/>
        <w:spacing w:line="240" w:lineRule="auto"/>
        <w:jc w:val="center"/>
        <w:rPr>
          <w:b/>
          <w:bCs/>
          <w:lang w:val="lt-LT"/>
        </w:rPr>
      </w:pPr>
      <w:r w:rsidRPr="005A62B3">
        <w:rPr>
          <w:b/>
          <w:bCs/>
          <w:lang w:val="lt-LT"/>
        </w:rPr>
        <w:t>TEISĖS AKTŲ PROJEKTŲ ANTIKORUPCINIO VERTINIMO IŠVADA</w:t>
      </w:r>
    </w:p>
    <w:p w:rsidR="0038093C" w:rsidRPr="005A62B3" w:rsidRDefault="00BA2F52" w:rsidP="005A62B3">
      <w:pPr>
        <w:pStyle w:val="NormalWeb"/>
        <w:spacing w:line="240" w:lineRule="auto"/>
        <w:jc w:val="center"/>
        <w:rPr>
          <w:bCs/>
          <w:lang w:val="lt-LT"/>
        </w:rPr>
      </w:pPr>
      <w:r w:rsidRPr="005A62B3">
        <w:rPr>
          <w:bCs/>
          <w:lang w:val="lt-LT"/>
        </w:rPr>
        <w:t xml:space="preserve">APLINKOS MINISTERIJOS </w:t>
      </w:r>
    </w:p>
    <w:p w:rsidR="0038093C" w:rsidRPr="005A62B3" w:rsidRDefault="005131B1" w:rsidP="005A62B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lang w:val="lt-LT"/>
        </w:rPr>
      </w:pPr>
      <w:r w:rsidRPr="005A62B3">
        <w:rPr>
          <w:b/>
          <w:spacing w:val="2"/>
          <w:lang w:val="lt-LT"/>
        </w:rPr>
        <w:t xml:space="preserve">Lietuvos Respublikos Vyriausybės </w:t>
      </w:r>
      <w:r w:rsidRPr="005A62B3">
        <w:rPr>
          <w:b/>
          <w:lang w:val="lt-LT"/>
        </w:rPr>
        <w:t xml:space="preserve">nutarimo „Dėl Lietuvos Respublikos Vyriausybės 2014 m. sausio 29 d. nutarimo Nr. 85 „Dėl Nemuno deltos regioninio parko ir jo zonų ribų plano patvirtinimo“ pakeitimo“ projekto </w:t>
      </w:r>
      <w:r w:rsidR="00BA2F52" w:rsidRPr="005A62B3">
        <w:rPr>
          <w:b/>
          <w:bCs/>
          <w:lang w:val="lt-LT"/>
        </w:rPr>
        <w:t>antikorupcinio vertinimo išvada</w:t>
      </w:r>
    </w:p>
    <w:p w:rsidR="005131B1" w:rsidRPr="005A62B3" w:rsidRDefault="005131B1" w:rsidP="005A62B3">
      <w:pPr>
        <w:pStyle w:val="NormalWeb"/>
        <w:spacing w:line="240" w:lineRule="auto"/>
        <w:jc w:val="both"/>
        <w:rPr>
          <w:bCs/>
          <w:lang w:val="lt-LT"/>
        </w:rPr>
      </w:pPr>
    </w:p>
    <w:p w:rsidR="005131B1" w:rsidRPr="005A62B3" w:rsidRDefault="005131B1" w:rsidP="005A62B3">
      <w:pPr>
        <w:pStyle w:val="NormalWeb"/>
        <w:spacing w:line="240" w:lineRule="auto"/>
        <w:jc w:val="both"/>
        <w:rPr>
          <w:bCs/>
          <w:lang w:val="lt-LT"/>
        </w:rPr>
      </w:pPr>
      <w:r w:rsidRPr="005A62B3">
        <w:rPr>
          <w:spacing w:val="2"/>
          <w:lang w:val="lt-LT"/>
        </w:rPr>
        <w:t xml:space="preserve">Lietuvos Respublikos Vyriausybės </w:t>
      </w:r>
      <w:r w:rsidRPr="005A62B3">
        <w:rPr>
          <w:lang w:val="lt-LT"/>
        </w:rPr>
        <w:t xml:space="preserve">nutarimo „Dėl Lietuvos Respublikos Vyriausybės 2014 m. sausio 29 d. nutarimo Nr. 85 „Dėl Nemuno deltos regioninio parko ir jo zonų ribų plano patvirtinimo“ pakeitimo“ projekto </w:t>
      </w:r>
      <w:r w:rsidRPr="005A62B3">
        <w:rPr>
          <w:rFonts w:ascii="TimesNewRomanPSMT" w:hAnsi="TimesNewRomanPSMT" w:cs="TimesNewRomanPSMT"/>
          <w:lang w:val="lt-LT" w:eastAsia="lt-LT"/>
        </w:rPr>
        <w:t xml:space="preserve">tikslas – iš Nemuno priešakinės deltos gamtinio rezervato teritorijos išimti </w:t>
      </w:r>
      <w:proofErr w:type="spellStart"/>
      <w:r w:rsidRPr="005A62B3">
        <w:rPr>
          <w:rFonts w:ascii="TimesNewRomanPSMT" w:hAnsi="TimesNewRomanPSMT" w:cs="TimesNewRomanPSMT"/>
          <w:lang w:val="lt-LT" w:eastAsia="lt-LT"/>
        </w:rPr>
        <w:t>Rusnaitės</w:t>
      </w:r>
      <w:proofErr w:type="spellEnd"/>
      <w:r w:rsidRPr="005A62B3">
        <w:rPr>
          <w:rFonts w:ascii="TimesNewRomanPSMT" w:hAnsi="TimesNewRomanPSMT" w:cs="TimesNewRomanPSMT"/>
          <w:lang w:val="lt-LT" w:eastAsia="lt-LT"/>
        </w:rPr>
        <w:t xml:space="preserve"> upės vagą ir apie 100 m pločio vandens juostą Kuršių mariose</w:t>
      </w:r>
      <w:r w:rsidRPr="005A62B3">
        <w:rPr>
          <w:lang w:val="lt-LT" w:eastAsia="lt-LT"/>
        </w:rPr>
        <w:t xml:space="preserve">, vandens </w:t>
      </w:r>
      <w:r w:rsidRPr="005A62B3">
        <w:rPr>
          <w:rFonts w:ascii="TimesNewRomanPSMT" w:hAnsi="TimesNewRomanPSMT" w:cs="TimesNewRomanPSMT"/>
          <w:lang w:val="lt-LT" w:eastAsia="lt-LT"/>
        </w:rPr>
        <w:t xml:space="preserve">keliui formuoti (išplaukimui į Kuršių </w:t>
      </w:r>
      <w:r w:rsidRPr="005A62B3">
        <w:rPr>
          <w:lang w:val="lt-LT" w:eastAsia="lt-LT"/>
        </w:rPr>
        <w:t>marias).</w:t>
      </w:r>
    </w:p>
    <w:p w:rsidR="0038093C" w:rsidRPr="005A62B3" w:rsidRDefault="00BA2F52" w:rsidP="005A62B3">
      <w:pPr>
        <w:pStyle w:val="NormalWeb"/>
        <w:spacing w:line="240" w:lineRule="auto"/>
        <w:jc w:val="both"/>
        <w:rPr>
          <w:bCs/>
          <w:lang w:val="lt-LT"/>
        </w:rPr>
      </w:pPr>
      <w:r w:rsidRPr="005A62B3">
        <w:rPr>
          <w:bCs/>
          <w:lang w:val="lt-LT"/>
        </w:rPr>
        <w:t xml:space="preserve">Veiklą </w:t>
      </w:r>
      <w:r w:rsidR="005A62B3">
        <w:rPr>
          <w:bCs/>
          <w:lang w:val="lt-LT"/>
        </w:rPr>
        <w:t>Nemuno deltos regioniniame parke</w:t>
      </w:r>
      <w:r w:rsidRPr="005A62B3">
        <w:rPr>
          <w:bCs/>
          <w:lang w:val="lt-LT"/>
        </w:rPr>
        <w:t xml:space="preserve"> reglamentuoja, jo apsaugos ir tvarkymo režimą nustato Lietuvos Respublikos aplinkos apsaugos įstatymas, Lietuvos Respublikos saugomų teritorijų įstatymas, Lietuvos Respublikos miškų įstatymas, Lietuvos Respublikos planuojamos ūkinės veiklos poveikio aplinkai vertinimo įstatymas, </w:t>
      </w:r>
      <w:r w:rsidR="005A62B3">
        <w:rPr>
          <w:bCs/>
          <w:lang w:val="lt-LT"/>
        </w:rPr>
        <w:t xml:space="preserve">Lietuvos Respublikos specialiųjų žemės naudojimo sąlygų įstatymas, </w:t>
      </w:r>
      <w:r w:rsidRPr="005A62B3">
        <w:rPr>
          <w:bCs/>
          <w:lang w:val="lt-LT"/>
        </w:rPr>
        <w:t xml:space="preserve">kiti įstatymai bei teisės aktai. </w:t>
      </w:r>
    </w:p>
    <w:p w:rsidR="0038093C" w:rsidRPr="005A62B3" w:rsidRDefault="00BA2F52" w:rsidP="005A62B3">
      <w:pPr>
        <w:pStyle w:val="NormalWeb"/>
        <w:spacing w:line="240" w:lineRule="auto"/>
        <w:jc w:val="both"/>
        <w:rPr>
          <w:bCs/>
          <w:lang w:val="lt-LT"/>
        </w:rPr>
      </w:pPr>
      <w:r w:rsidRPr="005A62B3">
        <w:rPr>
          <w:bCs/>
          <w:lang w:val="lt-LT"/>
        </w:rPr>
        <w:t xml:space="preserve">Pakeitus </w:t>
      </w:r>
      <w:r w:rsidR="005A62B3">
        <w:rPr>
          <w:bCs/>
          <w:lang w:val="lt-LT"/>
        </w:rPr>
        <w:t>Nemuno deltos regioninio</w:t>
      </w:r>
      <w:r w:rsidRPr="005A62B3">
        <w:rPr>
          <w:bCs/>
          <w:lang w:val="lt-LT"/>
        </w:rPr>
        <w:t xml:space="preserve"> parko </w:t>
      </w:r>
      <w:r w:rsidR="005A62B3">
        <w:rPr>
          <w:bCs/>
          <w:lang w:val="lt-LT"/>
        </w:rPr>
        <w:t>ribų planą</w:t>
      </w:r>
      <w:r w:rsidRPr="005A62B3">
        <w:rPr>
          <w:bCs/>
          <w:lang w:val="lt-LT"/>
        </w:rPr>
        <w:t xml:space="preserve"> žemės savininkams, valdytojams, naudotojams veiklos apribojimai, susiję su papildomų išlaidų ir negautų pajamų a</w:t>
      </w:r>
      <w:r w:rsidR="00ED2D99" w:rsidRPr="005A62B3">
        <w:rPr>
          <w:bCs/>
          <w:lang w:val="lt-LT"/>
        </w:rPr>
        <w:t>tsiradimu nebus nustatomi. Šiuo</w:t>
      </w:r>
      <w:r w:rsidRPr="005A62B3">
        <w:rPr>
          <w:bCs/>
          <w:lang w:val="lt-LT"/>
        </w:rPr>
        <w:t xml:space="preserve"> specialiojo teritorijų planavimo dokument</w:t>
      </w:r>
      <w:r w:rsidR="00ED2D99" w:rsidRPr="005A62B3">
        <w:rPr>
          <w:bCs/>
          <w:lang w:val="lt-LT"/>
        </w:rPr>
        <w:t>u</w:t>
      </w:r>
      <w:r w:rsidRPr="005A62B3">
        <w:rPr>
          <w:bCs/>
          <w:lang w:val="lt-LT"/>
        </w:rPr>
        <w:t xml:space="preserve"> jokia iki šiol teritorijoje vykdyta veikla </w:t>
      </w:r>
      <w:r w:rsidR="00ED2D99" w:rsidRPr="005A62B3">
        <w:rPr>
          <w:bCs/>
          <w:lang w:val="lt-LT"/>
        </w:rPr>
        <w:t>nėra uždraudžiama ar apribojama,</w:t>
      </w:r>
      <w:r w:rsidRPr="005A62B3">
        <w:rPr>
          <w:bCs/>
          <w:lang w:val="lt-LT"/>
        </w:rPr>
        <w:t xml:space="preserve"> todėl žemės valdytojai nuostolių nepatirs. Poveikis valstybės finansams nenumatomas. </w:t>
      </w:r>
    </w:p>
    <w:p w:rsidR="0038093C" w:rsidRPr="005A62B3" w:rsidRDefault="00BA2F52" w:rsidP="005A62B3">
      <w:pPr>
        <w:spacing w:line="240" w:lineRule="auto"/>
        <w:jc w:val="both"/>
        <w:rPr>
          <w:lang w:val="lt-LT"/>
        </w:rPr>
      </w:pPr>
      <w:r w:rsidRPr="005A62B3">
        <w:rPr>
          <w:lang w:val="lt-LT"/>
        </w:rPr>
        <w:t>Atlikus teisės aktų projektų antikorupcinį vertinimą, buvo įvertinta, ar nustatomas teisinis reguliavimas nesudarys sąlygų pasireikšti korupcijai, taip pat pasielgti nesąžiningai, neteisingai, neskaidriai, neobjektyviai. Atsižvelgus į pateikiamą Teisės aktų ir jų projektų antikorupcinio vertinimo pažymą, nenustatyta teisės akto nuostatų ar reguliavimo trūkumų, kurie sudarytų sąlygas pasireikšti korupcijai.</w:t>
      </w:r>
    </w:p>
    <w:p w:rsidR="0038093C" w:rsidRPr="005A62B3" w:rsidRDefault="0038093C" w:rsidP="005A62B3">
      <w:pPr>
        <w:spacing w:line="240" w:lineRule="auto"/>
        <w:rPr>
          <w:lang w:val="lt-LT"/>
        </w:rPr>
      </w:pPr>
    </w:p>
    <w:p w:rsidR="0038093C" w:rsidRPr="005A62B3" w:rsidRDefault="0038093C" w:rsidP="00996334">
      <w:pPr>
        <w:spacing w:after="0" w:line="240" w:lineRule="auto"/>
        <w:rPr>
          <w:lang w:val="lt-LT"/>
        </w:rPr>
      </w:pPr>
    </w:p>
    <w:p w:rsidR="0038093C" w:rsidRPr="005A62B3" w:rsidRDefault="0038093C" w:rsidP="00996334">
      <w:pPr>
        <w:spacing w:after="0" w:line="240" w:lineRule="auto"/>
        <w:rPr>
          <w:lang w:val="lt-LT"/>
        </w:rPr>
      </w:pPr>
    </w:p>
    <w:tbl>
      <w:tblPr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2942"/>
      </w:tblGrid>
      <w:tr w:rsidR="0038093C" w:rsidRPr="005A62B3">
        <w:tc>
          <w:tcPr>
            <w:tcW w:w="5778" w:type="dxa"/>
          </w:tcPr>
          <w:p w:rsidR="0038093C" w:rsidRDefault="00996334" w:rsidP="00996334">
            <w:pPr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Gamtos apsaugos politikos grupės </w:t>
            </w:r>
          </w:p>
          <w:p w:rsidR="00996334" w:rsidRPr="005A62B3" w:rsidRDefault="00996334" w:rsidP="00996334">
            <w:pPr>
              <w:spacing w:after="0" w:line="240" w:lineRule="auto"/>
              <w:rPr>
                <w:lang w:val="lt-LT"/>
              </w:rPr>
            </w:pPr>
            <w:r>
              <w:rPr>
                <w:bCs/>
                <w:lang w:val="lt-LT"/>
              </w:rPr>
              <w:t>vyresnysis patarėjas</w:t>
            </w:r>
          </w:p>
        </w:tc>
        <w:tc>
          <w:tcPr>
            <w:tcW w:w="1134" w:type="dxa"/>
          </w:tcPr>
          <w:p w:rsidR="0038093C" w:rsidRPr="005A62B3" w:rsidRDefault="0038093C" w:rsidP="00996334">
            <w:pPr>
              <w:spacing w:after="0" w:line="240" w:lineRule="auto"/>
              <w:rPr>
                <w:sz w:val="20"/>
                <w:szCs w:val="20"/>
                <w:lang w:val="lt-LT"/>
              </w:rPr>
            </w:pPr>
          </w:p>
          <w:p w:rsidR="0038093C" w:rsidRPr="005A62B3" w:rsidRDefault="0038093C" w:rsidP="00996334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942" w:type="dxa"/>
          </w:tcPr>
          <w:p w:rsidR="0038093C" w:rsidRPr="005A62B3" w:rsidRDefault="00996334" w:rsidP="00996334">
            <w:pPr>
              <w:spacing w:after="0" w:line="240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Džiugas </w:t>
            </w:r>
            <w:proofErr w:type="spellStart"/>
            <w:r>
              <w:rPr>
                <w:lang w:val="lt-LT"/>
              </w:rPr>
              <w:t>Anuškevičius</w:t>
            </w:r>
            <w:proofErr w:type="spellEnd"/>
            <w:r w:rsidR="00BA2F52" w:rsidRPr="005A62B3">
              <w:rPr>
                <w:lang w:val="lt-LT"/>
              </w:rPr>
              <w:t xml:space="preserve">                                              </w:t>
            </w:r>
          </w:p>
        </w:tc>
      </w:tr>
    </w:tbl>
    <w:p w:rsidR="0038093C" w:rsidRPr="005A62B3" w:rsidRDefault="00BA2F52" w:rsidP="00996334">
      <w:pPr>
        <w:spacing w:after="0" w:line="240" w:lineRule="auto"/>
        <w:rPr>
          <w:lang w:val="lt-LT"/>
        </w:rPr>
      </w:pPr>
      <w:r w:rsidRPr="005A62B3">
        <w:rPr>
          <w:bCs/>
          <w:lang w:val="lt-LT"/>
        </w:rPr>
        <w:t xml:space="preserve"> </w:t>
      </w:r>
    </w:p>
    <w:p w:rsidR="0038093C" w:rsidRPr="005A62B3" w:rsidRDefault="0038093C" w:rsidP="00996334">
      <w:pPr>
        <w:spacing w:after="0" w:line="240" w:lineRule="auto"/>
        <w:rPr>
          <w:lang w:val="lt-LT"/>
        </w:rPr>
      </w:pPr>
    </w:p>
    <w:p w:rsidR="0038093C" w:rsidRPr="005A62B3" w:rsidRDefault="005131B1" w:rsidP="005A62B3">
      <w:pPr>
        <w:spacing w:line="240" w:lineRule="auto"/>
        <w:rPr>
          <w:lang w:val="lt-LT"/>
        </w:rPr>
      </w:pPr>
      <w:bookmarkStart w:id="0" w:name="_MON_1482214203"/>
      <w:bookmarkEnd w:id="0"/>
      <w:r w:rsidRPr="005A62B3">
        <w:rPr>
          <w:noProof/>
          <w:lang w:val="lt-LT" w:eastAsia="lt-LT"/>
        </w:rPr>
        <w:drawing>
          <wp:inline distT="0" distB="0" distL="0" distR="0" wp14:anchorId="398B9AA1" wp14:editId="3BB7DC4B">
            <wp:extent cx="5951220" cy="3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3C" w:rsidRPr="005A62B3" w:rsidRDefault="0038093C" w:rsidP="005A62B3">
      <w:pPr>
        <w:spacing w:line="240" w:lineRule="auto"/>
        <w:rPr>
          <w:lang w:val="lt-LT"/>
        </w:rPr>
        <w:sectPr w:rsidR="0038093C" w:rsidRPr="005A62B3">
          <w:headerReference w:type="even" r:id="rId10"/>
          <w:headerReference w:type="default" r:id="rId11"/>
          <w:pgSz w:w="11906" w:h="16838"/>
          <w:pgMar w:top="1134" w:right="567" w:bottom="1134" w:left="1701" w:header="567" w:footer="567" w:gutter="0"/>
          <w:cols w:space="720"/>
          <w:titlePg/>
          <w:docGrid w:linePitch="360"/>
        </w:sectPr>
      </w:pPr>
    </w:p>
    <w:p w:rsidR="0038093C" w:rsidRPr="005A62B3" w:rsidRDefault="00BA2F52" w:rsidP="005A62B3">
      <w:pPr>
        <w:spacing w:line="240" w:lineRule="auto"/>
        <w:ind w:left="9072"/>
        <w:rPr>
          <w:lang w:val="lt-LT"/>
        </w:rPr>
      </w:pPr>
      <w:r w:rsidRPr="005A62B3">
        <w:rPr>
          <w:lang w:val="lt-LT"/>
        </w:rPr>
        <w:lastRenderedPageBreak/>
        <w:t>Teisės aktų projektų antikorupcinio vertinimo taisyklių</w:t>
      </w:r>
    </w:p>
    <w:p w:rsidR="0038093C" w:rsidRPr="005A62B3" w:rsidRDefault="00BA2F52" w:rsidP="005A62B3">
      <w:pPr>
        <w:pStyle w:val="BodyTextIndent"/>
        <w:spacing w:before="0" w:line="240" w:lineRule="auto"/>
        <w:ind w:left="9072"/>
        <w:jc w:val="left"/>
        <w:rPr>
          <w:color w:val="000000"/>
          <w:lang w:val="lt-LT" w:eastAsia="ar-SA"/>
        </w:rPr>
      </w:pPr>
      <w:r w:rsidRPr="005A62B3">
        <w:rPr>
          <w:color w:val="000000"/>
          <w:lang w:val="lt-LT" w:eastAsia="ar-SA"/>
        </w:rPr>
        <w:t>priedas</w:t>
      </w:r>
    </w:p>
    <w:p w:rsidR="0038093C" w:rsidRPr="005A62B3" w:rsidRDefault="0038093C" w:rsidP="005A62B3">
      <w:pPr>
        <w:pStyle w:val="BodyTextIndent"/>
        <w:tabs>
          <w:tab w:val="left" w:pos="6804"/>
        </w:tabs>
        <w:spacing w:before="0" w:line="240" w:lineRule="auto"/>
        <w:ind w:left="0"/>
        <w:jc w:val="left"/>
        <w:rPr>
          <w:lang w:val="lt-LT"/>
        </w:rPr>
      </w:pPr>
    </w:p>
    <w:p w:rsidR="0038093C" w:rsidRPr="005A62B3" w:rsidRDefault="0038093C" w:rsidP="005A62B3">
      <w:pPr>
        <w:pStyle w:val="Header"/>
        <w:tabs>
          <w:tab w:val="left" w:pos="6237"/>
        </w:tabs>
        <w:spacing w:line="240" w:lineRule="auto"/>
        <w:rPr>
          <w:color w:val="000000"/>
          <w:lang w:val="lt-LT"/>
        </w:rPr>
      </w:pPr>
    </w:p>
    <w:p w:rsidR="0038093C" w:rsidRPr="005A62B3" w:rsidRDefault="0038093C" w:rsidP="005A62B3">
      <w:pPr>
        <w:spacing w:line="240" w:lineRule="auto"/>
        <w:jc w:val="center"/>
        <w:rPr>
          <w:b/>
          <w:lang w:val="lt-LT"/>
        </w:rPr>
      </w:pPr>
    </w:p>
    <w:p w:rsidR="0038093C" w:rsidRPr="005A62B3" w:rsidRDefault="00BA2F52" w:rsidP="005A62B3">
      <w:pPr>
        <w:spacing w:line="240" w:lineRule="auto"/>
        <w:jc w:val="center"/>
        <w:rPr>
          <w:b/>
          <w:lang w:val="lt-LT"/>
        </w:rPr>
      </w:pPr>
      <w:r w:rsidRPr="005A62B3">
        <w:rPr>
          <w:b/>
          <w:lang w:val="lt-LT"/>
        </w:rPr>
        <w:t>TEISĖS AKTŲ PROJEKTŲ ANTIKORUPCINIO VERTINIMO PAŽYMA</w:t>
      </w:r>
    </w:p>
    <w:p w:rsidR="0038093C" w:rsidRPr="005A62B3" w:rsidRDefault="0038093C" w:rsidP="005A62B3">
      <w:pPr>
        <w:spacing w:line="240" w:lineRule="auto"/>
        <w:rPr>
          <w:lang w:val="lt-LT"/>
        </w:rPr>
      </w:pPr>
    </w:p>
    <w:p w:rsidR="0038093C" w:rsidRPr="005A62B3" w:rsidRDefault="00BA2F52" w:rsidP="005A62B3">
      <w:pPr>
        <w:spacing w:line="240" w:lineRule="auto"/>
        <w:jc w:val="both"/>
        <w:rPr>
          <w:lang w:val="lt-LT"/>
        </w:rPr>
      </w:pPr>
      <w:r w:rsidRPr="005A62B3">
        <w:rPr>
          <w:lang w:val="lt-LT"/>
        </w:rPr>
        <w:t xml:space="preserve">Teisės akto projektų pavadinimas: </w:t>
      </w:r>
      <w:r w:rsidR="00996334" w:rsidRPr="005A62B3">
        <w:rPr>
          <w:spacing w:val="2"/>
          <w:lang w:val="lt-LT"/>
        </w:rPr>
        <w:t xml:space="preserve">Lietuvos Respublikos Vyriausybės </w:t>
      </w:r>
      <w:r w:rsidR="00996334" w:rsidRPr="005A62B3">
        <w:rPr>
          <w:lang w:val="lt-LT"/>
        </w:rPr>
        <w:t xml:space="preserve">nutarimo „Dėl Lietuvos Respublikos Vyriausybės 2014 m. sausio 29 d. nutarimo Nr. 85 „Dėl Nemuno deltos regioninio parko ir jo zonų ribų plano patvirtinimo“ pakeitimo“ </w:t>
      </w:r>
      <w:r w:rsidRPr="005A62B3">
        <w:rPr>
          <w:lang w:val="lt-LT"/>
        </w:rPr>
        <w:t>projektas.</w:t>
      </w:r>
    </w:p>
    <w:p w:rsidR="0038093C" w:rsidRPr="005A62B3" w:rsidRDefault="00BA2F52" w:rsidP="005A62B3">
      <w:pPr>
        <w:spacing w:line="240" w:lineRule="auto"/>
        <w:jc w:val="both"/>
        <w:rPr>
          <w:lang w:val="lt-LT"/>
        </w:rPr>
      </w:pPr>
      <w:r w:rsidRPr="005A62B3">
        <w:rPr>
          <w:lang w:val="lt-LT"/>
        </w:rPr>
        <w:t xml:space="preserve">Teisės akto projekto tiesioginis rengėjas: </w:t>
      </w:r>
      <w:r w:rsidR="00996334">
        <w:rPr>
          <w:lang w:val="lt-LT"/>
        </w:rPr>
        <w:t>Aplinkos ministerijos Gamtos politikos grupės vyr. specialistė Sigutė Ališauskienė</w:t>
      </w:r>
      <w:r w:rsidRPr="005A62B3">
        <w:rPr>
          <w:lang w:val="lt-LT"/>
        </w:rPr>
        <w:t>.</w:t>
      </w:r>
    </w:p>
    <w:p w:rsidR="0038093C" w:rsidRPr="005A62B3" w:rsidRDefault="00BA2F52" w:rsidP="005A62B3">
      <w:pPr>
        <w:spacing w:line="240" w:lineRule="auto"/>
        <w:jc w:val="both"/>
        <w:rPr>
          <w:lang w:val="lt-LT"/>
        </w:rPr>
      </w:pPr>
      <w:r w:rsidRPr="005A62B3">
        <w:rPr>
          <w:lang w:val="lt-LT"/>
        </w:rPr>
        <w:t>Antikorupciniu požiūriu rizikingos teisės akto projekto nuostatos</w:t>
      </w:r>
      <w:r w:rsidRPr="005A62B3">
        <w:rPr>
          <w:b/>
          <w:lang w:val="lt-LT"/>
        </w:rPr>
        <w:t xml:space="preserve"> </w:t>
      </w:r>
      <w:r w:rsidRPr="005A62B3">
        <w:rPr>
          <w:i/>
          <w:lang w:val="lt-LT"/>
        </w:rPr>
        <w:t>(nurodyti kriterijaus numerį, kurį taikant nustatytai korupcijos rizikai šalinti ar valdyti teisės akto projekte nenumatyta priemonių)</w:t>
      </w:r>
      <w:r w:rsidRPr="005A62B3">
        <w:rPr>
          <w:rStyle w:val="FootnoteReference"/>
          <w:lang w:val="lt-LT"/>
        </w:rPr>
        <w:footnoteReference w:id="1"/>
      </w:r>
      <w:r w:rsidRPr="005A62B3">
        <w:rPr>
          <w:lang w:val="lt-LT"/>
        </w:rPr>
        <w:t>: nenustatytos.</w:t>
      </w:r>
    </w:p>
    <w:p w:rsidR="0038093C" w:rsidRPr="005A62B3" w:rsidRDefault="00BA2F52" w:rsidP="005A62B3">
      <w:pPr>
        <w:spacing w:line="240" w:lineRule="auto"/>
        <w:jc w:val="both"/>
        <w:rPr>
          <w:lang w:val="lt-LT"/>
        </w:rPr>
      </w:pPr>
      <w:r w:rsidRPr="005A62B3">
        <w:rPr>
          <w:lang w:val="lt-LT"/>
        </w:rPr>
        <w:t xml:space="preserve">Antikorupciniu požiūriu rizikingos teisės akto projekto nuostatos, nustatytos atliekant antikorupcinį vertinimą po </w:t>
      </w:r>
      <w:proofErr w:type="spellStart"/>
      <w:r w:rsidRPr="005A62B3">
        <w:rPr>
          <w:lang w:val="lt-LT"/>
        </w:rPr>
        <w:t>tarpinstitucinio</w:t>
      </w:r>
      <w:proofErr w:type="spellEnd"/>
      <w:r w:rsidRPr="005A62B3">
        <w:rPr>
          <w:lang w:val="lt-LT"/>
        </w:rPr>
        <w:t xml:space="preserve"> derinimo</w:t>
      </w:r>
      <w:r w:rsidRPr="005A62B3">
        <w:rPr>
          <w:b/>
          <w:lang w:val="lt-LT"/>
        </w:rPr>
        <w:t xml:space="preserve"> </w:t>
      </w:r>
      <w:r w:rsidRPr="005A62B3">
        <w:rPr>
          <w:i/>
          <w:lang w:val="lt-LT"/>
        </w:rPr>
        <w:t>(nurodyti kriterijaus numerį, kurį taikant nustatytai korupcijos rizikai šalinti ar valdyti teisės akto projekte nenumatyta priemonių)</w:t>
      </w:r>
      <w:r w:rsidRPr="005A62B3">
        <w:rPr>
          <w:rStyle w:val="FootnoteReference"/>
          <w:lang w:val="lt-LT"/>
        </w:rPr>
        <w:footnoteReference w:id="2"/>
      </w:r>
      <w:r w:rsidRPr="005A62B3">
        <w:rPr>
          <w:lang w:val="lt-LT"/>
        </w:rPr>
        <w:t>: nenustatytos.</w:t>
      </w:r>
    </w:p>
    <w:p w:rsidR="0038093C" w:rsidRPr="005A62B3" w:rsidRDefault="0038093C" w:rsidP="005A62B3">
      <w:pPr>
        <w:spacing w:line="240" w:lineRule="auto"/>
        <w:jc w:val="both"/>
        <w:rPr>
          <w:sz w:val="22"/>
          <w:lang w:val="lt-LT"/>
        </w:rPr>
      </w:pPr>
    </w:p>
    <w:tbl>
      <w:tblPr>
        <w:tblW w:w="14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38093C" w:rsidRPr="005A62B3">
        <w:trPr>
          <w:trHeight w:val="23"/>
          <w:tblHeader/>
        </w:trPr>
        <w:tc>
          <w:tcPr>
            <w:tcW w:w="709" w:type="dxa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Eil. Nr.</w:t>
            </w:r>
          </w:p>
        </w:tc>
        <w:tc>
          <w:tcPr>
            <w:tcW w:w="3402" w:type="dxa"/>
            <w:gridSpan w:val="2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Kriterijus</w:t>
            </w:r>
          </w:p>
        </w:tc>
        <w:tc>
          <w:tcPr>
            <w:tcW w:w="3969" w:type="dxa"/>
            <w:gridSpan w:val="2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Išvada dėl teisės akto projekto pakeitimų arba argumentų, kodėl neatsižvelgta į pastabą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38093C" w:rsidP="005A62B3">
            <w:pPr>
              <w:spacing w:line="240" w:lineRule="auto"/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5A62B3">
              <w:rPr>
                <w:i/>
                <w:sz w:val="22"/>
                <w:szCs w:val="22"/>
                <w:lang w:val="lt-LT"/>
              </w:rPr>
              <w:t>pildo teisės akto projekto vertintojas</w:t>
            </w:r>
          </w:p>
        </w:tc>
        <w:tc>
          <w:tcPr>
            <w:tcW w:w="3827" w:type="dxa"/>
            <w:gridSpan w:val="2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5A62B3">
              <w:rPr>
                <w:i/>
                <w:sz w:val="22"/>
                <w:szCs w:val="22"/>
                <w:lang w:val="lt-LT"/>
              </w:rPr>
              <w:t>pildo teisės akto projekto tiesioginis rengėjas</w:t>
            </w:r>
          </w:p>
        </w:tc>
        <w:tc>
          <w:tcPr>
            <w:tcW w:w="2703" w:type="dxa"/>
            <w:vAlign w:val="center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5A62B3">
              <w:rPr>
                <w:i/>
                <w:sz w:val="22"/>
                <w:szCs w:val="22"/>
                <w:lang w:val="lt-LT"/>
              </w:rPr>
              <w:t>pildo teisės akto projekto vertintojas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gridSpan w:val="2"/>
          </w:tcPr>
          <w:p w:rsidR="0038093C" w:rsidRPr="005A62B3" w:rsidRDefault="00ED2D99" w:rsidP="00996334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Į planuojamą (koreguojamą) teritor</w:t>
            </w:r>
            <w:r w:rsidR="00996334">
              <w:rPr>
                <w:sz w:val="22"/>
                <w:szCs w:val="22"/>
                <w:lang w:val="lt-LT"/>
              </w:rPr>
              <w:t>iją patenka tik valstybinė žemė</w:t>
            </w:r>
            <w:r w:rsidRPr="005A62B3">
              <w:rPr>
                <w:sz w:val="22"/>
                <w:szCs w:val="22"/>
                <w:lang w:val="lt-LT"/>
              </w:rPr>
              <w:t>.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Valstybinę teritorijų planavimo priežiūrą atliekanti institucija procedūrinių pažeidimų nenustatė. 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keepNext/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 xml:space="preserve">Nereglamentuota 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 xml:space="preserve">Teisės akto projekte nustatytas baigtinis sprendimo priėmimo </w:t>
            </w:r>
            <w:r w:rsidRPr="005A62B3">
              <w:rPr>
                <w:sz w:val="22"/>
                <w:szCs w:val="22"/>
                <w:lang w:val="lt-LT"/>
              </w:rPr>
              <w:lastRenderedPageBreak/>
              <w:t>kriterijų (atvejų) sąrašas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b/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Jeigu pagal numatomą reguliavimą sprendimus priima kolegialus subjektas, teisės akto projekte nustatyta kolegialaus sprendimus priimančio subjekto:</w:t>
            </w:r>
          </w:p>
          <w:p w:rsidR="0038093C" w:rsidRPr="005A62B3" w:rsidRDefault="00BA2F52" w:rsidP="005A62B3">
            <w:pPr>
              <w:pStyle w:val="ListParagraph1"/>
              <w:spacing w:line="240" w:lineRule="auto"/>
              <w:ind w:left="33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9.1. konkretus narių skaičius, užtikrinantis kolegialaus sprendimus priimančio subjekto veiklos objektyvumą;</w:t>
            </w:r>
          </w:p>
          <w:p w:rsidR="0038093C" w:rsidRPr="005A62B3" w:rsidRDefault="00BA2F52" w:rsidP="005A62B3">
            <w:pPr>
              <w:pStyle w:val="ListParagraph1"/>
              <w:spacing w:line="240" w:lineRule="auto"/>
              <w:ind w:left="33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 xml:space="preserve">9.2. jeigu narius skiria keli subjektai, proporcinga kiekvieno subjekto skiriamų narių dalis, </w:t>
            </w:r>
            <w:r w:rsidRPr="005A62B3">
              <w:rPr>
                <w:sz w:val="22"/>
                <w:szCs w:val="22"/>
                <w:lang w:val="lt-LT"/>
              </w:rPr>
              <w:lastRenderedPageBreak/>
              <w:t>užtikrinanti tinkamą atstovavimą valstybės interesams ir kolegialaus sprendimus priimančio subjekto veiklos objektyvumą ir skaidrumą;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9.3</w:t>
            </w:r>
            <w:r w:rsidRPr="005A62B3">
              <w:rPr>
                <w:spacing w:val="-4"/>
                <w:sz w:val="22"/>
                <w:szCs w:val="22"/>
                <w:lang w:val="lt-LT"/>
              </w:rPr>
              <w:t>. narių skyrimo mechanizmas;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9.4. narių rotacija ir kadencijų skaičius ir trukmė;</w:t>
            </w:r>
          </w:p>
          <w:p w:rsidR="0038093C" w:rsidRPr="005A62B3" w:rsidRDefault="00BA2F52" w:rsidP="005A62B3">
            <w:pPr>
              <w:pStyle w:val="ListParagraph1"/>
              <w:spacing w:line="240" w:lineRule="auto"/>
              <w:ind w:left="0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9.5. veiklos pobūdis laiko atžvilgiu;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9.6. individuali narių atsakomybė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10.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 xml:space="preserve">Teisės akto projekto nuostatoms įgyvendinti numatytos administracinės procedūros yra </w:t>
            </w:r>
            <w:r w:rsidRPr="005A62B3">
              <w:rPr>
                <w:sz w:val="22"/>
                <w:szCs w:val="22"/>
                <w:shd w:val="clear" w:color="auto" w:fill="FFFFFF"/>
                <w:lang w:val="lt-LT"/>
              </w:rPr>
              <w:t>būtinos,</w:t>
            </w:r>
            <w:r w:rsidRPr="005A62B3">
              <w:rPr>
                <w:sz w:val="22"/>
                <w:szCs w:val="22"/>
                <w:lang w:val="lt-LT"/>
              </w:rPr>
              <w:t xml:space="preserve"> nustatyta išsami jų taikymo tvarka 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keepNext/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 xml:space="preserve">Teisės akto projektas nustato jo nuostatoms įgyvendinti numatytų administracinių procedūrų ir sprendimo priėmimo konkrečius </w:t>
            </w:r>
            <w:r w:rsidRPr="005A62B3">
              <w:rPr>
                <w:sz w:val="22"/>
                <w:szCs w:val="22"/>
                <w:lang w:val="lt-LT"/>
              </w:rPr>
              <w:lastRenderedPageBreak/>
              <w:t>terminus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13.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projektas nustato administracinių procedūrų viešinimo tvarką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b/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nustatytos kontrolės (priežiūros) skaidrumo ir objektyvumo užtikrinimo priemonės</w:t>
            </w:r>
            <w:r w:rsidRPr="005A62B3">
              <w:rPr>
                <w:rStyle w:val="FootnoteReference"/>
                <w:sz w:val="22"/>
                <w:szCs w:val="22"/>
                <w:lang w:val="lt-LT"/>
              </w:rPr>
              <w:footnoteReference w:id="3"/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keepNext/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lastRenderedPageBreak/>
              <w:t>17.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keepNext/>
              <w:spacing w:line="240" w:lineRule="auto"/>
              <w:rPr>
                <w:b/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keepNext/>
              <w:spacing w:line="240" w:lineRule="auto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keepNext/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Nereglamentuota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rPr>
          <w:trHeight w:val="23"/>
        </w:trPr>
        <w:tc>
          <w:tcPr>
            <w:tcW w:w="709" w:type="dxa"/>
          </w:tcPr>
          <w:p w:rsidR="0038093C" w:rsidRPr="005A62B3" w:rsidRDefault="00BA2F52" w:rsidP="005A62B3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3402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Kiti svarbūs kriterijai</w:t>
            </w:r>
          </w:p>
        </w:tc>
        <w:tc>
          <w:tcPr>
            <w:tcW w:w="3969" w:type="dxa"/>
            <w:gridSpan w:val="2"/>
          </w:tcPr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Nėra</w:t>
            </w:r>
          </w:p>
        </w:tc>
        <w:tc>
          <w:tcPr>
            <w:tcW w:w="3827" w:type="dxa"/>
            <w:gridSpan w:val="2"/>
          </w:tcPr>
          <w:p w:rsidR="0038093C" w:rsidRPr="005A62B3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</w:tcPr>
          <w:p w:rsidR="0038093C" w:rsidRPr="005A62B3" w:rsidRDefault="0060180B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bookmarkStart w:id="1" w:name="_GoBack"/>
            <w:bookmarkEnd w:id="1"/>
            <w:r w:rsidR="00BA2F52" w:rsidRPr="005A62B3">
              <w:rPr>
                <w:sz w:val="22"/>
                <w:szCs w:val="22"/>
                <w:lang w:val="lt-LT"/>
              </w:rPr>
              <w:t xml:space="preserve"> tenkina</w:t>
            </w:r>
          </w:p>
          <w:p w:rsidR="0038093C" w:rsidRPr="005A62B3" w:rsidRDefault="00BA2F52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5A62B3">
              <w:rPr>
                <w:sz w:val="22"/>
                <w:szCs w:val="22"/>
                <w:lang w:val="lt-LT"/>
              </w:rPr>
              <w:t>□ netenkina</w:t>
            </w:r>
          </w:p>
        </w:tc>
      </w:tr>
      <w:tr w:rsidR="0038093C" w:rsidRPr="005A6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</w:tcPr>
          <w:p w:rsidR="0038093C" w:rsidRPr="00866A5F" w:rsidRDefault="0038093C" w:rsidP="00866A5F">
            <w:pPr>
              <w:spacing w:after="0" w:line="240" w:lineRule="auto"/>
              <w:rPr>
                <w:lang w:val="lt-LT"/>
              </w:rPr>
            </w:pPr>
          </w:p>
          <w:p w:rsidR="0038093C" w:rsidRPr="00866A5F" w:rsidRDefault="00BA2F52" w:rsidP="00866A5F">
            <w:pPr>
              <w:spacing w:after="0" w:line="240" w:lineRule="auto"/>
              <w:rPr>
                <w:lang w:val="lt-LT"/>
              </w:rPr>
            </w:pPr>
            <w:r w:rsidRPr="00866A5F">
              <w:rPr>
                <w:lang w:val="lt-LT"/>
              </w:rPr>
              <w:t>Teisės akto projekto tiesioginis 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</w:tcPr>
          <w:p w:rsidR="0038093C" w:rsidRPr="00866A5F" w:rsidRDefault="0038093C" w:rsidP="00866A5F">
            <w:pPr>
              <w:spacing w:after="0" w:line="240" w:lineRule="auto"/>
              <w:rPr>
                <w:lang w:val="lt-LT"/>
              </w:rPr>
            </w:pPr>
          </w:p>
          <w:p w:rsidR="0038093C" w:rsidRPr="00866A5F" w:rsidRDefault="00866A5F" w:rsidP="00866A5F">
            <w:pPr>
              <w:spacing w:after="0" w:line="240" w:lineRule="auto"/>
              <w:rPr>
                <w:lang w:val="lt-LT"/>
              </w:rPr>
            </w:pPr>
            <w:r w:rsidRPr="00866A5F">
              <w:rPr>
                <w:lang w:val="lt-LT"/>
              </w:rPr>
              <w:t>Aplinkos ministerijos Gamtos politikos grupės vyr. specialistė</w:t>
            </w:r>
          </w:p>
          <w:p w:rsidR="0038093C" w:rsidRPr="00866A5F" w:rsidRDefault="00866A5F" w:rsidP="00866A5F">
            <w:pPr>
              <w:spacing w:after="0" w:line="240" w:lineRule="auto"/>
              <w:rPr>
                <w:lang w:val="lt-LT"/>
              </w:rPr>
            </w:pPr>
            <w:r w:rsidRPr="00866A5F">
              <w:rPr>
                <w:lang w:val="lt-LT"/>
              </w:rPr>
              <w:t>Sigutė Ališauskienė</w:t>
            </w:r>
          </w:p>
        </w:tc>
        <w:tc>
          <w:tcPr>
            <w:tcW w:w="2434" w:type="dxa"/>
            <w:gridSpan w:val="2"/>
          </w:tcPr>
          <w:p w:rsidR="0038093C" w:rsidRPr="00866A5F" w:rsidRDefault="0038093C" w:rsidP="00866A5F">
            <w:pPr>
              <w:spacing w:after="0" w:line="240" w:lineRule="auto"/>
              <w:rPr>
                <w:lang w:val="lt-LT"/>
              </w:rPr>
            </w:pPr>
          </w:p>
          <w:p w:rsidR="0038093C" w:rsidRPr="00866A5F" w:rsidRDefault="00BA2F52" w:rsidP="00866A5F">
            <w:pPr>
              <w:spacing w:after="0" w:line="240" w:lineRule="auto"/>
              <w:rPr>
                <w:lang w:val="lt-LT"/>
              </w:rPr>
            </w:pPr>
            <w:r w:rsidRPr="00866A5F">
              <w:rPr>
                <w:lang w:val="lt-LT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</w:tcPr>
          <w:p w:rsidR="0038093C" w:rsidRPr="00866A5F" w:rsidRDefault="0038093C" w:rsidP="00866A5F">
            <w:pPr>
              <w:spacing w:after="0" w:line="240" w:lineRule="auto"/>
              <w:rPr>
                <w:lang w:val="lt-LT"/>
              </w:rPr>
            </w:pPr>
          </w:p>
          <w:p w:rsidR="00866A5F" w:rsidRPr="00866A5F" w:rsidRDefault="00866A5F" w:rsidP="00866A5F">
            <w:pPr>
              <w:spacing w:after="0" w:line="240" w:lineRule="auto"/>
              <w:rPr>
                <w:lang w:val="lt-LT"/>
              </w:rPr>
            </w:pPr>
            <w:r w:rsidRPr="00866A5F">
              <w:rPr>
                <w:lang w:val="lt-LT"/>
              </w:rPr>
              <w:t>Aplinkos ministerijos Gamtos politikos grupės vyresn. patarėjas</w:t>
            </w:r>
          </w:p>
          <w:p w:rsidR="0038093C" w:rsidRPr="00866A5F" w:rsidRDefault="00866A5F" w:rsidP="00866A5F">
            <w:pPr>
              <w:spacing w:after="0" w:line="240" w:lineRule="auto"/>
              <w:rPr>
                <w:lang w:val="lt-LT"/>
              </w:rPr>
            </w:pPr>
            <w:r w:rsidRPr="00866A5F">
              <w:rPr>
                <w:lang w:val="lt-LT"/>
              </w:rPr>
              <w:t xml:space="preserve">Džiugas </w:t>
            </w:r>
            <w:proofErr w:type="spellStart"/>
            <w:r w:rsidRPr="00866A5F">
              <w:rPr>
                <w:lang w:val="lt-LT"/>
              </w:rPr>
              <w:t>Anuškevičius</w:t>
            </w:r>
            <w:proofErr w:type="spellEnd"/>
          </w:p>
        </w:tc>
      </w:tr>
      <w:tr w:rsidR="0038093C" w:rsidRPr="005A6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</w:tcPr>
          <w:p w:rsidR="0038093C" w:rsidRDefault="0038093C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  <w:p w:rsidR="00866A5F" w:rsidRPr="005A62B3" w:rsidRDefault="00866A5F" w:rsidP="005A62B3">
            <w:pPr>
              <w:spacing w:line="24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4773" w:type="dxa"/>
            <w:gridSpan w:val="2"/>
          </w:tcPr>
          <w:p w:rsidR="0038093C" w:rsidRPr="005A62B3" w:rsidRDefault="0038093C" w:rsidP="005A62B3">
            <w:pPr>
              <w:spacing w:line="240" w:lineRule="auto"/>
              <w:ind w:left="-11" w:firstLine="11"/>
              <w:rPr>
                <w:sz w:val="22"/>
                <w:szCs w:val="22"/>
                <w:lang w:val="lt-LT"/>
              </w:rPr>
            </w:pPr>
          </w:p>
        </w:tc>
        <w:tc>
          <w:tcPr>
            <w:tcW w:w="2434" w:type="dxa"/>
            <w:gridSpan w:val="2"/>
          </w:tcPr>
          <w:p w:rsidR="0038093C" w:rsidRPr="005A62B3" w:rsidRDefault="0038093C" w:rsidP="00866A5F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</w:tcPr>
          <w:p w:rsidR="0038093C" w:rsidRPr="005A62B3" w:rsidRDefault="0038093C" w:rsidP="005A62B3">
            <w:pPr>
              <w:spacing w:line="240" w:lineRule="auto"/>
              <w:ind w:left="-11" w:firstLine="11"/>
              <w:rPr>
                <w:sz w:val="22"/>
                <w:szCs w:val="22"/>
                <w:lang w:val="lt-LT"/>
              </w:rPr>
            </w:pPr>
          </w:p>
        </w:tc>
      </w:tr>
    </w:tbl>
    <w:p w:rsidR="0038093C" w:rsidRPr="005A62B3" w:rsidRDefault="00BA2F52" w:rsidP="005A62B3">
      <w:pPr>
        <w:pStyle w:val="Header"/>
        <w:tabs>
          <w:tab w:val="left" w:pos="6237"/>
        </w:tabs>
        <w:spacing w:line="240" w:lineRule="auto"/>
        <w:jc w:val="center"/>
        <w:rPr>
          <w:lang w:val="lt-LT"/>
        </w:rPr>
      </w:pPr>
      <w:r w:rsidRPr="005A62B3">
        <w:rPr>
          <w:color w:val="000000"/>
          <w:lang w:val="lt-LT"/>
        </w:rPr>
        <w:t>––––––––––––––––––––</w:t>
      </w:r>
    </w:p>
    <w:sectPr w:rsidR="0038093C" w:rsidRPr="005A62B3">
      <w:headerReference w:type="even" r:id="rId12"/>
      <w:headerReference w:type="default" r:id="rId13"/>
      <w:pgSz w:w="16838" w:h="11906" w:orient="landscape"/>
      <w:pgMar w:top="1418" w:right="107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D7" w:rsidRDefault="002F3FD7">
      <w:pPr>
        <w:spacing w:after="0" w:line="240" w:lineRule="auto"/>
      </w:pPr>
      <w:r>
        <w:separator/>
      </w:r>
    </w:p>
  </w:endnote>
  <w:endnote w:type="continuationSeparator" w:id="0">
    <w:p w:rsidR="002F3FD7" w:rsidRDefault="002F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D7" w:rsidRDefault="002F3FD7">
      <w:pPr>
        <w:spacing w:after="0" w:line="240" w:lineRule="auto"/>
      </w:pPr>
      <w:r>
        <w:separator/>
      </w:r>
    </w:p>
  </w:footnote>
  <w:footnote w:type="continuationSeparator" w:id="0">
    <w:p w:rsidR="002F3FD7" w:rsidRDefault="002F3FD7">
      <w:pPr>
        <w:spacing w:after="0" w:line="240" w:lineRule="auto"/>
      </w:pPr>
      <w:r>
        <w:continuationSeparator/>
      </w:r>
    </w:p>
  </w:footnote>
  <w:footnote w:id="1">
    <w:p w:rsidR="0038093C" w:rsidRDefault="00BA2F52">
      <w:pPr>
        <w:pStyle w:val="FootnoteText"/>
        <w:jc w:val="both"/>
      </w:pPr>
      <w:r>
        <w:rPr>
          <w:rStyle w:val="FootnoteReference"/>
        </w:rPr>
        <w:footnoteRef/>
      </w:r>
      <w:proofErr w:type="spellStart"/>
      <w:r>
        <w:t>Jeigu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pats </w:t>
      </w:r>
      <w:proofErr w:type="spellStart"/>
      <w:r>
        <w:t>kriterijus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kelioms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nuostatoms</w:t>
      </w:r>
      <w:proofErr w:type="spellEnd"/>
      <w:r>
        <w:t xml:space="preserve">,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konkrečias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nuostatas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korupcijos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nepašalinta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kuriai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nenumatyta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>.</w:t>
      </w:r>
    </w:p>
  </w:footnote>
  <w:footnote w:id="2">
    <w:p w:rsidR="0038093C" w:rsidRDefault="00BA2F5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Tas</w:t>
      </w:r>
      <w:proofErr w:type="spellEnd"/>
      <w:r>
        <w:t xml:space="preserve"> pat.</w:t>
      </w:r>
    </w:p>
  </w:footnote>
  <w:footnote w:id="3">
    <w:p w:rsidR="0038093C" w:rsidRDefault="00BA2F52">
      <w:pPr>
        <w:pStyle w:val="FootnoteText"/>
        <w:jc w:val="both"/>
      </w:pPr>
      <w:r>
        <w:rPr>
          <w:rStyle w:val="FootnoteReference"/>
        </w:rPr>
        <w:footnoteRef/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išsamiai</w:t>
      </w:r>
      <w:proofErr w:type="spellEnd"/>
      <w:r>
        <w:t xml:space="preserve"> </w:t>
      </w:r>
      <w:proofErr w:type="spellStart"/>
      <w:r>
        <w:t>išdėstytos</w:t>
      </w:r>
      <w:proofErr w:type="spellEnd"/>
      <w:r>
        <w:t xml:space="preserve"> </w:t>
      </w:r>
      <w:proofErr w:type="spellStart"/>
      <w:r>
        <w:t>kontroliuojančio</w:t>
      </w:r>
      <w:proofErr w:type="spellEnd"/>
      <w:r>
        <w:t xml:space="preserve"> </w:t>
      </w:r>
      <w:proofErr w:type="spellStart"/>
      <w:r>
        <w:t>subjekto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,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standartizuota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procedūra</w:t>
      </w:r>
      <w:proofErr w:type="spellEnd"/>
      <w:r>
        <w:t xml:space="preserve">, </w:t>
      </w:r>
      <w:proofErr w:type="spellStart"/>
      <w:r>
        <w:t>reikalavimas</w:t>
      </w:r>
      <w:proofErr w:type="spellEnd"/>
      <w:r>
        <w:t xml:space="preserve"> </w:t>
      </w:r>
      <w:proofErr w:type="spellStart"/>
      <w:r>
        <w:t>fiksuoti</w:t>
      </w:r>
      <w:proofErr w:type="spellEnd"/>
      <w:r>
        <w:t xml:space="preserve"> </w:t>
      </w:r>
      <w:proofErr w:type="spellStart"/>
      <w:r>
        <w:t>atskirus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 xml:space="preserve"> </w:t>
      </w:r>
      <w:proofErr w:type="spellStart"/>
      <w:r>
        <w:t>etapus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 xml:space="preserve">, </w:t>
      </w:r>
      <w:proofErr w:type="spellStart"/>
      <w:r>
        <w:t>atsakingų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rotacija</w:t>
      </w:r>
      <w:proofErr w:type="spellEnd"/>
      <w:r>
        <w:t xml:space="preserve">, </w:t>
      </w:r>
      <w:proofErr w:type="spellStart"/>
      <w:r>
        <w:t>užkirstas</w:t>
      </w:r>
      <w:proofErr w:type="spellEnd"/>
      <w:r>
        <w:t xml:space="preserve"> </w:t>
      </w:r>
      <w:proofErr w:type="spellStart"/>
      <w:r>
        <w:t>kelias</w:t>
      </w:r>
      <w:proofErr w:type="spellEnd"/>
      <w:r>
        <w:t xml:space="preserve"> </w:t>
      </w:r>
      <w:proofErr w:type="spellStart"/>
      <w:r>
        <w:t>kontroliuojančio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kontroliuojamo</w:t>
      </w:r>
      <w:proofErr w:type="spellEnd"/>
      <w:r>
        <w:t xml:space="preserve"> </w:t>
      </w:r>
      <w:proofErr w:type="spellStart"/>
      <w:r>
        <w:t>subjektų</w:t>
      </w:r>
      <w:proofErr w:type="spellEnd"/>
      <w:r>
        <w:t xml:space="preserve"> </w:t>
      </w:r>
      <w:proofErr w:type="spellStart"/>
      <w:r>
        <w:t>tiesioginiam</w:t>
      </w:r>
      <w:proofErr w:type="spellEnd"/>
      <w:r>
        <w:t xml:space="preserve"> </w:t>
      </w:r>
      <w:proofErr w:type="spellStart"/>
      <w:r>
        <w:t>kontaktui</w:t>
      </w:r>
      <w:proofErr w:type="spellEnd"/>
      <w:r>
        <w:t xml:space="preserve"> be </w:t>
      </w:r>
      <w:proofErr w:type="spellStart"/>
      <w:r>
        <w:t>liudininkų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panašiai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3C" w:rsidRDefault="00BA2F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8093C" w:rsidRDefault="00380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3C" w:rsidRDefault="00BA2F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2B3">
      <w:rPr>
        <w:rStyle w:val="PageNumber"/>
        <w:noProof/>
      </w:rPr>
      <w:t>2</w:t>
    </w:r>
    <w:r>
      <w:rPr>
        <w:rStyle w:val="PageNumber"/>
      </w:rPr>
      <w:fldChar w:fldCharType="end"/>
    </w:r>
  </w:p>
  <w:p w:rsidR="0038093C" w:rsidRDefault="003809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3C" w:rsidRDefault="00BA2F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8093C" w:rsidRDefault="0038093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3C" w:rsidRDefault="00BA2F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80B">
      <w:rPr>
        <w:rStyle w:val="PageNumber"/>
        <w:noProof/>
      </w:rPr>
      <w:t>2</w:t>
    </w:r>
    <w:r>
      <w:rPr>
        <w:rStyle w:val="PageNumber"/>
      </w:rPr>
      <w:fldChar w:fldCharType="end"/>
    </w:r>
  </w:p>
  <w:p w:rsidR="0038093C" w:rsidRDefault="0038093C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396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3C"/>
    <w:rsid w:val="000244A6"/>
    <w:rsid w:val="001C3B59"/>
    <w:rsid w:val="002F3FD7"/>
    <w:rsid w:val="0034694A"/>
    <w:rsid w:val="0038093C"/>
    <w:rsid w:val="005131B1"/>
    <w:rsid w:val="005A62B3"/>
    <w:rsid w:val="0060180B"/>
    <w:rsid w:val="00866A5F"/>
    <w:rsid w:val="00996334"/>
    <w:rsid w:val="00BA2F52"/>
    <w:rsid w:val="00BD5648"/>
    <w:rsid w:val="00C71E25"/>
    <w:rsid w:val="00E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semiHidden="0" w:uiPriority="99" w:unhideWhenUsed="0"/>
    <w:lsdException w:name="caption" w:uiPriority="35" w:qFormat="1"/>
    <w:lsdException w:name="footnote reference" w:uiPriority="99"/>
    <w:lsdException w:name="annotation reference" w:uiPriority="99"/>
    <w:lsdException w:name="page number" w:semiHidden="0" w:uiPriority="99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99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nhideWhenUsed="0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spacing w:before="120"/>
      <w:ind w:left="4536"/>
      <w:jc w:val="center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eastAsia="Calibr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styleId="PageNumber">
    <w:name w:val="page number"/>
    <w:basedOn w:val="DefaultParagraphFont"/>
    <w:uiPriority w:val="99"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/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uiPriority w:val="99"/>
    <w:rPr>
      <w:rFonts w:ascii="Times New Roman" w:eastAsia="Times New Roman" w:hAnsi="Times New Roman"/>
      <w:sz w:val="24"/>
    </w:rPr>
  </w:style>
  <w:style w:type="character" w:customStyle="1" w:styleId="FootnoteTextChar">
    <w:name w:val="Footnote Text Char"/>
    <w:link w:val="FootnoteText"/>
    <w:uiPriority w:val="99"/>
    <w:semiHidden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nhideWhenUsed/>
    <w:rsid w:val="00866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6A5F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semiHidden="0" w:uiPriority="99" w:unhideWhenUsed="0"/>
    <w:lsdException w:name="caption" w:uiPriority="35" w:qFormat="1"/>
    <w:lsdException w:name="footnote reference" w:uiPriority="99"/>
    <w:lsdException w:name="annotation reference" w:uiPriority="99"/>
    <w:lsdException w:name="page number" w:semiHidden="0" w:uiPriority="99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99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nhideWhenUsed="0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spacing w:before="120"/>
      <w:ind w:left="4536"/>
      <w:jc w:val="center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eastAsia="Calibr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styleId="PageNumber">
    <w:name w:val="page number"/>
    <w:basedOn w:val="DefaultParagraphFont"/>
    <w:uiPriority w:val="99"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/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uiPriority w:val="99"/>
    <w:rPr>
      <w:rFonts w:ascii="Times New Roman" w:eastAsia="Times New Roman" w:hAnsi="Times New Roman"/>
      <w:sz w:val="24"/>
    </w:rPr>
  </w:style>
  <w:style w:type="character" w:customStyle="1" w:styleId="FootnoteTextChar">
    <w:name w:val="Footnote Text Char"/>
    <w:link w:val="FootnoteText"/>
    <w:uiPriority w:val="99"/>
    <w:semiHidden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nhideWhenUsed/>
    <w:rsid w:val="00866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6A5F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header4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emf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1D1771-5762-45A8-8EA0-7D94A62A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4954</Words>
  <Characters>2825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TEISĖS AKTŲ PROJEKTŲ ANTIKORUPCINIO VERTINIMO IŠVADA</vt:lpstr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2020-06-19T08:02:00Z</dcterms:created>
  <dc:creator>Vytautas Rukas</dc:creator>
  <cp:lastModifiedBy>Sigute Alisauskiene</cp:lastModifiedBy>
  <cp:lastPrinted>2015-10-26T13:01:00Z</cp:lastPrinted>
  <dcterms:modified xsi:type="dcterms:W3CDTF">2020-06-19T08:43:00Z</dcterms:modified>
  <cp:revision>6</cp:revision>
  <dc:title>TEISĖS AKTŲ PROJEKTŲ ANTIKORUPCINIO VERTINIMO IŠVADA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