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92daae8830204e7ab83267da516223e7"/>
        <w:lock w:val="sdtLocked"/>
        <w:richText/>
      </w:sdtPr>
      <w:sdtContent>
        <w:p>
          <w:pPr>
            <w:jc w:val="right"/>
            <w:rPr>
              <w:b/>
              <w:bCs/>
              <w:lang w:eastAsia="lt-LT"/>
            </w:rPr>
          </w:pPr>
          <w:r>
            <w:rPr>
              <w:b/>
              <w:bCs/>
              <w:lang w:eastAsia="lt-LT"/>
            </w:rPr>
            <w:t>Projektas</w:t>
          </w:r>
        </w:p>
        <w:p>
          <w:pPr>
            <w:jc w:val="center"/>
            <w:rPr>
              <w:b/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LIETUVOS RESPUBLIKOS VYRIAUSYBĖ</w:t>
          </w:r>
        </w:p>
        <w:p>
          <w:pPr>
            <w:jc w:val="center"/>
            <w:rPr>
              <w:b/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DĖL LIETUVOS RESPUBLIKOS VYRIAUSYBĖS KOMISIJOS TAUTINIŲ MAŽUMŲ KLAUSIMAMS SUDARYMO</w:t>
          </w:r>
        </w:p>
        <w:p>
          <w:pPr>
            <w:widowControl w:val="0"/>
            <w:jc w:val="center"/>
            <w:rPr>
              <w:b/>
              <w:caps/>
              <w:lang w:eastAsia="lt-LT"/>
            </w:rPr>
          </w:pPr>
        </w:p>
        <w:p>
          <w:pPr>
            <w:ind w:firstLine="62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2019 m.                     d. 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3183f7aa6c7847a289935bf76f0d7146"/>
            <w:lock w:val="sdtLocked"/>
            <w:richText/>
          </w:sdtPr>
          <w:sdtContent>
            <w:p>
              <w:pPr>
                <w:tabs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uto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Vadovaudamasi Lietuvos Respublikos </w:t>
              </w:r>
              <w:r>
                <w:rPr>
                  <w:iCs/>
                  <w:color w:val="000000"/>
                  <w:szCs w:val="24"/>
                  <w:lang w:eastAsia="lt-LT"/>
                </w:rPr>
                <w:t>Vyriausybės įstatymo 22</w:t>
              </w:r>
              <w:r>
                <w:rPr>
                  <w:szCs w:val="24"/>
                  <w:lang w:eastAsia="lt-LT"/>
                </w:rPr>
                <w:t xml:space="preserve"> straipsnio 15 punktu ir </w:t>
              </w:r>
              <w:r>
                <w:rPr>
                  <w:iCs/>
                  <w:color w:val="000000"/>
                  <w:szCs w:val="24"/>
                  <w:lang w:eastAsia="lt-LT"/>
                </w:rPr>
                <w:t>27 </w:t>
              </w:r>
              <w:r>
                <w:rPr>
                  <w:szCs w:val="24"/>
                  <w:lang w:eastAsia="lt-LT"/>
                </w:rPr>
                <w:t>straipsnio 1, 4 ir 5 dalimis, 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81b891ffec2547799e01773fae142889"/>
            <w:lock w:val="sdtLocked"/>
            <w:richText/>
          </w:sdtPr>
          <w:sdtContent>
            <w:p>
              <w:pPr>
                <w:spacing w:line="360" w:lineRule="auto"/>
                <w:ind w:firstLine="720"/>
                <w:jc w:val="both"/>
                <w:rPr>
                  <w:lang w:eastAsia="lt-LT"/>
                </w:rPr>
              </w:pPr>
              <w:sdt>
                <w:sdtPr>
                  <w:alias w:val="Numeris"/>
                  <w:tag w:val="nr_81b891ffec2547799e01773fae142889"/>
                  <w:lock w:val="sdtLocked"/>
                  <w:richText/>
                </w:sdtPr>
                <w:sdtContent>
                  <w:r>
                    <w:rPr>
                      <w:lang w:eastAsia="lt-LT"/>
                    </w:rPr>
                    <w:t>1</w:t>
                  </w:r>
                </w:sdtContent>
              </w:sdt>
              <w:r>
                <w:rPr>
                  <w:lang w:eastAsia="lt-LT"/>
                </w:rPr>
                <w:t>.</w:t>
                <w:tab/>
                <w:t>Sudaryti šią Lietuvos Respublikos Vyriausybės komisiją tautinių mažumų klausimams (toliau – Komisija):</w:t>
              </w:r>
            </w:p>
            <w:p>
              <w:pPr>
                <w:spacing w:line="360" w:lineRule="auto"/>
                <w:ind w:firstLine="720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Vyriausybės kanclerio pirmasis pavaduotojas (Komisijos pirmininkas);</w:t>
              </w:r>
            </w:p>
            <w:p>
              <w:pPr>
                <w:spacing w:line="360" w:lineRule="auto"/>
                <w:ind w:firstLine="720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kultūros viceministras (Komisijos pirmininko pavaduotojas);</w:t>
              </w:r>
            </w:p>
            <w:p>
              <w:pPr>
                <w:spacing w:line="360" w:lineRule="auto"/>
                <w:ind w:firstLine="720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vidaus reikalų ministras;</w:t>
              </w:r>
            </w:p>
            <w:p>
              <w:pPr>
                <w:spacing w:line="360" w:lineRule="auto"/>
                <w:ind w:firstLine="720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finansų viceministras;</w:t>
              </w:r>
            </w:p>
            <w:p>
              <w:pPr>
                <w:spacing w:line="360" w:lineRule="auto"/>
                <w:ind w:firstLine="720"/>
                <w:jc w:val="both"/>
                <w:rPr>
                  <w:i/>
                  <w:iCs/>
                  <w:lang w:eastAsia="lt-LT"/>
                </w:rPr>
              </w:pPr>
              <w:r>
                <w:rPr>
                  <w:lang w:eastAsia="lt-LT"/>
                </w:rPr>
                <w:t>krašto apsaugos viceministras;</w:t>
              </w:r>
            </w:p>
            <w:p>
              <w:pPr>
                <w:spacing w:line="360" w:lineRule="auto"/>
                <w:ind w:firstLine="720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socialinės apsaugos ir darbo viceministras;</w:t>
              </w:r>
            </w:p>
            <w:p>
              <w:pPr>
                <w:spacing w:line="360" w:lineRule="auto"/>
                <w:ind w:firstLine="720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švietimo, mokslo ir sporto viceministras;</w:t>
              </w:r>
            </w:p>
            <w:p>
              <w:pPr>
                <w:spacing w:line="360" w:lineRule="auto"/>
                <w:ind w:firstLine="720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teisingumo viceministras;</w:t>
              </w:r>
            </w:p>
            <w:p>
              <w:pPr>
                <w:spacing w:line="360" w:lineRule="auto"/>
                <w:ind w:firstLine="720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užsienio reikalų viceministras;</w:t>
              </w:r>
            </w:p>
            <w:p>
              <w:pPr>
                <w:spacing w:line="360" w:lineRule="auto"/>
                <w:ind w:firstLine="720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Tautinių mažumų departamento prie Lietuvos Respublikos Vyriausybės (toliau – Departamentas) direktorius;</w:t>
              </w:r>
            </w:p>
            <w:p>
              <w:pPr>
                <w:spacing w:line="360" w:lineRule="auto"/>
                <w:ind w:firstLine="720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Ministro Pirmininko biuro vadovas;</w:t>
              </w:r>
            </w:p>
            <w:p>
              <w:pPr>
                <w:spacing w:line="360" w:lineRule="auto"/>
                <w:ind w:firstLine="720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Ministro Pirmininko patarėjas;</w:t>
              </w:r>
            </w:p>
            <w:p>
              <w:pPr>
                <w:spacing w:line="360" w:lineRule="auto"/>
                <w:ind w:firstLine="720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Kultūros ministerijos Kultūrinės edukacijos politikos grupės vadovas; </w:t>
              </w:r>
            </w:p>
            <w:p>
              <w:pPr>
                <w:spacing w:line="360" w:lineRule="auto"/>
                <w:ind w:firstLine="720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Vyriausybės kanceliarijos Tarptautinių santykių ir Europos Sąjungos grupės vadovas.</w:t>
              </w:r>
            </w:p>
          </w:sdtContent>
        </w:sdt>
        <w:sdt>
          <w:sdtPr>
            <w:alias w:val="2 p."/>
            <w:tag w:val="part_b2e16634f8b345d89d008dba819fa883"/>
            <w:lock w:val="sdtLocked"/>
            <w:richText/>
          </w:sdtPr>
          <w:sdtContent>
            <w:p>
              <w:pPr>
                <w:spacing w:line="360" w:lineRule="auto"/>
                <w:ind w:firstLine="720"/>
                <w:jc w:val="both"/>
                <w:rPr>
                  <w:lang w:eastAsia="lt-LT"/>
                </w:rPr>
              </w:pPr>
              <w:sdt>
                <w:sdtPr>
                  <w:alias w:val="Numeris"/>
                  <w:tag w:val="nr_b2e16634f8b345d89d008dba819fa883"/>
                  <w:lock w:val="sdtLocked"/>
                  <w:richText/>
                </w:sdtPr>
                <w:sdtContent>
                  <w:r>
                    <w:rPr>
                      <w:lang w:eastAsia="lt-LT"/>
                    </w:rPr>
                    <w:t>2</w:t>
                  </w:r>
                </w:sdtContent>
              </w:sdt>
              <w:r>
                <w:rPr>
                  <w:lang w:eastAsia="lt-LT"/>
                </w:rPr>
                <w:t>. Pavesti Komisijai rengti ir teikti Lietuvos Respublikos Vyriausybei išvadas ir pasiūlymus dėl:</w:t>
              </w:r>
            </w:p>
            <w:sdt>
              <w:sdtPr>
                <w:alias w:val="2.1 pp."/>
                <w:tag w:val="part_39f5f6ce73c942f988d701b2049b4904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lang w:eastAsia="lt-LT"/>
                    </w:rPr>
                  </w:pPr>
                  <w:sdt>
                    <w:sdtPr>
                      <w:alias w:val="Numeris"/>
                      <w:tag w:val="nr_39f5f6ce73c942f988d701b2049b4904"/>
                      <w:lock w:val="sdtLocked"/>
                      <w:richText/>
                    </w:sdtPr>
                    <w:sdtContent>
                      <w:r>
                        <w:rPr>
                          <w:lang w:eastAsia="lt-LT"/>
                        </w:rPr>
                        <w:t>2.1</w:t>
                      </w:r>
                    </w:sdtContent>
                  </w:sdt>
                  <w:r>
                    <w:rPr>
                      <w:lang w:eastAsia="lt-LT"/>
                    </w:rPr>
                    <w:t>. Lietuvos tautinių mažumų politikos krypčių ir prioritetų:</w:t>
                  </w:r>
                </w:p>
                <w:sdt>
                  <w:sdtPr>
                    <w:alias w:val="2.1.1 pp."/>
                    <w:tag w:val="part_b62298796533498ab667c79c42bf0a63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b62298796533498ab667c79c42bf0a63"/>
                          <w:lock w:val="sdtLocked"/>
                          <w:richText/>
                        </w:sdtPr>
                        <w:sdtContent>
                          <w:r>
                            <w:rPr>
                              <w:lang w:eastAsia="lt-LT"/>
                            </w:rPr>
                            <w:t>2.1.1</w:t>
                          </w:r>
                        </w:sdtContent>
                      </w:sdt>
                      <w:r>
                        <w:rPr>
                          <w:lang w:eastAsia="lt-LT"/>
                        </w:rPr>
                        <w:t>. Pietryčių Lietuvos regiono tolygesnio ekonominio vystymosi;</w:t>
                      </w:r>
                    </w:p>
                  </w:sdtContent>
                </w:sdt>
                <w:sdt>
                  <w:sdtPr>
                    <w:alias w:val="2.1.2 pp."/>
                    <w:tag w:val="part_0a90a7f16265473ea87923d8054e7e40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0a90a7f16265473ea87923d8054e7e40"/>
                          <w:lock w:val="sdtLocked"/>
                          <w:richText/>
                        </w:sdtPr>
                        <w:sdtContent>
                          <w:r>
                            <w:rPr>
                              <w:lang w:eastAsia="lt-LT"/>
                            </w:rPr>
                            <w:t>2.1.2</w:t>
                          </w:r>
                        </w:sdtContent>
                      </w:sdt>
                      <w:r>
                        <w:rPr>
                          <w:lang w:eastAsia="lt-LT"/>
                        </w:rPr>
                        <w:t xml:space="preserve">. tautinių mažumų kultūros ir integracijos centrų (viešųjų įstaigų), kurių  savininko arba dalininko teises ir pareigas įgyvendina Departamentas, finansavimo koncepcijos peržiūrėjimo;</w:t>
                      </w:r>
                    </w:p>
                  </w:sdtContent>
                </w:sdt>
                <w:sdt>
                  <w:sdtPr>
                    <w:alias w:val="2.1.3 pp."/>
                    <w:tag w:val="part_d28ca3726ca045daa63a17a014cffb97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</w:pPr>
                      <w:sdt>
                        <w:sdtPr>
                          <w:alias w:val="Numeris"/>
                          <w:tag w:val="nr_d28ca3726ca045daa63a17a014cffb97"/>
                          <w:lock w:val="sdtLocked"/>
                          <w:richText/>
                        </w:sdtPr>
                        <w:sdtContent>
                          <w:r>
                            <w:t>2.1.3</w:t>
                          </w:r>
                        </w:sdtContent>
                      </w:sdt>
                      <w:r>
                        <w:t>. tautinių mažumų mokyklos apibrėžimo;</w:t>
                      </w:r>
                    </w:p>
                  </w:sdtContent>
                </w:sdt>
                <w:sdt>
                  <w:sdtPr>
                    <w:alias w:val="2.1.4 pp."/>
                    <w:tag w:val="part_c8390b72ecf14f3189d35d5bc6433239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</w:pPr>
                      <w:sdt>
                        <w:sdtPr>
                          <w:alias w:val="Numeris"/>
                          <w:tag w:val="nr_c8390b72ecf14f3189d35d5bc6433239"/>
                          <w:lock w:val="sdtLocked"/>
                          <w:richText/>
                        </w:sdtPr>
                        <w:sdtContent>
                          <w:r>
                            <w:t>2.1.4</w:t>
                          </w:r>
                        </w:sdtContent>
                      </w:sdt>
                      <w:r>
                        <w:t>. vardų ir pavardžių rašymo;</w:t>
                      </w:r>
                    </w:p>
                  </w:sdtContent>
                </w:sdt>
              </w:sdtContent>
            </w:sdt>
            <w:sdt>
              <w:sdtPr>
                <w:alias w:val="2.2 pp."/>
                <w:tag w:val="part_70cce18a18074b5db875c713b40beab0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</w:pPr>
                  <w:sdt>
                    <w:sdtPr>
                      <w:alias w:val="Numeris"/>
                      <w:tag w:val="nr_70cce18a18074b5db875c713b40beab0"/>
                      <w:lock w:val="sdtLocked"/>
                      <w:richText/>
                    </w:sdtPr>
                    <w:sdtContent>
                      <w:r>
                        <w:t>2.2</w:t>
                      </w:r>
                    </w:sdtContent>
                  </w:sdt>
                  <w:r>
                    <w:t>. valstybės institucijų veiksmų koordinavimo integruojant tautines mažumas į Lietuvos politinį, visuomeninį ir kultūrinį gyvenimą:</w:t>
                  </w:r>
                </w:p>
                <w:sdt>
                  <w:sdtPr>
                    <w:alias w:val="2.2.1 pp."/>
                    <w:tag w:val="part_014938ad99254e06b758a52e748ca46b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</w:pPr>
                      <w:sdt>
                        <w:sdtPr>
                          <w:alias w:val="Numeris"/>
                          <w:tag w:val="nr_014938ad99254e06b758a52e748ca46b"/>
                          <w:lock w:val="sdtLocked"/>
                          <w:richText/>
                        </w:sdtPr>
                        <w:sdtContent>
                          <w:r>
                            <w:t>2.2.1</w:t>
                          </w:r>
                        </w:sdtContent>
                      </w:sdt>
                      <w:r>
                        <w:t>. naujai atvykstančių tautinių bendrijų atstovų integracijos į Lietuvos visuomenę;</w:t>
                      </w:r>
                    </w:p>
                  </w:sdtContent>
                </w:sdt>
                <w:sdt>
                  <w:sdtPr>
                    <w:alias w:val="2.2.2 pp."/>
                    <w:tag w:val="part_be336c974c09490c862494dcfacc99ba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</w:pPr>
                      <w:sdt>
                        <w:sdtPr>
                          <w:alias w:val="Numeris"/>
                          <w:tag w:val="nr_be336c974c09490c862494dcfacc99ba"/>
                          <w:lock w:val="sdtLocked"/>
                          <w:richText/>
                        </w:sdtPr>
                        <w:sdtContent>
                          <w:r>
                            <w:t>2.2.2</w:t>
                          </w:r>
                        </w:sdtContent>
                      </w:sdt>
                      <w:r>
                        <w:t>. tarpinstitucinio bendradarbiavimo tautinių mažumų politikos įgyvendinimo srityje tobulinimo;</w:t>
                      </w:r>
                    </w:p>
                  </w:sdtContent>
                </w:sdt>
              </w:sdtContent>
            </w:sdt>
            <w:sdt>
              <w:sdtPr>
                <w:alias w:val="2.3 pp."/>
                <w:tag w:val="part_e62614c3be464b6085f97a403ee41cd6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</w:pPr>
                  <w:sdt>
                    <w:sdtPr>
                      <w:alias w:val="Numeris"/>
                      <w:tag w:val="nr_e62614c3be464b6085f97a403ee41cd6"/>
                      <w:lock w:val="sdtLocked"/>
                      <w:richText/>
                    </w:sdtPr>
                    <w:sdtContent>
                      <w:r>
                        <w:t>2.3</w:t>
                      </w:r>
                    </w:sdtContent>
                  </w:sdt>
                  <w:r>
                    <w:t xml:space="preserve">. tautinių mažumų politikai įgyvendinti reikalingų teisės aktų rengimo ir tobulinimo; </w:t>
                  </w:r>
                </w:p>
              </w:sdtContent>
            </w:sdt>
            <w:sdt>
              <w:sdtPr>
                <w:alias w:val="2.4 pp."/>
                <w:tag w:val="part_1de1ef31f25942e48f843bc5c408c3e3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</w:pPr>
                  <w:sdt>
                    <w:sdtPr>
                      <w:alias w:val="Numeris"/>
                      <w:tag w:val="nr_1de1ef31f25942e48f843bc5c408c3e3"/>
                      <w:lock w:val="sdtLocked"/>
                      <w:richText/>
                    </w:sdtPr>
                    <w:sdtContent>
                      <w:r>
                        <w:rPr>
                          <w:lang w:eastAsia="lt-LT"/>
                        </w:rPr>
                        <w:t>2.4</w:t>
                      </w:r>
                    </w:sdtContent>
                  </w:sdt>
                  <w:r>
                    <w:rPr>
                      <w:lang w:eastAsia="lt-LT"/>
                    </w:rPr>
                    <w:t>. t</w:t>
                  </w:r>
                  <w:r>
                    <w:t>arptautinių įsipareigojimų įgyvendinimo tautinių mažumų teisių užtikrinimo srityje;</w:t>
                  </w:r>
                </w:p>
              </w:sdtContent>
            </w:sdt>
            <w:sdt>
              <w:sdtPr>
                <w:alias w:val="2.5 pp."/>
                <w:tag w:val="part_fd00d3f3a5dc491291ccc4cb08ddabab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lang w:eastAsia="lt-LT"/>
                    </w:rPr>
                  </w:pPr>
                  <w:sdt>
                    <w:sdtPr>
                      <w:alias w:val="Numeris"/>
                      <w:tag w:val="nr_fd00d3f3a5dc491291ccc4cb08ddabab"/>
                      <w:lock w:val="sdtLocked"/>
                      <w:richText/>
                    </w:sdtPr>
                    <w:sdtContent>
                      <w:r>
                        <w:rPr>
                          <w:lang w:eastAsia="lt-LT"/>
                        </w:rPr>
                        <w:t>2.5</w:t>
                      </w:r>
                    </w:sdtContent>
                  </w:sdt>
                  <w:r>
                    <w:rPr>
                      <w:lang w:eastAsia="lt-LT"/>
                    </w:rPr>
                    <w:t xml:space="preserve">. </w:t>
                  </w:r>
                  <w:r>
                    <w:t>Lietuvos tautinių mažumų padėties kitų gerinimo priemonių.</w:t>
                  </w:r>
                </w:p>
              </w:sdtContent>
            </w:sdt>
          </w:sdtContent>
        </w:sdt>
        <w:sdt>
          <w:sdtPr>
            <w:alias w:val="3 p."/>
            <w:tag w:val="part_b2a493206bf949eab8b522c88d38235e"/>
            <w:lock w:val="sdtLocked"/>
            <w:richText/>
          </w:sdtPr>
          <w:sdtContent>
            <w:p>
              <w:pPr>
                <w:spacing w:line="360" w:lineRule="auto"/>
                <w:ind w:firstLine="720"/>
                <w:jc w:val="both"/>
                <w:rPr>
                  <w:lang w:eastAsia="lt-LT"/>
                </w:rPr>
              </w:pPr>
              <w:sdt>
                <w:sdtPr>
                  <w:alias w:val="Numeris"/>
                  <w:tag w:val="nr_b2a493206bf949eab8b522c88d38235e"/>
                  <w:lock w:val="sdtLocked"/>
                  <w:richText/>
                </w:sdtPr>
                <w:sdtContent>
                  <w:r>
                    <w:rPr>
                      <w:color w:val="000000"/>
                    </w:rPr>
                    <w:t>3</w:t>
                  </w:r>
                </w:sdtContent>
              </w:sdt>
              <w:r>
                <w:rPr>
                  <w:color w:val="000000"/>
                </w:rPr>
                <w:t xml:space="preserve">. Įpareigoti Komisiją kartą per metus atsiskaityti Lietuvos Respublikos Vyriausybei už savo uždavinių įgyvendinimą. </w:t>
              </w:r>
            </w:p>
          </w:sdtContent>
        </w:sdt>
        <w:sdt>
          <w:sdtPr>
            <w:alias w:val="4 p."/>
            <w:tag w:val="part_219ebf45cf2942fa9dff0dbd146af18c"/>
            <w:lock w:val="sdtLocked"/>
            <w:richText/>
          </w:sdtPr>
          <w:sdtContent>
            <w:p>
              <w:pPr>
                <w:spacing w:line="360" w:lineRule="auto"/>
                <w:ind w:firstLine="720"/>
                <w:jc w:val="both"/>
                <w:rPr>
                  <w:lang w:eastAsia="lt-LT"/>
                </w:rPr>
              </w:pPr>
              <w:sdt>
                <w:sdtPr>
                  <w:alias w:val="Numeris"/>
                  <w:tag w:val="nr_219ebf45cf2942fa9dff0dbd146af18c"/>
                  <w:lock w:val="sdtLocked"/>
                  <w:richText/>
                </w:sdtPr>
                <w:sdtContent>
                  <w:r>
                    <w:rPr>
                      <w:lang w:eastAsia="lt-LT"/>
                    </w:rPr>
                    <w:t>4</w:t>
                  </w:r>
                </w:sdtContent>
              </w:sdt>
              <w:r>
                <w:rPr>
                  <w:lang w:eastAsia="lt-LT"/>
                </w:rPr>
                <w:t>. Nustatyti, kad:</w:t>
              </w:r>
            </w:p>
            <w:sdt>
              <w:sdtPr>
                <w:alias w:val="4.1 pp."/>
                <w:tag w:val="part_5c960ddf4ed5455e8fe0a55eb87d43ec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lang w:eastAsia="lt-LT"/>
                    </w:rPr>
                  </w:pPr>
                  <w:sdt>
                    <w:sdtPr>
                      <w:alias w:val="Numeris"/>
                      <w:tag w:val="nr_5c960ddf4ed5455e8fe0a55eb87d43ec"/>
                      <w:lock w:val="sdtLocked"/>
                      <w:richText/>
                    </w:sdtPr>
                    <w:sdtContent>
                      <w:r>
                        <w:rPr>
                          <w:lang w:eastAsia="lt-LT"/>
                        </w:rPr>
                        <w:t>4.1</w:t>
                      </w:r>
                    </w:sdtContent>
                  </w:sdt>
                  <w:r>
                    <w:rPr>
                      <w:lang w:eastAsia="lt-LT"/>
                    </w:rPr>
                    <w:t>. Komisijos personalinę sudėtį tvirtina Ministras Pirmininkas;</w:t>
                  </w:r>
                </w:p>
              </w:sdtContent>
            </w:sdt>
            <w:sdt>
              <w:sdtPr>
                <w:alias w:val="4.2 pp."/>
                <w:tag w:val="part_f08cda86e95c48fb95ad6c3156a11524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lang w:eastAsia="lt-LT"/>
                    </w:rPr>
                  </w:pPr>
                  <w:sdt>
                    <w:sdtPr>
                      <w:alias w:val="Numeris"/>
                      <w:tag w:val="nr_f08cda86e95c48fb95ad6c3156a11524"/>
                      <w:lock w:val="sdtLocked"/>
                      <w:richText/>
                    </w:sdtPr>
                    <w:sdtContent>
                      <w:r>
                        <w:rPr>
                          <w:lang w:eastAsia="lt-LT"/>
                        </w:rPr>
                        <w:t>4.2</w:t>
                      </w:r>
                    </w:sdtContent>
                  </w:sdt>
                  <w:r>
                    <w:rPr>
                      <w:lang w:eastAsia="lt-LT"/>
                    </w:rPr>
                    <w:t>. Komisijos posėdžiai vyksta ne rečiau kaip kartą per 6 mėnesius;</w:t>
                  </w:r>
                </w:p>
              </w:sdtContent>
            </w:sdt>
            <w:sdt>
              <w:sdtPr>
                <w:alias w:val="4.3 pp."/>
                <w:tag w:val="part_85d84cb6042e4856b7dbbe0ef4ff6d6c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85d84cb6042e4856b7dbbe0ef4ff6d6c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4.3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 Komisija prireikus gali pasitelkti nepriklausomų ekspertų, valstybės ir savivaldybių institucijų ir įstaigų bei kitų organizacijų atstovų.</w:t>
                  </w:r>
                </w:p>
                <w:p>
                  <w:pPr>
                    <w:spacing w:line="360" w:lineRule="atLeast"/>
                    <w:ind w:left="720"/>
                    <w:jc w:val="both"/>
                    <w:rPr>
                      <w:szCs w:val="24"/>
                      <w:lang w:eastAsia="lt-LT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a2e7f71d7e5e4e74b3869c07cf050cf1"/>
            <w:lock w:val="sdtLocked"/>
            <w:richText/>
          </w:sdtPr>
          <w:sdtContent>
            <w:p>
              <w:pPr>
                <w:spacing w:line="360" w:lineRule="atLeast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Ministras Pirmininkas</w:t>
              </w:r>
            </w:p>
            <w:p>
              <w:pPr>
                <w:spacing w:line="360" w:lineRule="atLeast"/>
                <w:ind w:left="720"/>
                <w:jc w:val="both"/>
                <w:rPr>
                  <w:szCs w:val="24"/>
                  <w:lang w:eastAsia="lt-LT"/>
                </w:rPr>
              </w:pPr>
            </w:p>
            <w:p>
              <w:pPr>
                <w:spacing w:line="360" w:lineRule="atLeast"/>
                <w:jc w:val="both"/>
                <w:rPr>
                  <w:lang w:eastAsia="lt-LT"/>
                </w:rPr>
              </w:pPr>
              <w:r>
                <w:rPr>
                  <w:szCs w:val="24"/>
                  <w:lang w:eastAsia="lt-LT"/>
                </w:rPr>
                <w:t>Kultūros ministras</w:t>
              </w:r>
            </w:p>
            <w:p>
              <w:pPr>
                <w:spacing w:line="360" w:lineRule="auto"/>
                <w:ind w:left="1080"/>
                <w:jc w:val="both"/>
                <w:rPr>
                  <w:lang w:eastAsia="lt-LT"/>
                </w:rPr>
              </w:pPr>
            </w:p>
            <w:p>
              <w:pPr>
                <w:spacing w:line="360" w:lineRule="auto"/>
                <w:ind w:left="1080"/>
                <w:jc w:val="both"/>
                <w:rPr>
                  <w:lang w:eastAsia="lt-LT"/>
                </w:rPr>
              </w:pPr>
            </w:p>
            <w:p>
              <w:pPr>
                <w:spacing w:line="360" w:lineRule="auto"/>
              </w:pPr>
            </w:p>
          </w:sdtContent>
        </w:sdt>
      </w:sdtContent>
    </w:sdt>
    <w:sectPr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493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35a8d147f3254b44832e0868f5a1c513" PartId="92daae8830204e7ab83267da516223e7">
    <Part Type="preambule" DocPartId="5dd8bfb2459a44ac9b48b231438bb1fa" PartId="3183f7aa6c7847a289935bf76f0d7146"/>
    <Part Type="punktas" Nr="1" Abbr="1 p." DocPartId="28f27f6a587e4394a9dd3e2dba3a00e3" PartId="81b891ffec2547799e01773fae142889"/>
    <Part Type="punktas" Nr="2" Abbr="2 p." DocPartId="407a7bba8c374461b9025581dc5d487b" PartId="b2e16634f8b345d89d008dba819fa883">
      <Part Type="papunktis" Nr="2.1" Abbr="2.1 pp." DocPartId="3e74fe2f79ee48c1aa45b52a7295acaf" PartId="39f5f6ce73c942f988d701b2049b4904">
        <Part Type="papunktis" Nr="2.1.1" Abbr="2.1.1 pp." DocPartId="e83e3941640843f1b3a1f21a27ee999b" PartId="b62298796533498ab667c79c42bf0a63"/>
        <Part Type="papunktis" Nr="2.1.2" Abbr="2.1.2 pp." DocPartId="c183a0f61a744ef8b7aa707982c4e772" PartId="0a90a7f16265473ea87923d8054e7e40"/>
        <Part Type="papunktis" Nr="2.1.3" Abbr="2.1.3 pp." DocPartId="7fa13c8085ac4c27b1b3eaa424368f07" PartId="d28ca3726ca045daa63a17a014cffb97"/>
        <Part Type="papunktis" Nr="2.1.4" Abbr="2.1.4 pp." DocPartId="661c377519184f25b3acdb2ddef7bf40" PartId="c8390b72ecf14f3189d35d5bc6433239"/>
      </Part>
      <Part Type="papunktis" Nr="2.2" Abbr="2.2 pp." DocPartId="50b62adc6fbf47eb877ea76eff944b43" PartId="70cce18a18074b5db875c713b40beab0">
        <Part Type="papunktis" Nr="2.2.1" Abbr="2.2.1 pp." DocPartId="3f16c8ad3a504097b52734ffc0c66344" PartId="014938ad99254e06b758a52e748ca46b"/>
        <Part Type="papunktis" Nr="2.2.2" Abbr="2.2.2 pp." DocPartId="3e9cee74865444b0893bacadb2c06ad8" PartId="be336c974c09490c862494dcfacc99ba"/>
      </Part>
      <Part Type="papunktis" Nr="2.3" Abbr="2.3 pp." DocPartId="c517741ae4144097814a83024231c3b4" PartId="e62614c3be464b6085f97a403ee41cd6"/>
      <Part Type="papunktis" Nr="2.4" Abbr="2.4 pp." DocPartId="10260ade30ce4cb28bd8bd828719464d" PartId="1de1ef31f25942e48f843bc5c408c3e3"/>
      <Part Type="papunktis" Nr="2.5" Abbr="2.5 pp." DocPartId="2c13ce4efd444dad8fae5f2cc8bc38c9" PartId="fd00d3f3a5dc491291ccc4cb08ddabab"/>
    </Part>
    <Part Type="punktas" Nr="3" Abbr="3 p." DocPartId="b986b652210c43ef8a4575d0ca0c2356" PartId="b2a493206bf949eab8b522c88d38235e"/>
    <Part Type="punktas" Nr="4" Abbr="4 p." DocPartId="0508bdb3aefb41baa92fb98596ddfd11" PartId="219ebf45cf2942fa9dff0dbd146af18c">
      <Part Type="papunktis" Nr="4.1" Abbr="4.1 pp." DocPartId="eacad03f161d496198258df5c4d15079" PartId="5c960ddf4ed5455e8fe0a55eb87d43ec"/>
      <Part Type="papunktis" Nr="4.2" Abbr="4.2 pp." DocPartId="96d696b7249c462a90e69acd58398bb5" PartId="f08cda86e95c48fb95ad6c3156a11524"/>
      <Part Type="papunktis" Nr="4.3" Abbr="4.3 pp." DocPartId="03a9b05d596640b0affd55aa56ed895e" PartId="85d84cb6042e4856b7dbbe0ef4ff6d6c"/>
    </Part>
    <Part Type="signatura" DocPartId="2a185ed095764277a41c2559734f4f65" PartId="a2e7f71d7e5e4e74b3869c07cf050cf1"/>
  </Part>
</Parts>
</file>

<file path=customXml/itemProps1.xml><?xml version="1.0" encoding="utf-8"?>
<ds:datastoreItem xmlns:ds="http://schemas.openxmlformats.org/officeDocument/2006/customXml" ds:itemID="{AD96F166-40ED-43B1-A994-EA3127FA0F2E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2349</Characters>
  <Application>Microsoft Office Word</Application>
  <DocSecurity>4</DocSecurity>
  <Lines>61</Lines>
  <Paragraphs>46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2019-12-16T13:32:00Z</dcterms:created>
  <dc:creator>Diana Varnaitė</dc:creator>
  <cp:lastModifiedBy>Asseco</cp:lastModifiedBy>
  <cp:lastPrinted>2019-11-11T14:17:00Z</cp:lastPrinted>
  <dcterms:modified xsi:type="dcterms:W3CDTF">2019-12-16T13:32:00Z</dcterms:modified>
  <cp:revision>2</cp:revision>
</cp:coreProperties>
</file>