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6d3ed5325284e8b82760d2ef3427d3e"/>
        <w:lock w:val="sdtLocked"/>
        <w:richText/>
      </w:sdtPr>
      <w:sdtContent>
        <w:p w14:paraId="2ED78BCE" w14:textId="77777777">
          <w:pPr>
            <w:tabs>
              <w:tab w:val="center" w:pos="4986"/>
              <w:tab w:val="right" w:pos="9972"/>
            </w:tabs>
            <w:rPr>
              <w:szCs w:val="24"/>
              <w:lang w:val="en-GB"/>
            </w:rPr>
          </w:pPr>
        </w:p>
        <w:p w14:paraId="4C41859A" w14:textId="211CF350">
          <w:pPr>
            <w:keepNext/>
            <w:spacing w:line="276" w:lineRule="auto"/>
            <w:ind w:left="5040" w:firstLine="720"/>
            <w:jc w:val="right"/>
            <w:outlineLvl w:val="2"/>
            <w:rPr>
              <w:b/>
              <w:bCs/>
              <w:szCs w:val="24"/>
            </w:rPr>
          </w:pPr>
          <w:r>
            <w:rPr>
              <w:b/>
              <w:bCs/>
              <w:szCs w:val="24"/>
            </w:rPr>
            <w:t>Projektas</w:t>
          </w:r>
        </w:p>
        <w:p w14:paraId="49165384" w14:textId="77777777">
          <w:pPr>
            <w:spacing w:line="276" w:lineRule="auto"/>
            <w:jc w:val="center"/>
            <w:rPr>
              <w:b/>
              <w:bCs/>
              <w:szCs w:val="24"/>
            </w:rPr>
          </w:pPr>
        </w:p>
        <w:p w14:paraId="788EBFF3" w14:textId="77777777">
          <w:pPr>
            <w:spacing w:line="276" w:lineRule="auto"/>
            <w:jc w:val="center"/>
            <w:rPr>
              <w:b/>
              <w:bCs/>
              <w:szCs w:val="24"/>
            </w:rPr>
          </w:pPr>
          <w:r>
            <w:rPr>
              <w:b/>
              <w:bCs/>
              <w:szCs w:val="24"/>
            </w:rPr>
            <w:t>LIETUVOS RESPUBLIKOS VYRIAUSYBĖ</w:t>
          </w:r>
        </w:p>
        <w:p w14:paraId="1766B4AE" w14:textId="77777777">
          <w:pPr>
            <w:spacing w:line="276" w:lineRule="auto"/>
            <w:jc w:val="center"/>
            <w:rPr>
              <w:b/>
              <w:bCs/>
              <w:szCs w:val="24"/>
            </w:rPr>
          </w:pPr>
        </w:p>
        <w:p w14:paraId="5A2E4429" w14:textId="77777777">
          <w:pPr>
            <w:keepNext/>
            <w:spacing w:line="276" w:lineRule="auto"/>
            <w:jc w:val="center"/>
            <w:rPr>
              <w:b/>
              <w:bCs/>
              <w:szCs w:val="24"/>
            </w:rPr>
          </w:pPr>
          <w:r>
            <w:rPr>
              <w:b/>
              <w:bCs/>
              <w:szCs w:val="24"/>
            </w:rPr>
            <w:t>NUTARIMAS</w:t>
          </w:r>
        </w:p>
        <w:p w14:paraId="3BF9C7A4" w14:textId="4344F92B">
          <w:pPr>
            <w:spacing w:line="276" w:lineRule="auto"/>
            <w:jc w:val="center"/>
            <w:rPr>
              <w:b/>
              <w:bCs/>
              <w:szCs w:val="24"/>
            </w:rPr>
          </w:pPr>
          <w:r>
            <w:rPr>
              <w:b/>
              <w:bCs/>
              <w:szCs w:val="24"/>
            </w:rPr>
            <w:t xml:space="preserve">DĖL </w:t>
          </w:r>
          <w:r>
            <w:rPr>
              <w:b/>
              <w:szCs w:val="24"/>
            </w:rPr>
            <w:t>INTELEKTINĖS NUOSAVYBĖS APSAUGOS KOORDINAVIMO KOMISIJOS SUDARYMO</w:t>
          </w:r>
        </w:p>
        <w:p w14:paraId="7AD815FA" w14:textId="77777777">
          <w:pPr>
            <w:spacing w:line="276" w:lineRule="auto"/>
            <w:rPr>
              <w:szCs w:val="24"/>
            </w:rPr>
          </w:pPr>
        </w:p>
        <w:p w14:paraId="4ED001D8" w14:textId="203E7583">
          <w:pPr>
            <w:spacing w:line="276" w:lineRule="auto"/>
            <w:jc w:val="center"/>
            <w:rPr>
              <w:szCs w:val="24"/>
            </w:rPr>
          </w:pPr>
          <w:r>
            <w:rPr>
              <w:szCs w:val="24"/>
            </w:rPr>
            <w:t>2020 m.</w:t>
            <w:tab/>
            <w:tab/>
            <w:t xml:space="preserve">d. Nr.  </w:t>
          </w:r>
        </w:p>
        <w:p w14:paraId="1CE39636" w14:textId="77777777">
          <w:pPr>
            <w:spacing w:line="276" w:lineRule="auto"/>
            <w:jc w:val="center"/>
            <w:rPr>
              <w:szCs w:val="24"/>
            </w:rPr>
          </w:pPr>
          <w:r>
            <w:rPr>
              <w:szCs w:val="24"/>
            </w:rPr>
            <w:t>Vilnius</w:t>
          </w:r>
        </w:p>
        <w:p w14:paraId="620647D1" w14:textId="77777777">
          <w:pPr>
            <w:spacing w:line="276" w:lineRule="auto"/>
            <w:rPr>
              <w:szCs w:val="24"/>
            </w:rPr>
          </w:pPr>
        </w:p>
        <w:sdt>
          <w:sdtPr>
            <w:alias w:val="preambule"/>
            <w:tag w:val="part_0a527f8deab44ec2b43c7b2c31229585"/>
            <w:lock w:val="sdtLocked"/>
            <w:richText/>
          </w:sdtPr>
          <w:sdtContent>
            <w:p w14:paraId="25FE1197" w14:textId="4FAD6FF3">
              <w:pPr>
                <w:spacing w:line="276" w:lineRule="auto"/>
                <w:ind w:firstLine="851"/>
                <w:jc w:val="both"/>
                <w:rPr>
                  <w:szCs w:val="24"/>
                </w:rPr>
              </w:pPr>
              <w:r>
                <w:rPr>
                  <w:szCs w:val="24"/>
                </w:rPr>
                <w:t>Siekdama stiprinti intelektinės nuosavybės apsaugą ir vadovaudamasi Lietuvos Respublikos Vyriausybės įstatymo 22 straipsnio 15 punktu ir 27 straipsnio 1, 4 ir 5 dalimis, Lietuvos Respublikos Vyriausybė</w:t>
              </w:r>
              <w:r>
                <w:rPr>
                  <w:spacing w:val="80"/>
                  <w:szCs w:val="24"/>
                </w:rPr>
                <w:t xml:space="preserve"> nutari</w:t>
              </w:r>
              <w:r>
                <w:rPr>
                  <w:szCs w:val="24"/>
                </w:rPr>
                <w:t>a:</w:t>
              </w:r>
            </w:p>
          </w:sdtContent>
        </w:sdt>
        <w:sdt>
          <w:sdtPr>
            <w:alias w:val="1 p."/>
            <w:tag w:val="part_e23239068d174a68bd9c1fb553997ad7"/>
            <w:lock w:val="sdtLocked"/>
            <w:richText/>
          </w:sdtPr>
          <w:sdtContent>
            <w:p w14:paraId="35630B3E" w14:textId="44276175">
              <w:pPr>
                <w:spacing w:line="276" w:lineRule="auto"/>
                <w:ind w:firstLine="851"/>
                <w:jc w:val="both"/>
                <w:rPr>
                  <w:szCs w:val="24"/>
                </w:rPr>
              </w:pPr>
              <w:sdt>
                <w:sdtPr>
                  <w:alias w:val="Numeris"/>
                  <w:tag w:val="nr_e23239068d174a68bd9c1fb553997ad7"/>
                  <w:lock w:val="sdtLocked"/>
                  <w:richText/>
                </w:sdtPr>
                <w:sdtContent>
                  <w:r>
                    <w:rPr>
                      <w:color w:val="000000"/>
                      <w:szCs w:val="24"/>
                    </w:rPr>
                    <w:t>1</w:t>
                  </w:r>
                </w:sdtContent>
              </w:sdt>
              <w:r>
                <w:rPr>
                  <w:color w:val="000000"/>
                  <w:szCs w:val="24"/>
                </w:rPr>
                <w:t xml:space="preserve">. </w:t>
              </w:r>
              <w:r>
                <w:rPr>
                  <w:szCs w:val="24"/>
                </w:rPr>
                <w:t>Sudaryti Intelektinės nuosavybės apsaugos koordinavimo komisiją (toliau – komisija):</w:t>
              </w:r>
            </w:p>
            <w:p w14:paraId="46F1FA53" w14:textId="104A02C0">
              <w:pPr>
                <w:spacing w:line="276" w:lineRule="auto"/>
                <w:ind w:firstLine="851"/>
                <w:jc w:val="both"/>
                <w:rPr>
                  <w:szCs w:val="24"/>
                </w:rPr>
              </w:pPr>
              <w:r>
                <w:rPr>
                  <w:szCs w:val="24"/>
                </w:rPr>
                <w:t>Lietuvos Respublikos teisingumo ministras arba teisingumo viceministras (komisijos pirmininkas);</w:t>
              </w:r>
            </w:p>
            <w:p w14:paraId="31F327B5" w14:textId="71166A39">
              <w:pPr>
                <w:spacing w:line="276" w:lineRule="auto"/>
                <w:ind w:firstLine="851"/>
                <w:jc w:val="both"/>
                <w:rPr>
                  <w:szCs w:val="24"/>
                </w:rPr>
              </w:pPr>
              <w:r>
                <w:rPr>
                  <w:szCs w:val="24"/>
                </w:rPr>
                <w:t>Lietuvos Respublikos kultūros ministras arba kultūros viceministras (komisijos pirmininko pavaduotojas);</w:t>
              </w:r>
            </w:p>
            <w:p w14:paraId="2C7D9DF7" w14:textId="77777777">
              <w:pPr>
                <w:spacing w:line="276" w:lineRule="auto"/>
                <w:ind w:firstLine="851"/>
                <w:jc w:val="both"/>
                <w:rPr>
                  <w:szCs w:val="24"/>
                </w:rPr>
              </w:pPr>
              <w:r>
                <w:rPr>
                  <w:szCs w:val="24"/>
                </w:rPr>
                <w:t>Lietuvos Respublikos ekonomikos ir inovacijų ministras arba ekonomikos ir inovacijų viceministras;</w:t>
              </w:r>
            </w:p>
            <w:p w14:paraId="17776E64" w14:textId="68C81057">
              <w:pPr>
                <w:spacing w:line="276" w:lineRule="auto"/>
                <w:ind w:firstLine="851"/>
                <w:jc w:val="both"/>
                <w:rPr>
                  <w:szCs w:val="24"/>
                </w:rPr>
              </w:pPr>
              <w:r>
                <w:rPr>
                  <w:szCs w:val="24"/>
                </w:rPr>
                <w:t>Lietuvos Respublikos generalinis prokuroras arba jo pavaduotojas;</w:t>
              </w:r>
            </w:p>
            <w:p w14:paraId="58472989" w14:textId="05F94D54">
              <w:pPr>
                <w:spacing w:line="276" w:lineRule="auto"/>
                <w:ind w:firstLine="851"/>
                <w:jc w:val="both"/>
                <w:rPr>
                  <w:szCs w:val="24"/>
                </w:rPr>
              </w:pPr>
              <w:r>
                <w:rPr>
                  <w:szCs w:val="24"/>
                </w:rPr>
                <w:t>Lietuvos Respublikos švietimo, mokslo ir sporto ministras arba švietimo, mokslo ir sporto viceministras;</w:t>
              </w:r>
            </w:p>
            <w:p w14:paraId="5F43CD00" w14:textId="59EB3D2F">
              <w:pPr>
                <w:spacing w:line="276" w:lineRule="auto"/>
                <w:ind w:firstLine="851"/>
                <w:jc w:val="both"/>
                <w:rPr>
                  <w:szCs w:val="24"/>
                </w:rPr>
              </w:pPr>
              <w:r>
                <w:rPr>
                  <w:szCs w:val="24"/>
                </w:rPr>
                <w:t>Lietuvos Respublikos užsienio reikalų ministras arba užsienio reikalų viceministras;</w:t>
              </w:r>
            </w:p>
            <w:p w14:paraId="471C5FF4" w14:textId="3E4EB530">
              <w:pPr>
                <w:spacing w:line="276" w:lineRule="auto"/>
                <w:ind w:firstLine="851"/>
                <w:jc w:val="both"/>
                <w:rPr>
                  <w:color w:val="000000"/>
                  <w:szCs w:val="24"/>
                </w:rPr>
              </w:pPr>
              <w:r>
                <w:rPr>
                  <w:color w:val="000000"/>
                  <w:szCs w:val="24"/>
                </w:rPr>
                <w:t>Lietuvos Respublikos valstybinio patentų biuro direktorius arba jo pavaduotojas;</w:t>
              </w:r>
            </w:p>
            <w:p w14:paraId="2699DD26" w14:textId="04877A6C">
              <w:pPr>
                <w:spacing w:line="276" w:lineRule="auto"/>
                <w:ind w:firstLine="851"/>
                <w:jc w:val="both"/>
                <w:rPr>
                  <w:szCs w:val="24"/>
                </w:rPr>
              </w:pPr>
              <w:r>
                <w:rPr>
                  <w:szCs w:val="24"/>
                </w:rPr>
                <w:t>Lietuvos Respublikos žemės ūkio ministras arba žemės ūkio viceministras;</w:t>
              </w:r>
            </w:p>
            <w:p w14:paraId="77C5B58C" w14:textId="388AC259">
              <w:pPr>
                <w:spacing w:line="276" w:lineRule="auto"/>
                <w:ind w:firstLine="851"/>
                <w:jc w:val="both"/>
                <w:rPr>
                  <w:szCs w:val="24"/>
                </w:rPr>
              </w:pPr>
              <w:r>
                <w:rPr>
                  <w:szCs w:val="24"/>
                </w:rPr>
                <w:t>Nacionalinės teismų administracijos direktorius arba jo pavaduotojas.</w:t>
              </w:r>
            </w:p>
          </w:sdtContent>
        </w:sdt>
        <w:sdt>
          <w:sdtPr>
            <w:alias w:val="2 p."/>
            <w:tag w:val="part_833d243a7b144e2ab65837c8c96df1fe"/>
            <w:lock w:val="sdtLocked"/>
            <w:richText/>
          </w:sdtPr>
          <w:sdtContent>
            <w:p w14:paraId="31D486F0" w14:textId="1BD12B18">
              <w:pPr>
                <w:spacing w:line="276" w:lineRule="auto"/>
                <w:ind w:firstLine="851"/>
                <w:jc w:val="both"/>
                <w:rPr>
                  <w:color w:val="000000"/>
                  <w:szCs w:val="24"/>
                </w:rPr>
              </w:pPr>
              <w:sdt>
                <w:sdtPr>
                  <w:alias w:val="Numeris"/>
                  <w:tag w:val="nr_833d243a7b144e2ab65837c8c96df1fe"/>
                  <w:lock w:val="sdtLocked"/>
                  <w:richText/>
                </w:sdtPr>
                <w:sdtContent>
                  <w:r>
                    <w:rPr>
                      <w:color w:val="000000"/>
                      <w:szCs w:val="24"/>
                    </w:rPr>
                    <w:t>2</w:t>
                  </w:r>
                </w:sdtContent>
              </w:sdt>
              <w:r>
                <w:rPr>
                  <w:color w:val="000000"/>
                  <w:szCs w:val="24"/>
                </w:rPr>
                <w:t xml:space="preserve">. Nustatyti, kad komisijos narį, laikinai negalintį eiti pareigų (dėl ligos, atostogų, komandiruočių ar kitų svarbių priežasčių), pavaduoja kartu su komisijos nariu deleguojamas pakaitinis komisijos narys – atitinkamos institucijos struktūrinio padalinio, kurio veikla susijusi su intelektine nuosavybe, vadovas. </w:t>
              </w:r>
            </w:p>
          </w:sdtContent>
        </w:sdt>
        <w:sdt>
          <w:sdtPr>
            <w:alias w:val="3 p."/>
            <w:tag w:val="part_1447a0254bf54a1fab2110453f35e9be"/>
            <w:lock w:val="sdtLocked"/>
            <w:richText/>
          </w:sdtPr>
          <w:sdtContent>
            <w:p w14:paraId="1E57F3E9" w14:textId="65AC0D51">
              <w:pPr>
                <w:spacing w:line="276" w:lineRule="auto"/>
                <w:ind w:firstLine="851"/>
                <w:jc w:val="both"/>
                <w:rPr>
                  <w:color w:val="000000"/>
                  <w:szCs w:val="24"/>
                </w:rPr>
              </w:pPr>
              <w:sdt>
                <w:sdtPr>
                  <w:alias w:val="Numeris"/>
                  <w:tag w:val="nr_1447a0254bf54a1fab2110453f35e9be"/>
                  <w:lock w:val="sdtLocked"/>
                  <w:richText/>
                </w:sdtPr>
                <w:sdtContent>
                  <w:r>
                    <w:rPr>
                      <w:color w:val="000000"/>
                      <w:szCs w:val="24"/>
                    </w:rPr>
                    <w:t>3</w:t>
                  </w:r>
                </w:sdtContent>
              </w:sdt>
              <w:r>
                <w:rPr>
                  <w:color w:val="000000"/>
                  <w:szCs w:val="24"/>
                </w:rPr>
                <w:t>. Nustatyti, kad stebėtojo teisėmis dalyvauti komisijos veikloje kviečiami:</w:t>
              </w:r>
            </w:p>
            <w:p w14:paraId="605FAF30" w14:textId="6981DB7F">
              <w:pPr>
                <w:spacing w:line="276" w:lineRule="auto"/>
                <w:ind w:firstLine="851"/>
                <w:jc w:val="both"/>
                <w:rPr>
                  <w:szCs w:val="24"/>
                </w:rPr>
              </w:pPr>
              <w:r>
                <w:rPr>
                  <w:szCs w:val="24"/>
                </w:rPr>
                <w:t>įstaigų, teikiančių paramą verslui, atstovai;</w:t>
              </w:r>
            </w:p>
            <w:p w14:paraId="4E1563A7" w14:textId="77777777">
              <w:pPr>
                <w:spacing w:line="276" w:lineRule="auto"/>
                <w:ind w:firstLine="851"/>
                <w:jc w:val="both"/>
                <w:rPr>
                  <w:szCs w:val="24"/>
                </w:rPr>
              </w:pPr>
              <w:r>
                <w:rPr>
                  <w:szCs w:val="24"/>
                </w:rPr>
                <w:t>Lietuvos advokatūros atstovas;</w:t>
              </w:r>
            </w:p>
            <w:p w14:paraId="32718F74" w14:textId="77777777">
              <w:pPr>
                <w:spacing w:line="276" w:lineRule="auto"/>
                <w:ind w:firstLine="851"/>
                <w:jc w:val="both"/>
                <w:rPr>
                  <w:szCs w:val="24"/>
                </w:rPr>
              </w:pPr>
              <w:r>
                <w:rPr>
                  <w:szCs w:val="24"/>
                </w:rPr>
                <w:t>Lietuvos autorių teisių ir gretutinių teisių komisijos atstovas;</w:t>
              </w:r>
            </w:p>
            <w:p w14:paraId="0724BCA6" w14:textId="4AFA167D">
              <w:pPr>
                <w:spacing w:line="276" w:lineRule="auto"/>
                <w:ind w:firstLine="851"/>
                <w:jc w:val="both"/>
                <w:rPr>
                  <w:szCs w:val="24"/>
                </w:rPr>
              </w:pPr>
              <w:r>
                <w:rPr>
                  <w:szCs w:val="24"/>
                </w:rPr>
                <w:t>Lietuvos mokslo tarybos atstovas;</w:t>
              </w:r>
            </w:p>
            <w:p w14:paraId="259CDB41" w14:textId="77777777">
              <w:pPr>
                <w:spacing w:line="276" w:lineRule="auto"/>
                <w:ind w:firstLine="851"/>
                <w:jc w:val="both"/>
                <w:rPr>
                  <w:szCs w:val="24"/>
                </w:rPr>
              </w:pPr>
              <w:r>
                <w:rPr>
                  <w:szCs w:val="24"/>
                </w:rPr>
                <w:t>Lietuvos radijo ir televizijos komisijos atstovas;</w:t>
              </w:r>
            </w:p>
            <w:p w14:paraId="0D94216F" w14:textId="77777777">
              <w:pPr>
                <w:spacing w:line="276" w:lineRule="auto"/>
                <w:ind w:firstLine="851"/>
                <w:jc w:val="both"/>
                <w:rPr>
                  <w:szCs w:val="24"/>
                </w:rPr>
              </w:pPr>
              <w:r>
                <w:rPr>
                  <w:color w:val="000000"/>
                  <w:szCs w:val="24"/>
                </w:rPr>
                <w:t>Lietuvos universitetų</w:t>
              </w:r>
              <w:r>
                <w:rPr>
                  <w:bCs/>
                  <w:color w:val="000000"/>
                  <w:szCs w:val="24"/>
                </w:rPr>
                <w:t xml:space="preserve"> </w:t>
              </w:r>
              <w:r>
                <w:rPr>
                  <w:color w:val="000000"/>
                  <w:szCs w:val="24"/>
                </w:rPr>
                <w:t xml:space="preserve">rektorių konferencijos </w:t>
              </w:r>
              <w:r>
                <w:rPr>
                  <w:szCs w:val="24"/>
                </w:rPr>
                <w:t>atstovas;</w:t>
              </w:r>
            </w:p>
            <w:p w14:paraId="06D36A7B" w14:textId="77777777">
              <w:pPr>
                <w:spacing w:line="276" w:lineRule="auto"/>
                <w:ind w:firstLine="851"/>
                <w:jc w:val="both"/>
                <w:rPr>
                  <w:color w:val="000000"/>
                  <w:szCs w:val="24"/>
                </w:rPr>
              </w:pPr>
              <w:r>
                <w:rPr>
                  <w:color w:val="000000"/>
                  <w:szCs w:val="24"/>
                </w:rPr>
                <w:t>Muitinės departamento prie Lietuvos Respublikos finansų ministerijos atstovas;</w:t>
              </w:r>
            </w:p>
            <w:p w14:paraId="2DD85942" w14:textId="39F506B2">
              <w:pPr>
                <w:spacing w:line="276" w:lineRule="auto"/>
                <w:ind w:firstLine="851"/>
                <w:jc w:val="both"/>
                <w:rPr>
                  <w:szCs w:val="24"/>
                </w:rPr>
              </w:pPr>
              <w:r>
                <w:rPr>
                  <w:szCs w:val="24"/>
                </w:rPr>
                <w:t>Nacionalinės švietimo agentūros atstovas;</w:t>
              </w:r>
            </w:p>
            <w:p w14:paraId="77A8AB46" w14:textId="77777777">
              <w:pPr>
                <w:spacing w:line="276" w:lineRule="auto"/>
                <w:ind w:firstLine="851"/>
                <w:jc w:val="both"/>
                <w:rPr>
                  <w:szCs w:val="24"/>
                </w:rPr>
              </w:pPr>
              <w:r>
                <w:rPr>
                  <w:szCs w:val="24"/>
                </w:rPr>
                <w:t>Patentinių patikėtinių instituto atstovas;</w:t>
              </w:r>
            </w:p>
            <w:p w14:paraId="1CBF9E48" w14:textId="5B272F46">
              <w:pPr>
                <w:spacing w:line="276" w:lineRule="auto"/>
                <w:ind w:firstLine="851"/>
                <w:jc w:val="both"/>
                <w:rPr>
                  <w:szCs w:val="24"/>
                </w:rPr>
              </w:pPr>
              <w:r>
                <w:rPr>
                  <w:szCs w:val="24"/>
                </w:rPr>
                <w:t>Policijos departamento prie Lietuvos Respublikos vidaus reikalų ministerijos atstovas.</w:t>
              </w:r>
            </w:p>
          </w:sdtContent>
        </w:sdt>
        <w:sdt>
          <w:sdtPr>
            <w:alias w:val="4 p."/>
            <w:tag w:val="part_db3a239c5959482486e6fc82c6761486"/>
            <w:lock w:val="sdtLocked"/>
            <w:richText/>
          </w:sdtPr>
          <w:sdtContent>
            <w:p w14:paraId="7CFF8B83" w14:textId="77777777">
              <w:pPr>
                <w:spacing w:line="276" w:lineRule="auto"/>
                <w:ind w:firstLine="851"/>
                <w:jc w:val="both"/>
                <w:rPr>
                  <w:szCs w:val="24"/>
                </w:rPr>
              </w:pPr>
              <w:sdt>
                <w:sdtPr>
                  <w:alias w:val="Numeris"/>
                  <w:tag w:val="nr_db3a239c5959482486e6fc82c6761486"/>
                  <w:lock w:val="sdtLocked"/>
                  <w:richText/>
                </w:sdtPr>
                <w:sdtContent>
                  <w:r>
                    <w:rPr>
                      <w:szCs w:val="24"/>
                    </w:rPr>
                    <w:t>4</w:t>
                  </w:r>
                </w:sdtContent>
              </w:sdt>
              <w:r>
                <w:rPr>
                  <w:szCs w:val="24"/>
                </w:rPr>
                <w:t xml:space="preserve">. Nustatyti, kad: </w:t>
              </w:r>
            </w:p>
            <w:sdt>
              <w:sdtPr>
                <w:alias w:val="4.1 pp."/>
                <w:tag w:val="part_e994440d6c684ee58f141e672c95edb4"/>
                <w:lock w:val="sdtLocked"/>
                <w:richText/>
              </w:sdtPr>
              <w:sdtContent>
                <w:p w14:paraId="6A3B5680" w14:textId="54B8D892">
                  <w:pPr>
                    <w:spacing w:line="276" w:lineRule="auto"/>
                    <w:ind w:firstLine="851"/>
                    <w:jc w:val="both"/>
                    <w:rPr>
                      <w:szCs w:val="24"/>
                    </w:rPr>
                  </w:pPr>
                  <w:sdt>
                    <w:sdtPr>
                      <w:alias w:val="Numeris"/>
                      <w:tag w:val="nr_e994440d6c684ee58f141e672c95edb4"/>
                      <w:lock w:val="sdtLocked"/>
                      <w:richText/>
                    </w:sdtPr>
                    <w:sdtContent>
                      <w:r>
                        <w:rPr>
                          <w:szCs w:val="24"/>
                        </w:rPr>
                        <w:t>4.1</w:t>
                      </w:r>
                    </w:sdtContent>
                  </w:sdt>
                  <w:r>
                    <w:rPr>
                      <w:szCs w:val="24"/>
                    </w:rPr>
                    <w:t>. komisijos užduotis – koordinuoti valstybės institucijų ir įstaigų veiksmus intelektinės nuosavybės apsaugos srityje;</w:t>
                  </w:r>
                </w:p>
              </w:sdtContent>
            </w:sdt>
            <w:sdt>
              <w:sdtPr>
                <w:alias w:val="4.2 pp."/>
                <w:tag w:val="part_a2ca0ce78fff43e181618ed0aa106768"/>
                <w:lock w:val="sdtLocked"/>
                <w:richText/>
              </w:sdtPr>
              <w:sdtContent>
                <w:p w14:paraId="622C63E2" w14:textId="336BB9A4">
                  <w:pPr>
                    <w:spacing w:line="276" w:lineRule="auto"/>
                    <w:ind w:firstLine="851"/>
                    <w:jc w:val="both"/>
                    <w:rPr>
                      <w:color w:val="000000"/>
                      <w:szCs w:val="24"/>
                    </w:rPr>
                  </w:pPr>
                  <w:sdt>
                    <w:sdtPr>
                      <w:alias w:val="Numeris"/>
                      <w:tag w:val="nr_a2ca0ce78fff43e181618ed0aa106768"/>
                      <w:lock w:val="sdtLocked"/>
                      <w:richText/>
                    </w:sdtPr>
                    <w:sdtContent>
                      <w:r>
                        <w:rPr>
                          <w:color w:val="000000"/>
                          <w:szCs w:val="24"/>
                        </w:rPr>
                        <w:t>4.2</w:t>
                      </w:r>
                    </w:sdtContent>
                  </w:sdt>
                  <w:r>
                    <w:rPr>
                      <w:color w:val="000000"/>
                      <w:szCs w:val="24"/>
                    </w:rPr>
                    <w:t>. komisija, įgyvendindama savo užduotį, atlieka šias funkcijas:</w:t>
                  </w:r>
                </w:p>
                <w:sdt>
                  <w:sdtPr>
                    <w:alias w:val="4.2.1 pp."/>
                    <w:tag w:val="part_aee558087a3c4414b0e9d1516dd9ded4"/>
                    <w:lock w:val="sdtLocked"/>
                    <w:richText/>
                  </w:sdtPr>
                  <w:sdtContent>
                    <w:p w14:paraId="60999788" w14:textId="0C7CC0CF">
                      <w:pPr>
                        <w:spacing w:line="276" w:lineRule="auto"/>
                        <w:ind w:firstLine="851"/>
                        <w:jc w:val="both"/>
                        <w:rPr>
                          <w:szCs w:val="24"/>
                        </w:rPr>
                      </w:pPr>
                      <w:sdt>
                        <w:sdtPr>
                          <w:alias w:val="Numeris"/>
                          <w:tag w:val="nr_aee558087a3c4414b0e9d1516dd9ded4"/>
                          <w:lock w:val="sdtLocked"/>
                          <w:richText/>
                        </w:sdtPr>
                        <w:sdtContent>
                          <w:r>
                            <w:rPr>
                              <w:szCs w:val="24"/>
                            </w:rPr>
                            <w:t>4.2.1</w:t>
                          </w:r>
                        </w:sdtContent>
                      </w:sdt>
                      <w:r>
                        <w:rPr>
                          <w:szCs w:val="24"/>
                        </w:rPr>
                        <w:t>. teikia valstybės institucijoms pasiūlymus dėl intelektinės nuosavybės politikos formavimo;</w:t>
                      </w:r>
                    </w:p>
                  </w:sdtContent>
                </w:sdt>
                <w:sdt>
                  <w:sdtPr>
                    <w:alias w:val="4.2.2 pp."/>
                    <w:tag w:val="part_3df726ca62fb4d608d4783360bd517ae"/>
                    <w:lock w:val="sdtLocked"/>
                    <w:richText/>
                  </w:sdtPr>
                  <w:sdtContent>
                    <w:p w14:paraId="0A70D53B" w14:textId="71004A4B">
                      <w:pPr>
                        <w:spacing w:line="276" w:lineRule="auto"/>
                        <w:ind w:firstLine="851"/>
                        <w:jc w:val="both"/>
                        <w:rPr>
                          <w:szCs w:val="24"/>
                        </w:rPr>
                      </w:pPr>
                      <w:sdt>
                        <w:sdtPr>
                          <w:alias w:val="Numeris"/>
                          <w:tag w:val="nr_3df726ca62fb4d608d4783360bd517ae"/>
                          <w:lock w:val="sdtLocked"/>
                          <w:richText/>
                        </w:sdtPr>
                        <w:sdtContent>
                          <w:r>
                            <w:rPr>
                              <w:szCs w:val="24"/>
                            </w:rPr>
                            <w:t>4.2.2</w:t>
                          </w:r>
                        </w:sdtContent>
                      </w:sdt>
                      <w:r>
                        <w:rPr>
                          <w:szCs w:val="24"/>
                        </w:rPr>
                        <w:t>. teikia valstybės institucijoms ir įstaigoms bei kitoms organizacijoms pasiūlymus dėl jų veiklos tobulinimo intelektinės nuosavybės apsaugos srityje ir dėl valstybės institucijų ir įstaigų veiklos tikslų, uždavinių ir priemonių, susijusių su intelektine nuosavybe, nurodytų strateginio planavimo dokumentuose;</w:t>
                      </w:r>
                    </w:p>
                  </w:sdtContent>
                </w:sdt>
                <w:sdt>
                  <w:sdtPr>
                    <w:alias w:val="4.2.3 pp."/>
                    <w:tag w:val="part_7c0011cf2baa4d238cc60ffc6cf18be7"/>
                    <w:lock w:val="sdtLocked"/>
                    <w:richText/>
                  </w:sdtPr>
                  <w:sdtContent>
                    <w:p w14:paraId="7484DBC1" w14:textId="7AB0E6DD">
                      <w:pPr>
                        <w:spacing w:line="276" w:lineRule="auto"/>
                        <w:ind w:firstLine="851"/>
                        <w:jc w:val="both"/>
                        <w:rPr>
                          <w:szCs w:val="24"/>
                        </w:rPr>
                      </w:pPr>
                      <w:sdt>
                        <w:sdtPr>
                          <w:alias w:val="Numeris"/>
                          <w:tag w:val="nr_7c0011cf2baa4d238cc60ffc6cf18be7"/>
                          <w:lock w:val="sdtLocked"/>
                          <w:richText/>
                        </w:sdtPr>
                        <w:sdtContent>
                          <w:r>
                            <w:rPr>
                              <w:szCs w:val="24"/>
                            </w:rPr>
                            <w:t>4.2.3</w:t>
                          </w:r>
                        </w:sdtContent>
                      </w:sdt>
                      <w:r>
                        <w:rPr>
                          <w:szCs w:val="24"/>
                        </w:rPr>
                        <w:t>. analizuoja ir vertina švietimo (bendrojo ugdymo ir studijų) apie intelektinę nuosavybę, visuomenės informavimo apie intelektinę nuosavybę, intelektinės nuosavybės teisių įgyvendinimo ir gynimo, įskaitant šių teisių įgyvendinimą ir gynimą elektroninėje erdvėje, piratavimo ir prekių klastojimo prevencijos rezultatus ir teikia valstybės institucijoms ir įstaigoms bei kitoms organizacijoms pasiūlymus dėl veiksmų šiose srityse;</w:t>
                      </w:r>
                    </w:p>
                  </w:sdtContent>
                </w:sdt>
                <w:sdt>
                  <w:sdtPr>
                    <w:alias w:val="4.2.4 pp."/>
                    <w:tag w:val="part_480dec6111cd4b5f9731530e10b86648"/>
                    <w:lock w:val="sdtLocked"/>
                    <w:richText/>
                  </w:sdtPr>
                  <w:sdtContent>
                    <w:p w14:paraId="6C95B7E0" w14:textId="3BAD92B9">
                      <w:pPr>
                        <w:spacing w:line="276" w:lineRule="auto"/>
                        <w:ind w:firstLine="851"/>
                        <w:jc w:val="both"/>
                        <w:rPr>
                          <w:szCs w:val="24"/>
                        </w:rPr>
                      </w:pPr>
                      <w:sdt>
                        <w:sdtPr>
                          <w:alias w:val="Numeris"/>
                          <w:tag w:val="nr_480dec6111cd4b5f9731530e10b86648"/>
                          <w:lock w:val="sdtLocked"/>
                          <w:richText/>
                        </w:sdtPr>
                        <w:sdtContent>
                          <w:r>
                            <w:rPr>
                              <w:szCs w:val="24"/>
                            </w:rPr>
                            <w:t>4.2.4</w:t>
                          </w:r>
                        </w:sdtContent>
                      </w:sdt>
                      <w:r>
                        <w:rPr>
                          <w:szCs w:val="24"/>
                        </w:rPr>
                        <w:t xml:space="preserve">. teikia valstybės institucijoms ir įstaigoms bei kitoms organizacijoms pasiūlymus dėl verslo, ypač </w:t>
                      </w:r>
                      <w:r>
                        <w:rPr>
                          <w:color w:val="000000"/>
                          <w:szCs w:val="24"/>
                        </w:rPr>
                        <w:t xml:space="preserve">smulkiojo ir vidutinio, subjektų </w:t>
                      </w:r>
                      <w:r>
                        <w:rPr>
                          <w:szCs w:val="24"/>
                        </w:rPr>
                        <w:t>skatinimo naudoti intelektinės nuosavybės teises;</w:t>
                      </w:r>
                    </w:p>
                  </w:sdtContent>
                </w:sdt>
              </w:sdtContent>
            </w:sdt>
            <w:sdt>
              <w:sdtPr>
                <w:alias w:val="4.3 pp."/>
                <w:tag w:val="part_0867ff95b4d1444b99496d76372c81dc"/>
                <w:lock w:val="sdtLocked"/>
                <w:richText/>
              </w:sdtPr>
              <w:sdtContent>
                <w:p w14:paraId="5EEBB9B0" w14:textId="3EDBF00B">
                  <w:pPr>
                    <w:spacing w:line="276" w:lineRule="auto"/>
                    <w:ind w:firstLine="851"/>
                    <w:jc w:val="both"/>
                    <w:rPr>
                      <w:szCs w:val="24"/>
                    </w:rPr>
                  </w:pPr>
                  <w:sdt>
                    <w:sdtPr>
                      <w:alias w:val="Numeris"/>
                      <w:tag w:val="nr_0867ff95b4d1444b99496d76372c81dc"/>
                      <w:lock w:val="sdtLocked"/>
                      <w:richText/>
                    </w:sdtPr>
                    <w:sdtContent>
                      <w:r>
                        <w:rPr>
                          <w:szCs w:val="24"/>
                        </w:rPr>
                        <w:t>4.3</w:t>
                      </w:r>
                    </w:sdtContent>
                  </w:sdt>
                  <w:r>
                    <w:rPr>
                      <w:szCs w:val="24"/>
                    </w:rPr>
                    <w:t>. komisija renkasi ne rečiau kaip kartą per 6 mėnesius;</w:t>
                  </w:r>
                </w:p>
              </w:sdtContent>
            </w:sdt>
            <w:sdt>
              <w:sdtPr>
                <w:alias w:val="4.4 pp."/>
                <w:tag w:val="part_ce262ed619854853b73fb1649b6473f3"/>
                <w:lock w:val="sdtLocked"/>
                <w:richText/>
              </w:sdtPr>
              <w:sdtContent>
                <w:p w14:paraId="285E2BD6" w14:textId="7787EDEA">
                  <w:pPr>
                    <w:spacing w:line="276" w:lineRule="auto"/>
                    <w:ind w:firstLine="851"/>
                    <w:jc w:val="both"/>
                    <w:rPr>
                      <w:szCs w:val="24"/>
                    </w:rPr>
                  </w:pPr>
                  <w:sdt>
                    <w:sdtPr>
                      <w:alias w:val="Numeris"/>
                      <w:tag w:val="nr_ce262ed619854853b73fb1649b6473f3"/>
                      <w:lock w:val="sdtLocked"/>
                      <w:richText/>
                    </w:sdtPr>
                    <w:sdtContent>
                      <w:r>
                        <w:rPr>
                          <w:szCs w:val="24"/>
                        </w:rPr>
                        <w:t>4.4</w:t>
                      </w:r>
                    </w:sdtContent>
                  </w:sdt>
                  <w:r>
                    <w:rPr>
                      <w:szCs w:val="24"/>
                    </w:rPr>
                    <w:t xml:space="preserve">. komisijos darbui organizuoti komisijos sprendimu </w:t>
                  </w:r>
                  <w:r>
                    <w:rPr>
                      <w:color w:val="000000"/>
                      <w:szCs w:val="24"/>
                    </w:rPr>
                    <w:t xml:space="preserve">iš šio nutarimo 1 ir 3 punktuose nurodytų institucijų ir įstaigų atstovų </w:t>
                  </w:r>
                  <w:r>
                    <w:rPr>
                      <w:szCs w:val="24"/>
                    </w:rPr>
                    <w:t>gali būti sudaromos darbo grupės, kurių veiklą gali būti pavedama koordinuoti šio nutarimo 1 punkte nurodytų institucijų atstovams;</w:t>
                  </w:r>
                </w:p>
              </w:sdtContent>
            </w:sdt>
            <w:sdt>
              <w:sdtPr>
                <w:alias w:val="4.5 pp."/>
                <w:tag w:val="part_8dd84c85779144d085671d196d74b217"/>
                <w:lock w:val="sdtLocked"/>
                <w:richText/>
              </w:sdtPr>
              <w:sdtContent>
                <w:p w14:paraId="779BFFD9" w14:textId="32D9A8D0">
                  <w:pPr>
                    <w:spacing w:line="276" w:lineRule="auto"/>
                    <w:ind w:firstLine="851"/>
                    <w:jc w:val="both"/>
                    <w:rPr>
                      <w:rFonts w:eastAsia="SimSun"/>
                      <w:color w:val="00000A"/>
                      <w:szCs w:val="24"/>
                      <w:lang w:bidi="hi-IN"/>
                    </w:rPr>
                  </w:pPr>
                  <w:sdt>
                    <w:sdtPr>
                      <w:alias w:val="Numeris"/>
                      <w:tag w:val="nr_8dd84c85779144d085671d196d74b217"/>
                      <w:lock w:val="sdtLocked"/>
                      <w:richText/>
                    </w:sdtPr>
                    <w:sdtContent>
                      <w:r>
                        <w:rPr>
                          <w:rFonts w:eastAsia="SimSun"/>
                          <w:color w:val="00000A"/>
                          <w:szCs w:val="24"/>
                          <w:lang w:bidi="hi-IN"/>
                        </w:rPr>
                        <w:t>4.5</w:t>
                      </w:r>
                    </w:sdtContent>
                  </w:sdt>
                  <w:r>
                    <w:rPr>
                      <w:rFonts w:eastAsia="SimSun"/>
                      <w:color w:val="00000A"/>
                      <w:szCs w:val="24"/>
                      <w:lang w:bidi="hi-IN"/>
                    </w:rPr>
                    <w:t>. komisijos veiklą techniškai aptarnauja Lietuvos Respublikos teisingumo ministerija;</w:t>
                  </w:r>
                </w:p>
              </w:sdtContent>
            </w:sdt>
            <w:sdt>
              <w:sdtPr>
                <w:alias w:val="4.6 pp."/>
                <w:tag w:val="part_03d852af2a5b483e9b3960be1c043a11"/>
                <w:lock w:val="sdtLocked"/>
                <w:richText/>
              </w:sdtPr>
              <w:sdtContent>
                <w:p w14:paraId="71A75F62" w14:textId="42D7C132">
                  <w:pPr>
                    <w:spacing w:line="276" w:lineRule="auto"/>
                    <w:ind w:firstLine="851"/>
                    <w:jc w:val="both"/>
                    <w:rPr>
                      <w:color w:val="000000"/>
                      <w:szCs w:val="24"/>
                    </w:rPr>
                  </w:pPr>
                  <w:sdt>
                    <w:sdtPr>
                      <w:alias w:val="Numeris"/>
                      <w:tag w:val="nr_03d852af2a5b483e9b3960be1c043a11"/>
                      <w:lock w:val="sdtLocked"/>
                      <w:richText/>
                    </w:sdtPr>
                    <w:sdtContent>
                      <w:r>
                        <w:rPr>
                          <w:rFonts w:eastAsia="SimSun"/>
                          <w:color w:val="00000A"/>
                          <w:szCs w:val="24"/>
                          <w:lang w:bidi="hi-IN"/>
                        </w:rPr>
                        <w:t>4.6</w:t>
                      </w:r>
                    </w:sdtContent>
                  </w:sdt>
                  <w:r>
                    <w:rPr>
                      <w:rFonts w:eastAsia="SimSun"/>
                      <w:color w:val="00000A"/>
                      <w:szCs w:val="24"/>
                      <w:lang w:bidi="hi-IN"/>
                    </w:rPr>
                    <w:t xml:space="preserve">. </w:t>
                  </w:r>
                  <w:r>
                    <w:rPr>
                      <w:color w:val="000000"/>
                      <w:szCs w:val="24"/>
                    </w:rPr>
                    <w:t>komisijos (narių ir jų pakaitinių narių) personalinę sudėtį tvirtina teisingumo ministras;</w:t>
                  </w:r>
                </w:p>
              </w:sdtContent>
            </w:sdt>
            <w:sdt>
              <w:sdtPr>
                <w:alias w:val="4.7 pp."/>
                <w:tag w:val="part_fc61044fdd6444ee83d4ee5046537de3"/>
                <w:lock w:val="sdtLocked"/>
                <w:richText/>
              </w:sdtPr>
              <w:sdtContent>
                <w:p w14:paraId="1564F418" w14:textId="577D4D60">
                  <w:pPr>
                    <w:spacing w:line="276" w:lineRule="auto"/>
                    <w:ind w:firstLine="851"/>
                    <w:jc w:val="both"/>
                    <w:rPr>
                      <w:rFonts w:eastAsia="SimSun"/>
                      <w:color w:val="00000A"/>
                      <w:szCs w:val="24"/>
                      <w:lang w:bidi="hi-IN"/>
                    </w:rPr>
                  </w:pPr>
                  <w:sdt>
                    <w:sdtPr>
                      <w:alias w:val="Numeris"/>
                      <w:tag w:val="nr_fc61044fdd6444ee83d4ee5046537de3"/>
                      <w:lock w:val="sdtLocked"/>
                      <w:richText/>
                    </w:sdtPr>
                    <w:sdtContent>
                      <w:r>
                        <w:rPr>
                          <w:color w:val="000000"/>
                          <w:szCs w:val="24"/>
                        </w:rPr>
                        <w:t>4.7</w:t>
                      </w:r>
                    </w:sdtContent>
                  </w:sdt>
                  <w:r>
                    <w:rPr>
                      <w:color w:val="000000"/>
                      <w:szCs w:val="24"/>
                    </w:rPr>
                    <w:t>. komisija prireikus gali pasitelkti nepriklausomų ekspertų, valstybės ir savivaldybių institucijų, įstaigų ir kitų organizacijų atstovų.</w:t>
                  </w:r>
                </w:p>
              </w:sdtContent>
            </w:sdt>
          </w:sdtContent>
        </w:sdt>
        <w:sdt>
          <w:sdtPr>
            <w:alias w:val="5 p."/>
            <w:tag w:val="part_3c1761ca352a45cab474de2ada7d973e"/>
            <w:lock w:val="sdtLocked"/>
            <w:richText/>
          </w:sdtPr>
          <w:sdtContent>
            <w:p w14:paraId="4E2FA908" w14:textId="254F1DBB">
              <w:pPr>
                <w:spacing w:line="276" w:lineRule="auto"/>
                <w:ind w:firstLine="851"/>
                <w:jc w:val="both"/>
                <w:rPr>
                  <w:szCs w:val="24"/>
                </w:rPr>
              </w:pPr>
              <w:sdt>
                <w:sdtPr>
                  <w:alias w:val="Numeris"/>
                  <w:tag w:val="nr_3c1761ca352a45cab474de2ada7d973e"/>
                  <w:lock w:val="sdtLocked"/>
                  <w:richText/>
                </w:sdtPr>
                <w:sdtContent>
                  <w:r>
                    <w:rPr>
                      <w:color w:val="000000"/>
                      <w:szCs w:val="24"/>
                    </w:rPr>
                    <w:t>5</w:t>
                  </w:r>
                </w:sdtContent>
              </w:sdt>
              <w:r>
                <w:rPr>
                  <w:color w:val="000000"/>
                  <w:szCs w:val="24"/>
                </w:rPr>
                <w:t xml:space="preserve">. </w:t>
              </w:r>
              <w:r>
                <w:rPr>
                  <w:szCs w:val="24"/>
                </w:rPr>
                <w:t>Rekomenduoti Lietuvos Respublikos Vyriausybei neatskaitingoms institucijoms, įstaigoms ir organizacijoms deleguoti atstovus į komisiją.</w:t>
              </w:r>
            </w:p>
            <w:p w14:paraId="4DFDA041" w14:textId="7B2AB384">
              <w:pPr>
                <w:spacing w:line="276" w:lineRule="auto"/>
                <w:ind w:firstLine="708"/>
                <w:jc w:val="both"/>
                <w:rPr>
                  <w:szCs w:val="24"/>
                  <w:lang w:eastAsia="lt-LT"/>
                </w:rPr>
              </w:pPr>
            </w:p>
            <w:p w14:paraId="46EAE8F7" w14:textId="77777777">
              <w:pPr>
                <w:spacing w:line="276" w:lineRule="auto"/>
                <w:jc w:val="both"/>
                <w:rPr>
                  <w:szCs w:val="24"/>
                </w:rPr>
              </w:pPr>
            </w:p>
          </w:sdtContent>
        </w:sdt>
        <w:sdt>
          <w:sdtPr>
            <w:alias w:val="signatura"/>
            <w:tag w:val="part_4b520c69f7c5472592bcfb565dc9d266"/>
            <w:lock w:val="sdtLocked"/>
            <w:richText/>
          </w:sdtPr>
          <w:sdtContent>
            <w:p w14:paraId="3CF818AF" w14:textId="77777777">
              <w:pPr>
                <w:spacing w:line="276" w:lineRule="auto"/>
                <w:jc w:val="both"/>
                <w:rPr>
                  <w:szCs w:val="24"/>
                </w:rPr>
              </w:pPr>
              <w:r>
                <w:rPr>
                  <w:szCs w:val="24"/>
                </w:rPr>
                <w:t>Ministras Pirmininkas</w:t>
              </w:r>
            </w:p>
            <w:p w14:paraId="3305B150" w14:textId="77777777">
              <w:pPr>
                <w:spacing w:line="276" w:lineRule="auto"/>
                <w:jc w:val="both"/>
                <w:rPr>
                  <w:szCs w:val="24"/>
                </w:rPr>
              </w:pPr>
            </w:p>
            <w:p w14:paraId="3E0795E2" w14:textId="77777777">
              <w:pPr>
                <w:spacing w:line="276" w:lineRule="auto"/>
                <w:jc w:val="both"/>
                <w:rPr>
                  <w:szCs w:val="24"/>
                </w:rPr>
              </w:pPr>
            </w:p>
            <w:p w14:paraId="7C702493" w14:textId="793340B5">
              <w:pPr>
                <w:spacing w:line="276" w:lineRule="auto"/>
                <w:jc w:val="both"/>
                <w:rPr>
                  <w:szCs w:val="24"/>
                </w:rPr>
              </w:pPr>
              <w:r>
                <w:rPr>
                  <w:szCs w:val="24"/>
                </w:rPr>
                <w:t>Teisingumo ministras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FB33B" w14:textId="77777777">
      <w:pPr>
        <w:rPr>
          <w:szCs w:val="24"/>
          <w:lang w:val="en-GB"/>
        </w:rPr>
      </w:pPr>
      <w:r>
        <w:rPr>
          <w:szCs w:val="24"/>
          <w:lang w:val="en-GB"/>
        </w:rPr>
        <w:separator/>
      </w:r>
    </w:p>
  </w:endnote>
  <w:endnote w:type="continuationSeparator" w:id="0">
    <w:p w14:paraId="523B03D0" w14:textId="77777777">
      <w:pPr>
        <w:rPr>
          <w:szCs w:val="24"/>
          <w:lang w:val="en-GB"/>
        </w:rPr>
      </w:pPr>
      <w:r>
        <w:rPr>
          <w:szCs w:val="24"/>
          <w:lang w:val="en-GB"/>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9082C" w14:textId="77777777">
    <w:pPr>
      <w:tabs>
        <w:tab w:val="center" w:pos="4819"/>
        <w:tab w:val="right" w:pos="9638"/>
      </w:tabs>
      <w:rPr>
        <w:szCs w:val="24"/>
        <w:lang w:val="en-GB"/>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6C4B" w14:textId="77777777">
    <w:pPr>
      <w:tabs>
        <w:tab w:val="center" w:pos="4819"/>
        <w:tab w:val="right" w:pos="9638"/>
      </w:tabs>
      <w:rPr>
        <w:szCs w:val="24"/>
        <w:lang w:val="en-GB"/>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85316" w14:textId="77777777">
    <w:pPr>
      <w:tabs>
        <w:tab w:val="center" w:pos="4819"/>
        <w:tab w:val="right" w:pos="9638"/>
      </w:tabs>
      <w:rPr>
        <w:szCs w:val="24"/>
        <w:lang w:val="en-GB"/>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EFB34" w14:textId="77777777">
      <w:pPr>
        <w:rPr>
          <w:szCs w:val="24"/>
          <w:lang w:val="en-GB"/>
        </w:rPr>
      </w:pPr>
      <w:r>
        <w:rPr>
          <w:szCs w:val="24"/>
          <w:lang w:val="en-GB"/>
        </w:rPr>
        <w:separator/>
      </w:r>
    </w:p>
  </w:footnote>
  <w:footnote w:type="continuationSeparator" w:id="0">
    <w:p w14:paraId="1780FF12" w14:textId="77777777">
      <w:pPr>
        <w:rPr>
          <w:szCs w:val="24"/>
          <w:lang w:val="en-GB"/>
        </w:rPr>
      </w:pPr>
      <w:r>
        <w:rPr>
          <w:szCs w:val="24"/>
          <w:lang w:val="en-GB"/>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34A3F" w14:textId="77777777">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62C435DD" w14:textId="77777777">
    <w:pPr>
      <w:tabs>
        <w:tab w:val="center" w:pos="4986"/>
        <w:tab w:val="right" w:pos="9972"/>
      </w:tabs>
      <w:rPr>
        <w:szCs w:val="24"/>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7393" w14:textId="55C3BA76">
    <w:pPr>
      <w:framePr w:wrap="auto" w:vAnchor="text" w:hAnchor="margin" w:xAlign="center" w:y="1"/>
      <w:tabs>
        <w:tab w:val="center" w:pos="4986"/>
        <w:tab w:val="right" w:pos="9972"/>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2E9FA3F9" w14:textId="77777777">
    <w:pPr>
      <w:tabs>
        <w:tab w:val="center" w:pos="4986"/>
        <w:tab w:val="right" w:pos="9972"/>
      </w:tabs>
      <w:rPr>
        <w:szCs w:val="24"/>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FE25" w14:textId="77777777">
    <w:pPr>
      <w:tabs>
        <w:tab w:val="center" w:pos="4986"/>
        <w:tab w:val="right" w:pos="9972"/>
      </w:tabs>
      <w:rPr>
        <w:szCs w:val="24"/>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DA75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87067880">
      <w:bodyDiv w:val="1"/>
      <w:marLeft w:val="0"/>
      <w:marRight w:val="0"/>
      <w:marTop w:val="0"/>
      <w:marBottom w:val="0"/>
      <w:divBdr>
        <w:top w:val="none" w:sz="0" w:space="0" w:color="auto"/>
        <w:left w:val="none" w:sz="0" w:space="0" w:color="auto"/>
        <w:bottom w:val="none" w:sz="0" w:space="0" w:color="auto"/>
        <w:right w:val="none" w:sz="0" w:space="0" w:color="auto"/>
      </w:divBdr>
      <w:divsChild>
        <w:div w:id="1594588376">
          <w:marLeft w:val="0"/>
          <w:marRight w:val="0"/>
          <w:marTop w:val="0"/>
          <w:marBottom w:val="0"/>
          <w:divBdr>
            <w:top w:val="none" w:sz="0" w:space="0" w:color="auto"/>
            <w:left w:val="none" w:sz="0" w:space="0" w:color="auto"/>
            <w:bottom w:val="none" w:sz="0" w:space="0" w:color="auto"/>
            <w:right w:val="none" w:sz="0" w:space="0" w:color="auto"/>
          </w:divBdr>
        </w:div>
      </w:divsChild>
    </w:div>
    <w:div w:id="274753381">
      <w:bodyDiv w:val="1"/>
      <w:marLeft w:val="0"/>
      <w:marRight w:val="0"/>
      <w:marTop w:val="0"/>
      <w:marBottom w:val="0"/>
      <w:divBdr>
        <w:top w:val="none" w:sz="0" w:space="0" w:color="auto"/>
        <w:left w:val="none" w:sz="0" w:space="0" w:color="auto"/>
        <w:bottom w:val="none" w:sz="0" w:space="0" w:color="auto"/>
        <w:right w:val="none" w:sz="0" w:space="0" w:color="auto"/>
      </w:divBdr>
      <w:divsChild>
        <w:div w:id="2030795575">
          <w:marLeft w:val="0"/>
          <w:marRight w:val="0"/>
          <w:marTop w:val="0"/>
          <w:marBottom w:val="0"/>
          <w:divBdr>
            <w:top w:val="none" w:sz="0" w:space="0" w:color="auto"/>
            <w:left w:val="none" w:sz="0" w:space="0" w:color="auto"/>
            <w:bottom w:val="none" w:sz="0" w:space="0" w:color="auto"/>
            <w:right w:val="none" w:sz="0" w:space="0" w:color="auto"/>
          </w:divBdr>
        </w:div>
      </w:divsChild>
    </w:div>
    <w:div w:id="344943326">
      <w:bodyDiv w:val="1"/>
      <w:marLeft w:val="0"/>
      <w:marRight w:val="0"/>
      <w:marTop w:val="0"/>
      <w:marBottom w:val="0"/>
      <w:divBdr>
        <w:top w:val="none" w:sz="0" w:space="0" w:color="auto"/>
        <w:left w:val="none" w:sz="0" w:space="0" w:color="auto"/>
        <w:bottom w:val="none" w:sz="0" w:space="0" w:color="auto"/>
        <w:right w:val="none" w:sz="0" w:space="0" w:color="auto"/>
      </w:divBdr>
      <w:divsChild>
        <w:div w:id="1826972813">
          <w:marLeft w:val="0"/>
          <w:marRight w:val="0"/>
          <w:marTop w:val="0"/>
          <w:marBottom w:val="0"/>
          <w:divBdr>
            <w:top w:val="none" w:sz="0" w:space="0" w:color="auto"/>
            <w:left w:val="none" w:sz="0" w:space="0" w:color="auto"/>
            <w:bottom w:val="none" w:sz="0" w:space="0" w:color="auto"/>
            <w:right w:val="none" w:sz="0" w:space="0" w:color="auto"/>
          </w:divBdr>
        </w:div>
      </w:divsChild>
    </w:div>
    <w:div w:id="399255867">
      <w:bodyDiv w:val="1"/>
      <w:marLeft w:val="0"/>
      <w:marRight w:val="0"/>
      <w:marTop w:val="0"/>
      <w:marBottom w:val="0"/>
      <w:divBdr>
        <w:top w:val="none" w:sz="0" w:space="0" w:color="auto"/>
        <w:left w:val="none" w:sz="0" w:space="0" w:color="auto"/>
        <w:bottom w:val="none" w:sz="0" w:space="0" w:color="auto"/>
        <w:right w:val="none" w:sz="0" w:space="0" w:color="auto"/>
      </w:divBdr>
    </w:div>
    <w:div w:id="496464618">
      <w:bodyDiv w:val="1"/>
      <w:marLeft w:val="0"/>
      <w:marRight w:val="0"/>
      <w:marTop w:val="0"/>
      <w:marBottom w:val="0"/>
      <w:divBdr>
        <w:top w:val="none" w:sz="0" w:space="0" w:color="auto"/>
        <w:left w:val="none" w:sz="0" w:space="0" w:color="auto"/>
        <w:bottom w:val="none" w:sz="0" w:space="0" w:color="auto"/>
        <w:right w:val="none" w:sz="0" w:space="0" w:color="auto"/>
      </w:divBdr>
      <w:divsChild>
        <w:div w:id="1412773108">
          <w:marLeft w:val="0"/>
          <w:marRight w:val="0"/>
          <w:marTop w:val="0"/>
          <w:marBottom w:val="0"/>
          <w:divBdr>
            <w:top w:val="none" w:sz="0" w:space="0" w:color="auto"/>
            <w:left w:val="none" w:sz="0" w:space="0" w:color="auto"/>
            <w:bottom w:val="none" w:sz="0" w:space="0" w:color="auto"/>
            <w:right w:val="none" w:sz="0" w:space="0" w:color="auto"/>
          </w:divBdr>
        </w:div>
      </w:divsChild>
    </w:div>
    <w:div w:id="627206504">
      <w:bodyDiv w:val="1"/>
      <w:marLeft w:val="0"/>
      <w:marRight w:val="0"/>
      <w:marTop w:val="0"/>
      <w:marBottom w:val="0"/>
      <w:divBdr>
        <w:top w:val="none" w:sz="0" w:space="0" w:color="auto"/>
        <w:left w:val="none" w:sz="0" w:space="0" w:color="auto"/>
        <w:bottom w:val="none" w:sz="0" w:space="0" w:color="auto"/>
        <w:right w:val="none" w:sz="0" w:space="0" w:color="auto"/>
      </w:divBdr>
      <w:divsChild>
        <w:div w:id="1595897074">
          <w:marLeft w:val="0"/>
          <w:marRight w:val="0"/>
          <w:marTop w:val="0"/>
          <w:marBottom w:val="0"/>
          <w:divBdr>
            <w:top w:val="none" w:sz="0" w:space="0" w:color="auto"/>
            <w:left w:val="none" w:sz="0" w:space="0" w:color="auto"/>
            <w:bottom w:val="none" w:sz="0" w:space="0" w:color="auto"/>
            <w:right w:val="none" w:sz="0" w:space="0" w:color="auto"/>
          </w:divBdr>
        </w:div>
      </w:divsChild>
    </w:div>
    <w:div w:id="875116853">
      <w:bodyDiv w:val="1"/>
      <w:marLeft w:val="0"/>
      <w:marRight w:val="0"/>
      <w:marTop w:val="0"/>
      <w:marBottom w:val="0"/>
      <w:divBdr>
        <w:top w:val="none" w:sz="0" w:space="0" w:color="auto"/>
        <w:left w:val="none" w:sz="0" w:space="0" w:color="auto"/>
        <w:bottom w:val="none" w:sz="0" w:space="0" w:color="auto"/>
        <w:right w:val="none" w:sz="0" w:space="0" w:color="auto"/>
      </w:divBdr>
      <w:divsChild>
        <w:div w:id="1982878090">
          <w:marLeft w:val="0"/>
          <w:marRight w:val="0"/>
          <w:marTop w:val="0"/>
          <w:marBottom w:val="0"/>
          <w:divBdr>
            <w:top w:val="none" w:sz="0" w:space="0" w:color="auto"/>
            <w:left w:val="none" w:sz="0" w:space="0" w:color="auto"/>
            <w:bottom w:val="none" w:sz="0" w:space="0" w:color="auto"/>
            <w:right w:val="none" w:sz="0" w:space="0" w:color="auto"/>
          </w:divBdr>
        </w:div>
      </w:divsChild>
    </w:div>
    <w:div w:id="982731939">
      <w:bodyDiv w:val="1"/>
      <w:marLeft w:val="0"/>
      <w:marRight w:val="0"/>
      <w:marTop w:val="0"/>
      <w:marBottom w:val="0"/>
      <w:divBdr>
        <w:top w:val="none" w:sz="0" w:space="0" w:color="auto"/>
        <w:left w:val="none" w:sz="0" w:space="0" w:color="auto"/>
        <w:bottom w:val="none" w:sz="0" w:space="0" w:color="auto"/>
        <w:right w:val="none" w:sz="0" w:space="0" w:color="auto"/>
      </w:divBdr>
    </w:div>
    <w:div w:id="1135677947">
      <w:bodyDiv w:val="1"/>
      <w:marLeft w:val="0"/>
      <w:marRight w:val="0"/>
      <w:marTop w:val="0"/>
      <w:marBottom w:val="0"/>
      <w:divBdr>
        <w:top w:val="none" w:sz="0" w:space="0" w:color="auto"/>
        <w:left w:val="none" w:sz="0" w:space="0" w:color="auto"/>
        <w:bottom w:val="none" w:sz="0" w:space="0" w:color="auto"/>
        <w:right w:val="none" w:sz="0" w:space="0" w:color="auto"/>
      </w:divBdr>
      <w:divsChild>
        <w:div w:id="422074616">
          <w:marLeft w:val="0"/>
          <w:marRight w:val="0"/>
          <w:marTop w:val="0"/>
          <w:marBottom w:val="0"/>
          <w:divBdr>
            <w:top w:val="none" w:sz="0" w:space="0" w:color="auto"/>
            <w:left w:val="none" w:sz="0" w:space="0" w:color="auto"/>
            <w:bottom w:val="none" w:sz="0" w:space="0" w:color="auto"/>
            <w:right w:val="none" w:sz="0" w:space="0" w:color="auto"/>
          </w:divBdr>
        </w:div>
      </w:divsChild>
    </w:div>
    <w:div w:id="1400443769">
      <w:bodyDiv w:val="1"/>
      <w:marLeft w:val="0"/>
      <w:marRight w:val="0"/>
      <w:marTop w:val="0"/>
      <w:marBottom w:val="0"/>
      <w:divBdr>
        <w:top w:val="none" w:sz="0" w:space="0" w:color="auto"/>
        <w:left w:val="none" w:sz="0" w:space="0" w:color="auto"/>
        <w:bottom w:val="none" w:sz="0" w:space="0" w:color="auto"/>
        <w:right w:val="none" w:sz="0" w:space="0" w:color="auto"/>
      </w:divBdr>
      <w:divsChild>
        <w:div w:id="1563171367">
          <w:marLeft w:val="0"/>
          <w:marRight w:val="0"/>
          <w:marTop w:val="0"/>
          <w:marBottom w:val="0"/>
          <w:divBdr>
            <w:top w:val="none" w:sz="0" w:space="0" w:color="auto"/>
            <w:left w:val="none" w:sz="0" w:space="0" w:color="auto"/>
            <w:bottom w:val="none" w:sz="0" w:space="0" w:color="auto"/>
            <w:right w:val="none" w:sz="0" w:space="0" w:color="auto"/>
          </w:divBdr>
        </w:div>
      </w:divsChild>
    </w:div>
    <w:div w:id="1533226903">
      <w:bodyDiv w:val="1"/>
      <w:marLeft w:val="0"/>
      <w:marRight w:val="0"/>
      <w:marTop w:val="0"/>
      <w:marBottom w:val="0"/>
      <w:divBdr>
        <w:top w:val="none" w:sz="0" w:space="0" w:color="auto"/>
        <w:left w:val="none" w:sz="0" w:space="0" w:color="auto"/>
        <w:bottom w:val="none" w:sz="0" w:space="0" w:color="auto"/>
        <w:right w:val="none" w:sz="0" w:space="0" w:color="auto"/>
      </w:divBdr>
      <w:divsChild>
        <w:div w:id="1377192921">
          <w:marLeft w:val="0"/>
          <w:marRight w:val="0"/>
          <w:marTop w:val="0"/>
          <w:marBottom w:val="0"/>
          <w:divBdr>
            <w:top w:val="none" w:sz="0" w:space="0" w:color="auto"/>
            <w:left w:val="none" w:sz="0" w:space="0" w:color="auto"/>
            <w:bottom w:val="none" w:sz="0" w:space="0" w:color="auto"/>
            <w:right w:val="none" w:sz="0" w:space="0" w:color="auto"/>
          </w:divBdr>
        </w:div>
      </w:divsChild>
    </w:div>
    <w:div w:id="1970889696">
      <w:bodyDiv w:val="1"/>
      <w:marLeft w:val="0"/>
      <w:marRight w:val="0"/>
      <w:marTop w:val="0"/>
      <w:marBottom w:val="0"/>
      <w:divBdr>
        <w:top w:val="none" w:sz="0" w:space="0" w:color="auto"/>
        <w:left w:val="none" w:sz="0" w:space="0" w:color="auto"/>
        <w:bottom w:val="none" w:sz="0" w:space="0" w:color="auto"/>
        <w:right w:val="none" w:sz="0" w:space="0" w:color="auto"/>
      </w:divBdr>
      <w:divsChild>
        <w:div w:id="176622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25ba924856e43cdbd0f47f2461fc84b" PartId="a6d3ed5325284e8b82760d2ef3427d3e">
    <Part Type="preambule" DocPartId="7df022ef7ace4f4d812c6047e3ff667a" PartId="0a527f8deab44ec2b43c7b2c31229585"/>
    <Part Type="punktas" Nr="1" Abbr="1 p." DocPartId="8ccec359d7d0466091cc6a8da00c3447" PartId="e23239068d174a68bd9c1fb553997ad7"/>
    <Part Type="punktas" Nr="2" Abbr="2 p." DocPartId="0d8702ca0dd2401084d98a055a835a56" PartId="833d243a7b144e2ab65837c8c96df1fe"/>
    <Part Type="punktas" Nr="3" Abbr="3 p." DocPartId="906ea8ad86f54ad8a55cd4b925cea6cf" PartId="1447a0254bf54a1fab2110453f35e9be"/>
    <Part Type="punktas" Nr="4" Abbr="4 p." DocPartId="8bac0533151149788ee77cce1db970bd" PartId="db3a239c5959482486e6fc82c6761486">
      <Part Type="papunktis" Nr="4.1" Abbr="4.1 pp." DocPartId="cde6ef0eabbc42e69f6f30ddaa2a5925" PartId="e994440d6c684ee58f141e672c95edb4"/>
      <Part Type="papunktis" Nr="4.2" Abbr="4.2 pp." DocPartId="25c818579102441e83d3f447a007f5dc" PartId="a2ca0ce78fff43e181618ed0aa106768">
        <Part Type="papunktis" Nr="4.2.1" Abbr="4.2.1 pp." DocPartId="0a30742d0bcd4c4a9be1a98cdc6cbc59" PartId="aee558087a3c4414b0e9d1516dd9ded4"/>
        <Part Type="papunktis" Nr="4.2.2" Abbr="4.2.2 pp." DocPartId="4c69ec11d8e541189aa3e3b1e15f1372" PartId="3df726ca62fb4d608d4783360bd517ae"/>
        <Part Type="papunktis" Nr="4.2.3" Abbr="4.2.3 pp." DocPartId="7de9a47a2b8c4d5fa3b52bdd1b8e2955" PartId="7c0011cf2baa4d238cc60ffc6cf18be7"/>
        <Part Type="papunktis" Nr="4.2.4" Abbr="4.2.4 pp." DocPartId="b2d6051115464e2a8f13a3fea0ff941a" PartId="480dec6111cd4b5f9731530e10b86648"/>
      </Part>
      <Part Type="papunktis" Nr="4.3" Abbr="4.3 pp." DocPartId="383b77a8a8564795b16fe216ee0e872a" PartId="0867ff95b4d1444b99496d76372c81dc"/>
      <Part Type="papunktis" Nr="4.4" Abbr="4.4 pp." DocPartId="a4e66a2dfc4b4d6ebab38227b698b5e5" PartId="ce262ed619854853b73fb1649b6473f3"/>
      <Part Type="papunktis" Nr="4.5" Abbr="4.5 pp." DocPartId="fae3f90f267a420daaba9070d40d47e6" PartId="8dd84c85779144d085671d196d74b217"/>
      <Part Type="papunktis" Nr="4.6" Abbr="4.6 pp." DocPartId="caccd5edd9c34b189879c1a177c4c0e9" PartId="03d852af2a5b483e9b3960be1c043a11"/>
      <Part Type="papunktis" Nr="4.7" Abbr="4.7 pp." DocPartId="9446c7814c034931816319b7401a204a" PartId="fc61044fdd6444ee83d4ee5046537de3"/>
    </Part>
    <Part Type="punktas" Nr="5" Abbr="5 p." DocPartId="6dc51da1100244c284da0389b3b504e7" PartId="3c1761ca352a45cab474de2ada7d973e"/>
    <Part Type="signatura" DocPartId="19954e2d284c4705afccd604277b9421" PartId="4b520c69f7c5472592bcfb565dc9d266"/>
  </Part>
</Parts>
</file>

<file path=customXml/itemProps1.xml><?xml version="1.0" encoding="utf-8"?>
<ds:datastoreItem xmlns:ds="http://schemas.openxmlformats.org/officeDocument/2006/customXml" ds:itemID="{A178C85E-097A-45E2-9BCB-79B202F5F7C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3746</Characters>
  <Application>Microsoft Office Word</Application>
  <DocSecurity>4</DocSecurity>
  <Lines>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4183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2020-06-05T11:24:00Z</dcterms:created>
  <dc:creator>Algis Baležentis</dc:creator>
  <cp:lastModifiedBy>Asseco</cp:lastModifiedBy>
  <cp:lastPrinted>2020-02-21T12:12:00Z</cp:lastPrinted>
  <dcterms:modified xsi:type="dcterms:W3CDTF">2020-06-05T11:24:00Z</dcterms:modified>
  <cp:revision>2</cp:revision>
  <dc:title>Projektas</dc:title>
</cp:coreProperties>
</file>