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C38" w:rsidRPr="00BF3C38" w:rsidRDefault="00BF3C38" w:rsidP="00AD7B14">
      <w:pPr>
        <w:spacing w:after="0" w:line="240" w:lineRule="auto"/>
        <w:jc w:val="center"/>
        <w:rPr>
          <w:rFonts w:ascii="Times New Roman" w:hAnsi="Times New Roman" w:cs="Times New Roman"/>
          <w:b/>
          <w:caps/>
          <w:sz w:val="24"/>
          <w:szCs w:val="24"/>
        </w:rPr>
      </w:pPr>
      <w:r w:rsidRPr="00BF3C38">
        <w:rPr>
          <w:rFonts w:ascii="Times New Roman" w:hAnsi="Times New Roman" w:cs="Times New Roman"/>
          <w:b/>
          <w:caps/>
          <w:sz w:val="24"/>
          <w:szCs w:val="24"/>
        </w:rPr>
        <w:t>LIETUVOS RESPUBLIKOS VYRIAUSYBĖs nutarimo</w:t>
      </w:r>
    </w:p>
    <w:p w:rsidR="00BF3C38" w:rsidRPr="00BF3C38" w:rsidRDefault="00BF3C38" w:rsidP="00AD7B14">
      <w:pPr>
        <w:spacing w:after="0" w:line="240" w:lineRule="auto"/>
        <w:jc w:val="center"/>
        <w:rPr>
          <w:rFonts w:ascii="Times New Roman" w:hAnsi="Times New Roman" w:cs="Times New Roman"/>
          <w:b/>
          <w:caps/>
          <w:sz w:val="24"/>
          <w:szCs w:val="24"/>
        </w:rPr>
      </w:pPr>
      <w:r w:rsidRPr="00BF3C38">
        <w:rPr>
          <w:rFonts w:ascii="Times New Roman" w:hAnsi="Times New Roman" w:cs="Times New Roman"/>
          <w:b/>
          <w:caps/>
          <w:sz w:val="24"/>
          <w:szCs w:val="24"/>
        </w:rPr>
        <w:t>,,</w:t>
      </w:r>
      <w:r w:rsidR="004178F3">
        <w:rPr>
          <w:rFonts w:ascii="Times New Roman" w:hAnsi="Times New Roman" w:cs="Times New Roman"/>
          <w:b/>
          <w:caps/>
          <w:sz w:val="24"/>
          <w:szCs w:val="24"/>
        </w:rPr>
        <w:t xml:space="preserve">DĖL </w:t>
      </w:r>
      <w:r w:rsidR="004178F3" w:rsidRPr="004178F3">
        <w:rPr>
          <w:rFonts w:ascii="Times New Roman" w:hAnsi="Times New Roman" w:cs="Times New Roman"/>
          <w:b/>
          <w:caps/>
          <w:sz w:val="24"/>
          <w:szCs w:val="24"/>
        </w:rPr>
        <w:t>IETUVOS RESPUBLIKOS VYRIAUSYBĖS 2010 M. GRUODŽIO 15 D. NUTARIMO NR. 1771 „DĖL NEVEIKSNIŲ IR RIBOTAI VEIKSNIŲ ASMENŲ REGISTRO REORGANIZAVIMO IR NEVEIKSNIŲ IR RIBOTAI VEIKSNIŲ ASMENŲ REGISTRO NUOSTATŲ PATVIRTINIMO“ PAKEITIMO</w:t>
      </w:r>
      <w:r w:rsidR="004178F3">
        <w:rPr>
          <w:rFonts w:ascii="Times New Roman" w:hAnsi="Times New Roman" w:cs="Times New Roman"/>
          <w:b/>
          <w:caps/>
          <w:sz w:val="24"/>
          <w:szCs w:val="24"/>
        </w:rPr>
        <w:t>“</w:t>
      </w:r>
      <w:r w:rsidR="004178F3" w:rsidRPr="004178F3">
        <w:rPr>
          <w:rFonts w:ascii="Times New Roman" w:hAnsi="Times New Roman" w:cs="Times New Roman"/>
          <w:b/>
          <w:caps/>
          <w:sz w:val="24"/>
          <w:szCs w:val="24"/>
        </w:rPr>
        <w:t xml:space="preserve"> PROJEKTO</w:t>
      </w:r>
    </w:p>
    <w:p w:rsidR="00BF3C38" w:rsidRDefault="00BF3C38" w:rsidP="00AD7B14">
      <w:pPr>
        <w:spacing w:after="0" w:line="240" w:lineRule="auto"/>
        <w:jc w:val="center"/>
        <w:rPr>
          <w:rFonts w:ascii="Times New Roman" w:hAnsi="Times New Roman" w:cs="Times New Roman"/>
          <w:b/>
          <w:caps/>
          <w:sz w:val="24"/>
          <w:szCs w:val="24"/>
        </w:rPr>
      </w:pPr>
      <w:r w:rsidRPr="00BF3C38">
        <w:rPr>
          <w:rFonts w:ascii="Times New Roman" w:hAnsi="Times New Roman" w:cs="Times New Roman"/>
          <w:b/>
          <w:caps/>
          <w:sz w:val="24"/>
          <w:szCs w:val="24"/>
        </w:rPr>
        <w:t>derinimo pažyma</w:t>
      </w:r>
    </w:p>
    <w:p w:rsidR="00D91270" w:rsidRDefault="00D91270" w:rsidP="00AD7B14">
      <w:pPr>
        <w:spacing w:after="0" w:line="240" w:lineRule="auto"/>
        <w:jc w:val="center"/>
        <w:rPr>
          <w:rFonts w:ascii="Times New Roman" w:hAnsi="Times New Roman" w:cs="Times New Roman"/>
          <w:b/>
          <w:caps/>
          <w:sz w:val="24"/>
          <w:szCs w:val="24"/>
        </w:rPr>
      </w:pPr>
    </w:p>
    <w:p w:rsidR="00D91270" w:rsidRDefault="00D91270" w:rsidP="00AD7B14">
      <w:pPr>
        <w:spacing w:after="0" w:line="240" w:lineRule="auto"/>
        <w:jc w:val="center"/>
        <w:rPr>
          <w:rFonts w:ascii="Times New Roman" w:hAnsi="Times New Roman" w:cs="Times New Roman"/>
          <w:b/>
          <w:caps/>
          <w:sz w:val="24"/>
          <w:szCs w:val="24"/>
        </w:rPr>
      </w:pPr>
    </w:p>
    <w:tbl>
      <w:tblPr>
        <w:tblW w:w="15052"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728"/>
        <w:gridCol w:w="5670"/>
        <w:gridCol w:w="7654"/>
      </w:tblGrid>
      <w:tr w:rsidR="003A0C45" w:rsidRPr="00EA593B" w:rsidTr="008F0EFF">
        <w:trPr>
          <w:trHeight w:val="65"/>
        </w:trPr>
        <w:tc>
          <w:tcPr>
            <w:tcW w:w="1728" w:type="dxa"/>
            <w:shd w:val="clear" w:color="auto" w:fill="auto"/>
          </w:tcPr>
          <w:p w:rsidR="00025AE8" w:rsidRPr="00025AE8" w:rsidRDefault="00025AE8" w:rsidP="00AD7B14">
            <w:pPr>
              <w:spacing w:after="0" w:line="240" w:lineRule="auto"/>
              <w:jc w:val="center"/>
              <w:rPr>
                <w:rFonts w:ascii="Times New Roman" w:eastAsia="Times New Roman" w:hAnsi="Times New Roman" w:cs="Times New Roman"/>
                <w:b/>
                <w:iCs/>
                <w:sz w:val="24"/>
                <w:szCs w:val="24"/>
                <w:lang w:eastAsia="lt-LT"/>
              </w:rPr>
            </w:pPr>
            <w:r w:rsidRPr="00025AE8">
              <w:rPr>
                <w:rFonts w:ascii="Times New Roman" w:eastAsia="Times New Roman" w:hAnsi="Times New Roman" w:cs="Times New Roman"/>
                <w:b/>
                <w:iCs/>
                <w:sz w:val="24"/>
                <w:szCs w:val="24"/>
                <w:lang w:eastAsia="lt-LT"/>
              </w:rPr>
              <w:t>Institucijos pavadinimas, rašto data ir numeris</w:t>
            </w:r>
          </w:p>
        </w:tc>
        <w:tc>
          <w:tcPr>
            <w:tcW w:w="5670" w:type="dxa"/>
            <w:shd w:val="clear" w:color="auto" w:fill="auto"/>
          </w:tcPr>
          <w:p w:rsidR="00025AE8" w:rsidRPr="00025AE8" w:rsidRDefault="00025AE8" w:rsidP="00AD7B14">
            <w:pPr>
              <w:tabs>
                <w:tab w:val="left" w:pos="142"/>
                <w:tab w:val="left" w:pos="993"/>
              </w:tabs>
              <w:spacing w:after="0" w:line="240" w:lineRule="auto"/>
              <w:contextualSpacing/>
              <w:jc w:val="center"/>
              <w:rPr>
                <w:rFonts w:ascii="Times New Roman" w:hAnsi="Times New Roman"/>
                <w:b/>
                <w:sz w:val="24"/>
                <w:szCs w:val="24"/>
              </w:rPr>
            </w:pPr>
            <w:r w:rsidRPr="00025AE8">
              <w:rPr>
                <w:rFonts w:ascii="Times New Roman" w:hAnsi="Times New Roman"/>
                <w:b/>
                <w:sz w:val="24"/>
                <w:szCs w:val="24"/>
              </w:rPr>
              <w:t>Pastabos ir pasiūlymai</w:t>
            </w:r>
          </w:p>
        </w:tc>
        <w:tc>
          <w:tcPr>
            <w:tcW w:w="7654" w:type="dxa"/>
            <w:shd w:val="clear" w:color="auto" w:fill="auto"/>
          </w:tcPr>
          <w:p w:rsidR="00025AE8" w:rsidRPr="00726E00" w:rsidRDefault="00025AE8" w:rsidP="00AD7B1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Žyma apie priimtas ir nepriimtas (nurodyti motyvus) pastabas ir pasiūlymus</w:t>
            </w:r>
          </w:p>
        </w:tc>
      </w:tr>
      <w:tr w:rsidR="003A0C45" w:rsidRPr="000479E4" w:rsidTr="008F0EFF">
        <w:trPr>
          <w:trHeight w:val="65"/>
        </w:trPr>
        <w:tc>
          <w:tcPr>
            <w:tcW w:w="1728" w:type="dxa"/>
            <w:shd w:val="clear" w:color="auto" w:fill="auto"/>
          </w:tcPr>
          <w:p w:rsidR="009A7854" w:rsidRDefault="00775752" w:rsidP="00AD7B14">
            <w:pPr>
              <w:spacing w:after="0" w:line="240" w:lineRule="auto"/>
              <w:rPr>
                <w:rFonts w:ascii="Times New Roman" w:eastAsia="Times New Roman" w:hAnsi="Times New Roman" w:cs="Times New Roman"/>
                <w:sz w:val="24"/>
                <w:szCs w:val="24"/>
                <w:lang w:eastAsia="lt-LT"/>
              </w:rPr>
            </w:pPr>
            <w:r w:rsidRPr="005A0E32">
              <w:rPr>
                <w:rFonts w:ascii="Times New Roman" w:eastAsia="Times New Roman" w:hAnsi="Times New Roman" w:cs="Times New Roman"/>
                <w:sz w:val="24"/>
                <w:szCs w:val="24"/>
                <w:lang w:eastAsia="lt-LT"/>
              </w:rPr>
              <w:t xml:space="preserve">Susisiekimo ministerijos </w:t>
            </w:r>
          </w:p>
          <w:p w:rsidR="004A27DA" w:rsidRPr="00E6534D" w:rsidRDefault="00775752" w:rsidP="009A7854">
            <w:pPr>
              <w:spacing w:after="0" w:line="240" w:lineRule="auto"/>
              <w:rPr>
                <w:rFonts w:ascii="Times New Roman" w:eastAsia="Times New Roman" w:hAnsi="Times New Roman" w:cs="Times New Roman"/>
                <w:i/>
                <w:sz w:val="24"/>
                <w:szCs w:val="24"/>
                <w:lang w:eastAsia="lt-LT"/>
              </w:rPr>
            </w:pPr>
            <w:r w:rsidRPr="005A0E32">
              <w:rPr>
                <w:rFonts w:ascii="Times New Roman" w:eastAsia="Times New Roman" w:hAnsi="Times New Roman" w:cs="Times New Roman"/>
                <w:sz w:val="24"/>
                <w:szCs w:val="24"/>
                <w:lang w:eastAsia="lt-LT"/>
              </w:rPr>
              <w:t>201</w:t>
            </w:r>
            <w:r w:rsidR="004178F3" w:rsidRPr="005A0E32">
              <w:rPr>
                <w:rFonts w:ascii="Times New Roman" w:eastAsia="Times New Roman" w:hAnsi="Times New Roman" w:cs="Times New Roman"/>
                <w:sz w:val="24"/>
                <w:szCs w:val="24"/>
                <w:lang w:eastAsia="lt-LT"/>
              </w:rPr>
              <w:t>9-01-03 raštas</w:t>
            </w:r>
            <w:r w:rsidR="008A0C3C" w:rsidRPr="005A0E32">
              <w:rPr>
                <w:rFonts w:ascii="Times New Roman" w:eastAsia="Times New Roman" w:hAnsi="Times New Roman" w:cs="Times New Roman"/>
                <w:sz w:val="24"/>
                <w:szCs w:val="24"/>
                <w:lang w:eastAsia="lt-LT"/>
              </w:rPr>
              <w:t xml:space="preserve"> Nr.</w:t>
            </w:r>
            <w:r w:rsidR="004178F3" w:rsidRPr="005A0E32">
              <w:rPr>
                <w:rFonts w:ascii="Times New Roman" w:eastAsia="Times New Roman" w:hAnsi="Times New Roman" w:cs="Times New Roman"/>
                <w:sz w:val="24"/>
                <w:szCs w:val="24"/>
                <w:lang w:eastAsia="lt-LT"/>
              </w:rPr>
              <w:t> 2-81</w:t>
            </w:r>
          </w:p>
        </w:tc>
        <w:tc>
          <w:tcPr>
            <w:tcW w:w="5670" w:type="dxa"/>
            <w:shd w:val="clear" w:color="auto" w:fill="auto"/>
          </w:tcPr>
          <w:p w:rsidR="008E62A8" w:rsidRPr="00E6534D" w:rsidRDefault="004178F3" w:rsidP="006221C4">
            <w:pPr>
              <w:pStyle w:val="Pagrindiniotekstotrauka"/>
              <w:ind w:firstLine="201"/>
              <w:rPr>
                <w:szCs w:val="24"/>
              </w:rPr>
            </w:pPr>
            <w:r>
              <w:rPr>
                <w:szCs w:val="24"/>
              </w:rPr>
              <w:t xml:space="preserve">Atkreiptinas dėmesys, kad šiuo metu </w:t>
            </w:r>
            <w:r w:rsidRPr="00AA2AEB">
              <w:rPr>
                <w:szCs w:val="24"/>
              </w:rPr>
              <w:t xml:space="preserve">galiojanti </w:t>
            </w:r>
            <w:r w:rsidRPr="00AA2AEB">
              <w:rPr>
                <w:color w:val="000000"/>
                <w:szCs w:val="24"/>
              </w:rPr>
              <w:t>Neveiksnių ir ribotai veiksnių asmenų registro nuostat</w:t>
            </w:r>
            <w:r>
              <w:rPr>
                <w:color w:val="000000"/>
                <w:szCs w:val="24"/>
              </w:rPr>
              <w:t xml:space="preserve">ų, patvirtintų </w:t>
            </w:r>
            <w:r w:rsidRPr="00B95A82">
              <w:rPr>
                <w:szCs w:val="24"/>
              </w:rPr>
              <w:t>Lietuvos Respublikos Vyriausybės 2010 m. gruodžio 15 d. nutarim</w:t>
            </w:r>
            <w:r>
              <w:rPr>
                <w:szCs w:val="24"/>
              </w:rPr>
              <w:t>u</w:t>
            </w:r>
            <w:r w:rsidRPr="00B95A82">
              <w:rPr>
                <w:szCs w:val="24"/>
              </w:rPr>
              <w:t xml:space="preserve"> Nr. 1771 „Dėl Neveiksnių ir ribotai veiksnių asmenų registro reorganizavimo ir Neveiksnių ir ribotai veiksnių asmenų registro nuostatų patvirtinimo“</w:t>
            </w:r>
            <w:r>
              <w:rPr>
                <w:szCs w:val="24"/>
              </w:rPr>
              <w:t>, redakcija</w:t>
            </w:r>
            <w:r w:rsidRPr="00B95A82">
              <w:rPr>
                <w:szCs w:val="24"/>
              </w:rPr>
              <w:t xml:space="preserve"> </w:t>
            </w:r>
            <w:r>
              <w:rPr>
                <w:szCs w:val="24"/>
              </w:rPr>
              <w:t xml:space="preserve">nesuderinta su </w:t>
            </w:r>
            <w:r w:rsidRPr="00E62D65">
              <w:rPr>
                <w:szCs w:val="24"/>
              </w:rPr>
              <w:t>2016 m. balandžio 27 d. Europos Parlamento ir Tarybos reglament</w:t>
            </w:r>
            <w:r>
              <w:rPr>
                <w:szCs w:val="24"/>
              </w:rPr>
              <w:t>u</w:t>
            </w:r>
            <w:r w:rsidRPr="00E62D65">
              <w:rPr>
                <w:szCs w:val="24"/>
              </w:rPr>
              <w:t xml:space="preserve"> (ES) 2016/679 dėl fizinių asmenų apsaugos tvarkant asmens duomenis ir</w:t>
            </w:r>
            <w:r w:rsidRPr="00C75B6A">
              <w:rPr>
                <w:szCs w:val="24"/>
              </w:rPr>
              <w:t xml:space="preserve"> dėl laisvo tokių duomenų judėjimo ir kuriuo panaikinama Direktyva 95/46/EB (Bend</w:t>
            </w:r>
            <w:r>
              <w:rPr>
                <w:szCs w:val="24"/>
              </w:rPr>
              <w:t>rasis</w:t>
            </w:r>
            <w:r w:rsidRPr="00C75B6A">
              <w:rPr>
                <w:szCs w:val="24"/>
              </w:rPr>
              <w:t xml:space="preserve"> duomenų apsaugos reglament</w:t>
            </w:r>
            <w:r>
              <w:rPr>
                <w:szCs w:val="24"/>
              </w:rPr>
              <w:t>as</w:t>
            </w:r>
            <w:r w:rsidRPr="00C75B6A">
              <w:rPr>
                <w:szCs w:val="24"/>
              </w:rPr>
              <w:t>)</w:t>
            </w:r>
            <w:r>
              <w:rPr>
                <w:szCs w:val="24"/>
              </w:rPr>
              <w:t xml:space="preserve"> ir Lietuvos Respublikos asmens duomenų teisinės apsaugos įstatymu, todėl siūlytume inicijuoti </w:t>
            </w:r>
            <w:r w:rsidRPr="00AA2AEB">
              <w:rPr>
                <w:color w:val="000000"/>
                <w:szCs w:val="24"/>
              </w:rPr>
              <w:t>Neveiksnių ir ribotai veiksnių asmenų registro nuostat</w:t>
            </w:r>
            <w:r>
              <w:rPr>
                <w:color w:val="000000"/>
                <w:szCs w:val="24"/>
              </w:rPr>
              <w:t>ų pakeitimus siekiant juos suderinti su aukščiau minėtais teisės aktais.</w:t>
            </w:r>
          </w:p>
        </w:tc>
        <w:tc>
          <w:tcPr>
            <w:tcW w:w="7654" w:type="dxa"/>
            <w:shd w:val="clear" w:color="auto" w:fill="auto"/>
          </w:tcPr>
          <w:p w:rsidR="008A0C3C" w:rsidRPr="00580BF4" w:rsidRDefault="00EE6BFC" w:rsidP="00AD7B14">
            <w:pPr>
              <w:pStyle w:val="Komentarotekstas"/>
              <w:tabs>
                <w:tab w:val="left" w:pos="1276"/>
              </w:tabs>
              <w:jc w:val="both"/>
              <w:rPr>
                <w:rFonts w:ascii="Times New Roman" w:eastAsia="Calibri" w:hAnsi="Times New Roman"/>
                <w:b/>
                <w:bCs/>
                <w:color w:val="5B9BD5" w:themeColor="accent1"/>
                <w:sz w:val="24"/>
                <w:szCs w:val="24"/>
              </w:rPr>
            </w:pPr>
            <w:r>
              <w:rPr>
                <w:rFonts w:ascii="Times New Roman" w:eastAsia="Calibri" w:hAnsi="Times New Roman"/>
                <w:b/>
                <w:sz w:val="24"/>
                <w:szCs w:val="24"/>
              </w:rPr>
              <w:t>A</w:t>
            </w:r>
            <w:r w:rsidR="008A0C3C" w:rsidRPr="00580BF4">
              <w:rPr>
                <w:rFonts w:ascii="Times New Roman" w:eastAsia="Calibri" w:hAnsi="Times New Roman"/>
                <w:b/>
                <w:sz w:val="24"/>
                <w:szCs w:val="24"/>
              </w:rPr>
              <w:t>tsižvelgta</w:t>
            </w:r>
            <w:r>
              <w:rPr>
                <w:rFonts w:ascii="Times New Roman" w:eastAsia="Calibri" w:hAnsi="Times New Roman"/>
                <w:b/>
                <w:sz w:val="24"/>
                <w:szCs w:val="24"/>
              </w:rPr>
              <w:t xml:space="preserve"> iš dalies</w:t>
            </w:r>
            <w:r w:rsidR="008A0C3C" w:rsidRPr="00580BF4">
              <w:rPr>
                <w:rFonts w:ascii="Times New Roman" w:eastAsia="Calibri" w:hAnsi="Times New Roman"/>
                <w:b/>
                <w:sz w:val="24"/>
                <w:szCs w:val="24"/>
              </w:rPr>
              <w:t>.</w:t>
            </w:r>
          </w:p>
          <w:p w:rsidR="00EE6BFC" w:rsidRPr="00EE6BFC" w:rsidRDefault="00EE6BFC" w:rsidP="00EE6BFC">
            <w:pPr>
              <w:tabs>
                <w:tab w:val="right" w:pos="9638"/>
              </w:tabs>
              <w:suppressAutoHyphens/>
              <w:spacing w:after="0" w:line="240" w:lineRule="auto"/>
              <w:ind w:firstLine="317"/>
              <w:jc w:val="both"/>
              <w:rPr>
                <w:rFonts w:ascii="Times New Roman" w:eastAsia="Times New Roman" w:hAnsi="Times New Roman" w:cs="Times New Roman"/>
                <w:sz w:val="24"/>
                <w:szCs w:val="24"/>
                <w:lang w:eastAsia="ar-SA"/>
              </w:rPr>
            </w:pPr>
            <w:r w:rsidRPr="00EE6BFC">
              <w:rPr>
                <w:rFonts w:ascii="Times New Roman" w:eastAsia="Times New Roman" w:hAnsi="Times New Roman" w:cs="Times New Roman"/>
                <w:sz w:val="24"/>
                <w:szCs w:val="24"/>
                <w:lang w:eastAsia="ar-SA"/>
              </w:rPr>
              <w:t>Atsižvelgiant į tai, kad nuo 2018 m. rugsėjo 1 d.</w:t>
            </w:r>
            <w:r w:rsidR="00CB3905">
              <w:rPr>
                <w:rFonts w:ascii="Times New Roman" w:eastAsia="Times New Roman" w:hAnsi="Times New Roman" w:cs="Times New Roman"/>
                <w:sz w:val="24"/>
                <w:szCs w:val="24"/>
                <w:lang w:eastAsia="ar-SA"/>
              </w:rPr>
              <w:t>,</w:t>
            </w:r>
            <w:r w:rsidRPr="00EE6BFC">
              <w:rPr>
                <w:rFonts w:ascii="Times New Roman" w:eastAsia="Times New Roman" w:hAnsi="Times New Roman" w:cs="Times New Roman"/>
                <w:sz w:val="24"/>
                <w:szCs w:val="24"/>
                <w:lang w:eastAsia="ar-SA"/>
              </w:rPr>
              <w:t xml:space="preserve"> įsigaliojus </w:t>
            </w:r>
            <w:r w:rsidRPr="00EE6BFC">
              <w:rPr>
                <w:rFonts w:ascii="Times New Roman" w:eastAsia="Times New Roman" w:hAnsi="Times New Roman" w:cs="Times New Roman"/>
                <w:bCs/>
                <w:sz w:val="24"/>
                <w:szCs w:val="24"/>
                <w:lang w:eastAsia="ar-SA"/>
              </w:rPr>
              <w:t xml:space="preserve">Lietuvos Respublikos valstybės informacinių išteklių valdymo įstatymo Nr. XI-1807 2, 5, 6, 22 ir 39 straipsnių pakeitimo įstatymui, </w:t>
            </w:r>
            <w:r w:rsidRPr="00EE6BFC">
              <w:rPr>
                <w:rFonts w:ascii="Times New Roman" w:eastAsia="Times New Roman" w:hAnsi="Times New Roman" w:cs="Times New Roman"/>
                <w:sz w:val="24"/>
                <w:szCs w:val="24"/>
                <w:lang w:eastAsia="ar-SA"/>
              </w:rPr>
              <w:t>valstybės informacinių išteklių politiką</w:t>
            </w:r>
            <w:r w:rsidRPr="00EE6BFC">
              <w:rPr>
                <w:rFonts w:ascii="Times New Roman" w:eastAsia="Times New Roman" w:hAnsi="Times New Roman" w:cs="Times New Roman"/>
                <w:bCs/>
                <w:sz w:val="24"/>
                <w:szCs w:val="24"/>
                <w:lang w:eastAsia="ar-SA"/>
              </w:rPr>
              <w:t xml:space="preserve"> </w:t>
            </w:r>
            <w:r w:rsidRPr="00EE6BFC">
              <w:rPr>
                <w:rFonts w:ascii="Times New Roman" w:eastAsia="Times New Roman" w:hAnsi="Times New Roman" w:cs="Times New Roman"/>
                <w:sz w:val="24"/>
                <w:szCs w:val="24"/>
                <w:lang w:eastAsia="ar-SA"/>
              </w:rPr>
              <w:t>formuoja</w:t>
            </w:r>
            <w:r w:rsidRPr="00EE6BFC">
              <w:rPr>
                <w:rFonts w:ascii="Times New Roman" w:eastAsia="Times New Roman" w:hAnsi="Times New Roman" w:cs="Times New Roman"/>
                <w:bCs/>
                <w:sz w:val="24"/>
                <w:szCs w:val="24"/>
                <w:lang w:eastAsia="ar-SA"/>
              </w:rPr>
              <w:t xml:space="preserve"> Lietuvos Respublikos </w:t>
            </w:r>
            <w:r>
              <w:rPr>
                <w:rFonts w:ascii="Times New Roman" w:eastAsia="Times New Roman" w:hAnsi="Times New Roman" w:cs="Times New Roman"/>
                <w:sz w:val="24"/>
                <w:szCs w:val="24"/>
                <w:lang w:eastAsia="ar-SA"/>
              </w:rPr>
              <w:t>ekonomikos ir inovacijų</w:t>
            </w:r>
            <w:r w:rsidRPr="00EE6BFC">
              <w:rPr>
                <w:rFonts w:ascii="Times New Roman" w:eastAsia="Times New Roman" w:hAnsi="Times New Roman" w:cs="Times New Roman"/>
                <w:sz w:val="24"/>
                <w:szCs w:val="24"/>
                <w:lang w:eastAsia="ar-SA"/>
              </w:rPr>
              <w:t xml:space="preserve"> ministerija</w:t>
            </w:r>
            <w:r w:rsidRPr="00CB3905">
              <w:rPr>
                <w:rFonts w:ascii="Times New Roman" w:eastAsia="Times New Roman" w:hAnsi="Times New Roman" w:cs="Times New Roman"/>
                <w:sz w:val="24"/>
                <w:szCs w:val="24"/>
                <w:lang w:eastAsia="ar-SA"/>
              </w:rPr>
              <w:t>, Valstybės informacinių išteklių valdymo įstatymas patenka į šios ministerijos reguliavimo sritį.</w:t>
            </w:r>
          </w:p>
          <w:p w:rsidR="00EE6BFC" w:rsidRPr="00EE6BFC" w:rsidRDefault="00EE6BFC" w:rsidP="00EE6BFC">
            <w:pPr>
              <w:tabs>
                <w:tab w:val="right" w:pos="9638"/>
              </w:tabs>
              <w:suppressAutoHyphens/>
              <w:spacing w:after="0" w:line="240" w:lineRule="auto"/>
              <w:ind w:firstLine="317"/>
              <w:jc w:val="both"/>
              <w:rPr>
                <w:rFonts w:ascii="Times New Roman" w:eastAsia="Times New Roman" w:hAnsi="Times New Roman" w:cs="Times New Roman"/>
                <w:sz w:val="24"/>
                <w:szCs w:val="24"/>
                <w:lang w:eastAsia="ar-SA"/>
              </w:rPr>
            </w:pPr>
            <w:r w:rsidRPr="00EE6BFC">
              <w:rPr>
                <w:rFonts w:ascii="Times New Roman" w:eastAsia="Times New Roman" w:hAnsi="Times New Roman" w:cs="Times New Roman"/>
                <w:sz w:val="24"/>
                <w:szCs w:val="24"/>
                <w:lang w:eastAsia="ar-SA"/>
              </w:rPr>
              <w:t>Valstybės informacinių išteklių valdymo įstatymas yra pagrindinis įstatymas, užtikrinantis tinkamą valstybės informacinių išteklių tvarkymą, valdymą, naudojimą ir saugą</w:t>
            </w:r>
            <w:r>
              <w:rPr>
                <w:rFonts w:ascii="Times New Roman" w:eastAsia="Times New Roman" w:hAnsi="Times New Roman" w:cs="Times New Roman"/>
                <w:sz w:val="24"/>
                <w:szCs w:val="24"/>
                <w:lang w:eastAsia="ar-SA"/>
              </w:rPr>
              <w:t>, todėl</w:t>
            </w:r>
            <w:r w:rsidRPr="00EE6BFC">
              <w:rPr>
                <w:rFonts w:ascii="Times New Roman" w:eastAsia="Times New Roman" w:hAnsi="Times New Roman" w:cs="Times New Roman"/>
                <w:sz w:val="24"/>
                <w:szCs w:val="24"/>
                <w:lang w:eastAsia="ar-SA"/>
              </w:rPr>
              <w:t xml:space="preserve"> šiame įstatyme turėtų būti įtvirtintos ir pagrindinės nuostatos, įgyvendinančios tinkamas duomenų subjektų teises (teisė susipažinti su tvarkomais duomenimis ir pan.), apibrėžiančios valstybės informacinių išteklių valdytojų ir tvarkytojų teises, pa</w:t>
            </w:r>
            <w:r w:rsidR="00CB3905">
              <w:rPr>
                <w:rFonts w:ascii="Times New Roman" w:eastAsia="Times New Roman" w:hAnsi="Times New Roman" w:cs="Times New Roman"/>
                <w:sz w:val="24"/>
                <w:szCs w:val="24"/>
                <w:lang w:eastAsia="ar-SA"/>
              </w:rPr>
              <w:t>reigas bei funkcijas</w:t>
            </w:r>
            <w:r w:rsidRPr="00EE6BFC">
              <w:rPr>
                <w:rFonts w:ascii="Times New Roman" w:eastAsia="Times New Roman" w:hAnsi="Times New Roman" w:cs="Times New Roman"/>
                <w:sz w:val="24"/>
                <w:szCs w:val="24"/>
                <w:lang w:eastAsia="ar-SA"/>
              </w:rPr>
              <w:t xml:space="preserve"> </w:t>
            </w:r>
            <w:r w:rsidR="00CB3905">
              <w:rPr>
                <w:rFonts w:ascii="Times New Roman" w:eastAsia="Times New Roman" w:hAnsi="Times New Roman" w:cs="Times New Roman"/>
                <w:sz w:val="24"/>
                <w:szCs w:val="24"/>
                <w:lang w:eastAsia="ar-SA"/>
              </w:rPr>
              <w:t>(</w:t>
            </w:r>
            <w:r w:rsidRPr="00EE6BFC">
              <w:rPr>
                <w:rFonts w:ascii="Times New Roman" w:eastAsia="Times New Roman" w:hAnsi="Times New Roman" w:cs="Times New Roman"/>
                <w:sz w:val="24"/>
                <w:szCs w:val="24"/>
                <w:lang w:eastAsia="ar-SA"/>
              </w:rPr>
              <w:t xml:space="preserve">atsižvelgiant į tai, kad </w:t>
            </w:r>
            <w:r w:rsidR="004B0CC1" w:rsidRPr="004B0CC1">
              <w:rPr>
                <w:rFonts w:ascii="Times New Roman" w:eastAsia="Times New Roman" w:hAnsi="Times New Roman" w:cs="Times New Roman"/>
                <w:sz w:val="24"/>
                <w:szCs w:val="24"/>
                <w:lang w:eastAsia="ar-SA"/>
              </w:rPr>
              <w:t xml:space="preserve">2016 m. balandžio 27 d. Europos Parlamento ir Tarybos reglamentu (ES) 2016/679 dėl fizinių asmenų apsaugos tvarkant asmens duomenis ir dėl laisvo tokių duomenų judėjimo ir kuriuo panaikinama Direktyva 95/46/EB </w:t>
            </w:r>
            <w:r w:rsidR="004B0CC1">
              <w:rPr>
                <w:rFonts w:ascii="Times New Roman" w:eastAsia="Times New Roman" w:hAnsi="Times New Roman" w:cs="Times New Roman"/>
                <w:sz w:val="24"/>
                <w:szCs w:val="24"/>
                <w:lang w:eastAsia="ar-SA"/>
              </w:rPr>
              <w:t xml:space="preserve">(toliau – </w:t>
            </w:r>
            <w:r w:rsidRPr="004B0CC1">
              <w:rPr>
                <w:rFonts w:ascii="Times New Roman" w:eastAsia="Times New Roman" w:hAnsi="Times New Roman" w:cs="Times New Roman"/>
                <w:sz w:val="24"/>
                <w:szCs w:val="24"/>
                <w:lang w:eastAsia="ar-SA"/>
              </w:rPr>
              <w:t>Bendrasis duomenų apsaugos reglamentas</w:t>
            </w:r>
            <w:r w:rsidR="004B0CC1">
              <w:rPr>
                <w:rFonts w:ascii="Times New Roman" w:eastAsia="Times New Roman" w:hAnsi="Times New Roman" w:cs="Times New Roman"/>
                <w:sz w:val="24"/>
                <w:szCs w:val="24"/>
                <w:lang w:eastAsia="ar-SA"/>
              </w:rPr>
              <w:t>)</w:t>
            </w:r>
            <w:r w:rsidRPr="00EE6BFC">
              <w:rPr>
                <w:rFonts w:ascii="Times New Roman" w:eastAsia="Times New Roman" w:hAnsi="Times New Roman" w:cs="Times New Roman"/>
                <w:sz w:val="24"/>
                <w:szCs w:val="24"/>
                <w:lang w:eastAsia="ar-SA"/>
              </w:rPr>
              <w:t xml:space="preserve"> numato tam tikras naujas pareigas tiek duomenų valdytojui, tiek tvarkytojui</w:t>
            </w:r>
            <w:r w:rsidR="00CB3905">
              <w:rPr>
                <w:rFonts w:ascii="Times New Roman" w:eastAsia="Times New Roman" w:hAnsi="Times New Roman" w:cs="Times New Roman"/>
                <w:sz w:val="24"/>
                <w:szCs w:val="24"/>
                <w:lang w:eastAsia="ar-SA"/>
              </w:rPr>
              <w:t>)</w:t>
            </w:r>
            <w:r w:rsidRPr="00EE6BFC">
              <w:rPr>
                <w:rFonts w:ascii="Times New Roman" w:eastAsia="Times New Roman" w:hAnsi="Times New Roman" w:cs="Times New Roman"/>
                <w:sz w:val="24"/>
                <w:szCs w:val="24"/>
                <w:lang w:eastAsia="ar-SA"/>
              </w:rPr>
              <w:t xml:space="preserve">, taip pat reglamentuojančios duomenų valdytojo ir duomenų tvarkytojo santykius. Pažymėtina ir tai, kad duomenų subjektų teisių įgyvendinimas labai svarbus ir valstybės informacinių išteklių konsolidavimo procese, atsižvelgiant į tai, kad šis procesas jau yra prasidėjęs. Įvertinus tai, Valstybės informacinių išteklių valdymo įstatyme įtvirtinto teisinio reguliavimo peržiūrėjimas aukščiau minėtais aspektais yra labai svarbus visiems valstybės informacinių išteklių valdytojams, įpareigotiems peržiūrėti savo valdomų </w:t>
            </w:r>
            <w:r w:rsidRPr="00EE6BFC">
              <w:rPr>
                <w:rFonts w:ascii="Times New Roman" w:eastAsia="Times New Roman" w:hAnsi="Times New Roman" w:cs="Times New Roman"/>
                <w:sz w:val="24"/>
                <w:szCs w:val="24"/>
                <w:lang w:eastAsia="ar-SA"/>
              </w:rPr>
              <w:lastRenderedPageBreak/>
              <w:t>registrų ir informacinių sistemų veiklą reglamentuojančius teisės aktus, siekiant užtikrinti vienodą Bendrojo duomenų apsaugos reglamento taikymą ir valstybės informacinių i</w:t>
            </w:r>
            <w:r>
              <w:rPr>
                <w:rFonts w:ascii="Times New Roman" w:eastAsia="Times New Roman" w:hAnsi="Times New Roman" w:cs="Times New Roman"/>
                <w:sz w:val="24"/>
                <w:szCs w:val="24"/>
                <w:lang w:eastAsia="ar-SA"/>
              </w:rPr>
              <w:t>šteklių politikos įgyvendinimą.</w:t>
            </w:r>
          </w:p>
          <w:p w:rsidR="00EE6BFC" w:rsidRPr="00EE6BFC" w:rsidRDefault="00EE6BFC" w:rsidP="00EE6BFC">
            <w:pPr>
              <w:tabs>
                <w:tab w:val="right" w:pos="9638"/>
              </w:tabs>
              <w:suppressAutoHyphens/>
              <w:spacing w:after="0" w:line="240" w:lineRule="auto"/>
              <w:ind w:firstLine="317"/>
              <w:jc w:val="both"/>
              <w:rPr>
                <w:rFonts w:ascii="Times New Roman" w:eastAsia="Times New Roman" w:hAnsi="Times New Roman" w:cs="Times New Roman"/>
                <w:sz w:val="24"/>
                <w:szCs w:val="24"/>
                <w:lang w:eastAsia="ar-SA"/>
              </w:rPr>
            </w:pPr>
            <w:r w:rsidRPr="00EE6BFC">
              <w:rPr>
                <w:rFonts w:ascii="Times New Roman" w:eastAsia="Times New Roman" w:hAnsi="Times New Roman" w:cs="Times New Roman"/>
                <w:sz w:val="24"/>
                <w:szCs w:val="24"/>
                <w:lang w:eastAsia="ar-SA"/>
              </w:rPr>
              <w:t>Valstybės informacinių išteklių valdytojai šiuo metu jau keičia savo valdomų registrų ir informacinių sistemų veiklą reglamentuojančius teisės aktus, skirtingai vertindami Bendrojo duomenų apsaugos reglamento taikymo aspektus. Šie valstybės informacinių išteklių valdytojų pakeisti teisės aktai turės būti pakartotinai peržiūrimi, kai bus įvertinta Valstybės informacinių išteklių valdymo įstatymo atitiktis Bendrajam duomenų apsaugos reglamentui, taip pat šį įstatymą pakeitus dėl valstybės informacinių išteklių konsolidavimo proceso, o tai būtų ydinga praktika, nesuderinama su teisėkūros sistemiškumo ir ekonomiškumo principais.</w:t>
            </w:r>
          </w:p>
          <w:p w:rsidR="008B66C6" w:rsidRDefault="00EE6BFC" w:rsidP="00EE6BFC">
            <w:pPr>
              <w:pStyle w:val="Komentarotekstas"/>
              <w:tabs>
                <w:tab w:val="left" w:pos="1276"/>
              </w:tabs>
              <w:ind w:firstLine="317"/>
              <w:jc w:val="both"/>
              <w:rPr>
                <w:rFonts w:ascii="Times New Roman" w:hAnsi="Times New Roman"/>
                <w:sz w:val="24"/>
                <w:szCs w:val="24"/>
                <w:lang w:eastAsia="ar-SA"/>
              </w:rPr>
            </w:pPr>
            <w:r w:rsidRPr="00EE6BFC">
              <w:rPr>
                <w:rFonts w:ascii="Times New Roman" w:hAnsi="Times New Roman"/>
                <w:sz w:val="24"/>
                <w:szCs w:val="24"/>
                <w:lang w:eastAsia="ar-SA"/>
              </w:rPr>
              <w:t>Atsižvelgdam</w:t>
            </w:r>
            <w:r w:rsidR="00CB3905">
              <w:rPr>
                <w:rFonts w:ascii="Times New Roman" w:hAnsi="Times New Roman"/>
                <w:sz w:val="24"/>
                <w:szCs w:val="24"/>
                <w:lang w:eastAsia="ar-SA"/>
              </w:rPr>
              <w:t>a</w:t>
            </w:r>
            <w:r w:rsidRPr="00EE6BFC">
              <w:rPr>
                <w:rFonts w:ascii="Times New Roman" w:hAnsi="Times New Roman"/>
                <w:sz w:val="24"/>
                <w:szCs w:val="24"/>
                <w:lang w:eastAsia="ar-SA"/>
              </w:rPr>
              <w:t xml:space="preserve"> į tai, kas išdėstyta, </w:t>
            </w:r>
            <w:r>
              <w:rPr>
                <w:rFonts w:ascii="Times New Roman" w:hAnsi="Times New Roman"/>
                <w:sz w:val="24"/>
                <w:szCs w:val="24"/>
                <w:lang w:eastAsia="ar-SA"/>
              </w:rPr>
              <w:t xml:space="preserve">Teisingumo ministerija </w:t>
            </w:r>
            <w:r w:rsidR="004B0CC1">
              <w:rPr>
                <w:rFonts w:ascii="Times New Roman" w:hAnsi="Times New Roman"/>
                <w:sz w:val="24"/>
                <w:szCs w:val="24"/>
                <w:lang w:eastAsia="ar-SA"/>
              </w:rPr>
              <w:t>2018-09-</w:t>
            </w:r>
            <w:r w:rsidR="004B0CC1" w:rsidRPr="004B0CC1">
              <w:rPr>
                <w:rFonts w:ascii="Times New Roman" w:hAnsi="Times New Roman"/>
                <w:sz w:val="24"/>
                <w:szCs w:val="24"/>
                <w:lang w:eastAsia="ar-SA"/>
              </w:rPr>
              <w:t>24 raštu Nr. (1.18) 7R-6262</w:t>
            </w:r>
            <w:r w:rsidR="004B0CC1">
              <w:rPr>
                <w:rFonts w:ascii="Times New Roman" w:hAnsi="Times New Roman"/>
                <w:sz w:val="24"/>
                <w:szCs w:val="24"/>
                <w:lang w:eastAsia="ar-SA"/>
              </w:rPr>
              <w:t xml:space="preserve"> </w:t>
            </w:r>
            <w:r>
              <w:rPr>
                <w:rFonts w:ascii="Times New Roman" w:hAnsi="Times New Roman"/>
                <w:sz w:val="24"/>
                <w:szCs w:val="24"/>
                <w:lang w:eastAsia="ar-SA"/>
              </w:rPr>
              <w:t>kreipėsi į Ūkio ministeriją, prašydama</w:t>
            </w:r>
            <w:r w:rsidRPr="00EE6BFC">
              <w:rPr>
                <w:rFonts w:ascii="Times New Roman" w:hAnsi="Times New Roman"/>
                <w:sz w:val="24"/>
                <w:szCs w:val="24"/>
                <w:lang w:eastAsia="ar-SA"/>
              </w:rPr>
              <w:t xml:space="preserve"> pateikti informaciją apie planus įvertinti Valstybės informacinių išteklių valdymo įstatymo atitiktį Bendrajam duomenų apsaugos reglamentui (kartu su valstybės informacinių išteklių konsolidavimo procesu) ir pateikti šio įstatymo projektą Lietuvos Respublikos Vyriausybei.</w:t>
            </w:r>
            <w:r>
              <w:rPr>
                <w:rFonts w:ascii="Times New Roman" w:hAnsi="Times New Roman"/>
                <w:sz w:val="24"/>
                <w:szCs w:val="24"/>
                <w:lang w:eastAsia="ar-SA"/>
              </w:rPr>
              <w:t xml:space="preserve"> Ūkio </w:t>
            </w:r>
            <w:r w:rsidRPr="004B0CC1">
              <w:rPr>
                <w:rFonts w:ascii="Times New Roman" w:hAnsi="Times New Roman"/>
                <w:sz w:val="24"/>
                <w:szCs w:val="24"/>
                <w:lang w:eastAsia="ar-SA"/>
              </w:rPr>
              <w:t xml:space="preserve">ministerija </w:t>
            </w:r>
            <w:r w:rsidR="004B0CC1" w:rsidRPr="004B0CC1">
              <w:rPr>
                <w:rFonts w:ascii="Times New Roman" w:hAnsi="Times New Roman"/>
                <w:sz w:val="24"/>
                <w:szCs w:val="24"/>
                <w:lang w:eastAsia="ar-SA"/>
              </w:rPr>
              <w:t>2018-10-16</w:t>
            </w:r>
            <w:r w:rsidRPr="004B0CC1">
              <w:rPr>
                <w:rFonts w:ascii="Times New Roman" w:hAnsi="Times New Roman"/>
                <w:sz w:val="24"/>
                <w:szCs w:val="24"/>
                <w:lang w:eastAsia="ar-SA"/>
              </w:rPr>
              <w:t xml:space="preserve"> raštu </w:t>
            </w:r>
            <w:r w:rsidR="004B0CC1" w:rsidRPr="004B0CC1">
              <w:rPr>
                <w:rFonts w:ascii="Times New Roman" w:hAnsi="Times New Roman"/>
                <w:sz w:val="24"/>
                <w:szCs w:val="24"/>
                <w:lang w:eastAsia="ar-SA"/>
              </w:rPr>
              <w:t>Nr. (29.4E)-6K-1805461</w:t>
            </w:r>
            <w:r w:rsidRPr="004B0CC1">
              <w:rPr>
                <w:rFonts w:ascii="Times New Roman" w:hAnsi="Times New Roman"/>
                <w:sz w:val="24"/>
                <w:szCs w:val="24"/>
                <w:lang w:eastAsia="ar-SA"/>
              </w:rPr>
              <w:t xml:space="preserve"> informavo apie teisės</w:t>
            </w:r>
            <w:r>
              <w:rPr>
                <w:rFonts w:ascii="Times New Roman" w:hAnsi="Times New Roman"/>
                <w:sz w:val="24"/>
                <w:szCs w:val="24"/>
                <w:lang w:eastAsia="ar-SA"/>
              </w:rPr>
              <w:t xml:space="preserve"> aktų peržiūrą dėl jų atitikties </w:t>
            </w:r>
            <w:r w:rsidRPr="00EE6BFC">
              <w:rPr>
                <w:rFonts w:ascii="Times New Roman" w:hAnsi="Times New Roman"/>
                <w:sz w:val="24"/>
                <w:szCs w:val="24"/>
                <w:lang w:eastAsia="ar-SA"/>
              </w:rPr>
              <w:t>Bendrajam duomenų apsaugos reglamentui</w:t>
            </w:r>
            <w:r>
              <w:rPr>
                <w:rFonts w:ascii="Times New Roman" w:hAnsi="Times New Roman"/>
                <w:sz w:val="24"/>
                <w:szCs w:val="24"/>
                <w:lang w:eastAsia="ar-SA"/>
              </w:rPr>
              <w:t>.</w:t>
            </w:r>
          </w:p>
          <w:p w:rsidR="00EE6BFC" w:rsidRPr="009826F5" w:rsidRDefault="00EE6BFC" w:rsidP="00C97336">
            <w:pPr>
              <w:pStyle w:val="Komentarotekstas"/>
              <w:tabs>
                <w:tab w:val="left" w:pos="1276"/>
              </w:tabs>
              <w:ind w:firstLine="317"/>
              <w:jc w:val="both"/>
              <w:rPr>
                <w:rFonts w:ascii="Times New Roman" w:eastAsia="Calibri" w:hAnsi="Times New Roman"/>
                <w:b/>
                <w:sz w:val="24"/>
                <w:szCs w:val="24"/>
              </w:rPr>
            </w:pPr>
            <w:r>
              <w:rPr>
                <w:rFonts w:ascii="Times New Roman" w:hAnsi="Times New Roman"/>
                <w:sz w:val="24"/>
                <w:szCs w:val="24"/>
                <w:lang w:eastAsia="ar-SA"/>
              </w:rPr>
              <w:t xml:space="preserve">Pažymėtina, kad </w:t>
            </w:r>
            <w:r w:rsidRPr="00AA2AEB">
              <w:rPr>
                <w:rFonts w:ascii="Times New Roman" w:hAnsi="Times New Roman"/>
                <w:color w:val="000000"/>
                <w:sz w:val="24"/>
                <w:szCs w:val="24"/>
              </w:rPr>
              <w:t>Neveiksnių ir ribotai veiksnių asmenų registro nuostat</w:t>
            </w:r>
            <w:r>
              <w:rPr>
                <w:rFonts w:ascii="Times New Roman" w:hAnsi="Times New Roman"/>
                <w:color w:val="000000"/>
                <w:sz w:val="24"/>
                <w:szCs w:val="24"/>
              </w:rPr>
              <w:t>ų (</w:t>
            </w:r>
            <w:r w:rsidRPr="00CB3905">
              <w:rPr>
                <w:rFonts w:ascii="Times New Roman" w:hAnsi="Times New Roman"/>
                <w:color w:val="000000"/>
                <w:sz w:val="24"/>
                <w:szCs w:val="24"/>
              </w:rPr>
              <w:t xml:space="preserve">toliau – </w:t>
            </w:r>
            <w:r w:rsidRPr="00CB3905">
              <w:rPr>
                <w:rFonts w:ascii="Times New Roman" w:hAnsi="Times New Roman"/>
                <w:sz w:val="24"/>
                <w:szCs w:val="24"/>
                <w:lang w:eastAsia="ar-SA"/>
              </w:rPr>
              <w:t>Nuostatai)</w:t>
            </w:r>
            <w:r>
              <w:rPr>
                <w:rFonts w:ascii="Times New Roman" w:hAnsi="Times New Roman"/>
                <w:sz w:val="24"/>
                <w:szCs w:val="24"/>
                <w:lang w:eastAsia="ar-SA"/>
              </w:rPr>
              <w:t xml:space="preserve"> </w:t>
            </w:r>
            <w:r>
              <w:rPr>
                <w:rFonts w:ascii="Times New Roman" w:hAnsi="Times New Roman"/>
                <w:color w:val="000000"/>
                <w:sz w:val="24"/>
                <w:szCs w:val="24"/>
              </w:rPr>
              <w:t xml:space="preserve">pakeitimai siekiant juos suderinti su </w:t>
            </w:r>
            <w:r>
              <w:rPr>
                <w:rFonts w:ascii="Times New Roman" w:hAnsi="Times New Roman"/>
                <w:sz w:val="24"/>
                <w:szCs w:val="24"/>
                <w:lang w:eastAsia="ar-SA"/>
              </w:rPr>
              <w:t>Bendruoju</w:t>
            </w:r>
            <w:r w:rsidRPr="00EE6BFC">
              <w:rPr>
                <w:rFonts w:ascii="Times New Roman" w:hAnsi="Times New Roman"/>
                <w:sz w:val="24"/>
                <w:szCs w:val="24"/>
                <w:lang w:eastAsia="ar-SA"/>
              </w:rPr>
              <w:t xml:space="preserve"> duomenų apsaugos reglamentu</w:t>
            </w:r>
            <w:r>
              <w:rPr>
                <w:rFonts w:ascii="Times New Roman" w:hAnsi="Times New Roman"/>
                <w:sz w:val="24"/>
                <w:szCs w:val="24"/>
                <w:lang w:eastAsia="ar-SA"/>
              </w:rPr>
              <w:t xml:space="preserve"> ir </w:t>
            </w:r>
            <w:r>
              <w:rPr>
                <w:rFonts w:ascii="Times New Roman" w:hAnsi="Times New Roman"/>
                <w:sz w:val="24"/>
                <w:szCs w:val="24"/>
              </w:rPr>
              <w:t>Lietuvos Respublikos asmens duomenų teisinės apsaugos įstatymu</w:t>
            </w:r>
            <w:r w:rsidR="00C97336">
              <w:rPr>
                <w:rFonts w:ascii="Times New Roman" w:hAnsi="Times New Roman"/>
                <w:sz w:val="24"/>
                <w:szCs w:val="24"/>
              </w:rPr>
              <w:t xml:space="preserve"> bus inicijuoti priėmus </w:t>
            </w:r>
            <w:r w:rsidR="00C97336" w:rsidRPr="00EE6BFC">
              <w:rPr>
                <w:rFonts w:ascii="Times New Roman" w:hAnsi="Times New Roman"/>
                <w:sz w:val="24"/>
                <w:szCs w:val="24"/>
                <w:lang w:eastAsia="ar-SA"/>
              </w:rPr>
              <w:t>Valstybės informa</w:t>
            </w:r>
            <w:r w:rsidR="00C97336">
              <w:rPr>
                <w:rFonts w:ascii="Times New Roman" w:hAnsi="Times New Roman"/>
                <w:sz w:val="24"/>
                <w:szCs w:val="24"/>
                <w:lang w:eastAsia="ar-SA"/>
              </w:rPr>
              <w:t>cinių išteklių valdymo įstatymo pakeitimus.</w:t>
            </w:r>
          </w:p>
        </w:tc>
      </w:tr>
      <w:tr w:rsidR="00320099" w:rsidRPr="000479E4" w:rsidTr="008F0EFF">
        <w:trPr>
          <w:trHeight w:val="65"/>
        </w:trPr>
        <w:tc>
          <w:tcPr>
            <w:tcW w:w="1728" w:type="dxa"/>
            <w:tcBorders>
              <w:right w:val="single" w:sz="4" w:space="0" w:color="auto"/>
            </w:tcBorders>
            <w:shd w:val="clear" w:color="auto" w:fill="auto"/>
          </w:tcPr>
          <w:p w:rsidR="00416115" w:rsidRDefault="00416115" w:rsidP="00416115">
            <w:pPr>
              <w:spacing w:after="0" w:line="240" w:lineRule="auto"/>
              <w:rPr>
                <w:rFonts w:ascii="Times New Roman" w:eastAsia="Times New Roman" w:hAnsi="Times New Roman" w:cs="Times New Roman"/>
                <w:sz w:val="24"/>
                <w:szCs w:val="24"/>
                <w:lang w:eastAsia="lt-LT"/>
              </w:rPr>
            </w:pPr>
            <w:bookmarkStart w:id="0" w:name="_GoBack" w:colFirst="0" w:colLast="3"/>
            <w:r>
              <w:rPr>
                <w:rFonts w:ascii="Times New Roman" w:eastAsia="Times New Roman" w:hAnsi="Times New Roman" w:cs="Times New Roman"/>
                <w:sz w:val="24"/>
                <w:szCs w:val="24"/>
                <w:lang w:eastAsia="lt-LT"/>
              </w:rPr>
              <w:lastRenderedPageBreak/>
              <w:t xml:space="preserve">Lietuvos notarų rūmų </w:t>
            </w:r>
          </w:p>
          <w:p w:rsidR="00320099" w:rsidRDefault="00416115" w:rsidP="00416115">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2019-01-03 raštas Nr. S-4</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320099" w:rsidRPr="00320099" w:rsidRDefault="00320099" w:rsidP="00AD7B14">
            <w:pPr>
              <w:pStyle w:val="Pagrindiniotekstotrauka"/>
              <w:ind w:firstLine="343"/>
              <w:rPr>
                <w:i/>
                <w:szCs w:val="24"/>
              </w:rPr>
            </w:pPr>
            <w:r w:rsidRPr="00320099">
              <w:rPr>
                <w:i/>
                <w:szCs w:val="24"/>
              </w:rPr>
              <w:t>Dėl Projekto 1.6 punkto</w:t>
            </w:r>
          </w:p>
          <w:p w:rsidR="00320099" w:rsidRPr="00320099" w:rsidRDefault="00320099" w:rsidP="00AD7B14">
            <w:pPr>
              <w:pStyle w:val="Pagrindiniotekstotrauka"/>
              <w:ind w:firstLine="343"/>
              <w:rPr>
                <w:szCs w:val="24"/>
              </w:rPr>
            </w:pPr>
            <w:r w:rsidRPr="00320099">
              <w:rPr>
                <w:szCs w:val="24"/>
              </w:rPr>
              <w:t xml:space="preserve">Projektu siekiama nustatyti, kad Registro duomenys, informacija ir dokumentų kopijos teikiami atlygintinai, išskyrus Valstybės informacinių išteklių valdymo įstatyme nurodytus atvejus. Rašte, kuriuo teikiamas Projektas, nurodoma, kad „Atsižvelgiant </w:t>
            </w:r>
            <w:r>
              <w:rPr>
                <w:szCs w:val="24"/>
              </w:rPr>
              <w:t>į</w:t>
            </w:r>
            <w:r w:rsidRPr="00320099">
              <w:rPr>
                <w:szCs w:val="24"/>
              </w:rPr>
              <w:t xml:space="preserve"> tai, kad notarai nelaikytini viešojo administravimo subjektais ir nepriskirtini valstybės ir savivaldybės institucijoms ir </w:t>
            </w:r>
            <w:r>
              <w:rPr>
                <w:szCs w:val="24"/>
              </w:rPr>
              <w:t>į</w:t>
            </w:r>
            <w:r w:rsidRPr="00320099">
              <w:rPr>
                <w:szCs w:val="24"/>
              </w:rPr>
              <w:t xml:space="preserve">staigoms, vadovaujantis Įstatymo 29 straipsnio 3 dalies 3 punktu už notarams teikiamus registro duomenis </w:t>
            </w:r>
            <w:r w:rsidRPr="00320099">
              <w:rPr>
                <w:szCs w:val="24"/>
              </w:rPr>
              <w:lastRenderedPageBreak/>
              <w:t>valstybės Įmonei Registrų centrui patirtos sąnaudos kompensuojamos nebus.“.</w:t>
            </w:r>
          </w:p>
          <w:p w:rsidR="00320099" w:rsidRPr="00320099" w:rsidRDefault="00320099" w:rsidP="00AD7B14">
            <w:pPr>
              <w:pStyle w:val="Pagrindiniotekstotrauka"/>
              <w:ind w:firstLine="343"/>
              <w:rPr>
                <w:szCs w:val="24"/>
              </w:rPr>
            </w:pPr>
            <w:r w:rsidRPr="00320099">
              <w:rPr>
                <w:szCs w:val="24"/>
              </w:rPr>
              <w:t xml:space="preserve">Vadovaujantis Valstybės informacinių išteklių valdymo įstatymo 29 straipsnio 3 dalies 3 punktu, registro duomenys, registro informacija, registrui pateikti dokumentai ir (arba) jų kopijos neatlygintinai teikiami mokesčių administravimo, teisėtvarkos institucijoms ir teismams teisės aktuose nustatytoms funkcijos atlikti pagal prašymą ir (arba) sutartis. Pažymėtina, kad notaras yra valstybės </w:t>
            </w:r>
            <w:r>
              <w:rPr>
                <w:szCs w:val="24"/>
              </w:rPr>
              <w:t>į</w:t>
            </w:r>
            <w:r w:rsidRPr="00320099">
              <w:rPr>
                <w:szCs w:val="24"/>
              </w:rPr>
              <w:t>galiotas asmuo (N</w:t>
            </w:r>
            <w:r>
              <w:rPr>
                <w:szCs w:val="24"/>
              </w:rPr>
              <w:t>o</w:t>
            </w:r>
            <w:r w:rsidRPr="00320099">
              <w:rPr>
                <w:szCs w:val="24"/>
              </w:rPr>
              <w:t>tariat</w:t>
            </w:r>
            <w:r>
              <w:rPr>
                <w:szCs w:val="24"/>
              </w:rPr>
              <w:t>o į</w:t>
            </w:r>
            <w:r w:rsidRPr="00320099">
              <w:rPr>
                <w:szCs w:val="24"/>
              </w:rPr>
              <w:t>statymo 2 str. ir kt</w:t>
            </w:r>
            <w:r>
              <w:rPr>
                <w:szCs w:val="24"/>
              </w:rPr>
              <w:t>.</w:t>
            </w:r>
            <w:r w:rsidRPr="00320099">
              <w:rPr>
                <w:szCs w:val="24"/>
              </w:rPr>
              <w:t xml:space="preserve">), vykdantis valstybės deleguotas viešojo pobūdžio teisėsaugos funkcijas (žr. pavyzdžiui. </w:t>
            </w:r>
            <w:r w:rsidRPr="00320099">
              <w:rPr>
                <w:i/>
                <w:szCs w:val="24"/>
              </w:rPr>
              <w:t>Autorių kolektyvas. Nota</w:t>
            </w:r>
            <w:r>
              <w:rPr>
                <w:i/>
                <w:szCs w:val="24"/>
              </w:rPr>
              <w:t>r</w:t>
            </w:r>
            <w:r w:rsidRPr="00320099">
              <w:rPr>
                <w:i/>
                <w:szCs w:val="24"/>
              </w:rPr>
              <w:t xml:space="preserve">iato teisė. Klaipėda: </w:t>
            </w:r>
            <w:proofErr w:type="spellStart"/>
            <w:r w:rsidRPr="00320099">
              <w:rPr>
                <w:i/>
                <w:szCs w:val="24"/>
              </w:rPr>
              <w:t>Druka</w:t>
            </w:r>
            <w:proofErr w:type="spellEnd"/>
            <w:r w:rsidRPr="00320099">
              <w:rPr>
                <w:i/>
                <w:szCs w:val="24"/>
              </w:rPr>
              <w:t>, 2014, 1 s</w:t>
            </w:r>
            <w:r>
              <w:rPr>
                <w:i/>
                <w:szCs w:val="24"/>
              </w:rPr>
              <w:t>k</w:t>
            </w:r>
            <w:r w:rsidRPr="00320099">
              <w:rPr>
                <w:i/>
                <w:szCs w:val="24"/>
              </w:rPr>
              <w:t>yri</w:t>
            </w:r>
            <w:r>
              <w:rPr>
                <w:i/>
                <w:szCs w:val="24"/>
              </w:rPr>
              <w:t>u</w:t>
            </w:r>
            <w:r w:rsidRPr="00320099">
              <w:rPr>
                <w:i/>
                <w:szCs w:val="24"/>
              </w:rPr>
              <w:t>s</w:t>
            </w:r>
            <w:r>
              <w:rPr>
                <w:i/>
                <w:szCs w:val="24"/>
              </w:rPr>
              <w:t>;</w:t>
            </w:r>
            <w:r w:rsidRPr="00320099">
              <w:rPr>
                <w:i/>
                <w:szCs w:val="24"/>
              </w:rPr>
              <w:t xml:space="preserve"> P. </w:t>
            </w:r>
            <w:proofErr w:type="spellStart"/>
            <w:r w:rsidRPr="00320099">
              <w:rPr>
                <w:i/>
                <w:szCs w:val="24"/>
              </w:rPr>
              <w:t>Kuconis</w:t>
            </w:r>
            <w:proofErr w:type="spellEnd"/>
            <w:r w:rsidRPr="00320099">
              <w:rPr>
                <w:i/>
                <w:szCs w:val="24"/>
              </w:rPr>
              <w:t xml:space="preserve">, </w:t>
            </w:r>
            <w:r>
              <w:rPr>
                <w:i/>
                <w:szCs w:val="24"/>
              </w:rPr>
              <w:t>V. </w:t>
            </w:r>
            <w:r w:rsidRPr="00320099">
              <w:rPr>
                <w:i/>
                <w:szCs w:val="24"/>
              </w:rPr>
              <w:t xml:space="preserve">Nekrošius. Teisėsaugos institucijos. Vilnius: </w:t>
            </w:r>
            <w:proofErr w:type="spellStart"/>
            <w:r w:rsidRPr="00320099">
              <w:rPr>
                <w:i/>
                <w:szCs w:val="24"/>
              </w:rPr>
              <w:t>Justi</w:t>
            </w:r>
            <w:r>
              <w:rPr>
                <w:i/>
                <w:szCs w:val="24"/>
              </w:rPr>
              <w:t>c</w:t>
            </w:r>
            <w:r w:rsidRPr="00320099">
              <w:rPr>
                <w:i/>
                <w:szCs w:val="24"/>
              </w:rPr>
              <w:t>ia</w:t>
            </w:r>
            <w:proofErr w:type="spellEnd"/>
            <w:r w:rsidRPr="00320099">
              <w:rPr>
                <w:i/>
                <w:szCs w:val="24"/>
              </w:rPr>
              <w:t>, 2000, p. 16</w:t>
            </w:r>
            <w:r w:rsidRPr="00320099">
              <w:rPr>
                <w:szCs w:val="24"/>
              </w:rPr>
              <w:t>), užtikrinančias civilinių teisinių santykių dalyvių teises, o taip pat ir trečiųjų asmenų bei valstybės teisėtus interesus. No</w:t>
            </w:r>
            <w:r>
              <w:rPr>
                <w:szCs w:val="24"/>
              </w:rPr>
              <w:t>t</w:t>
            </w:r>
            <w:r w:rsidRPr="00320099">
              <w:rPr>
                <w:szCs w:val="24"/>
              </w:rPr>
              <w:t xml:space="preserve">ariato teisėsaugos funkcija pasireiškia ne tik notarams tiesiogiai atliekant notarinius veiksmus, tačiau ir teikiant duomenis kitoms teisėsaugos institucijoms, pavyzdžiui, Finansinių nusikaltimų tyrimo tarnybai. Vadovaujantis Lietuvos konstitucine jurisprudencija, moksline doktrina, per notarus valstybė vykdo savo viešąjį interesą užtikrinančias funkcijas. Todėl notariatas priskirtinas ne tik prie teisėsaugos, bet ir prie teisėtvarkos institucijų. Atsižvelgiant </w:t>
            </w:r>
            <w:r>
              <w:rPr>
                <w:szCs w:val="24"/>
              </w:rPr>
              <w:t>į</w:t>
            </w:r>
            <w:r w:rsidRPr="00320099">
              <w:rPr>
                <w:szCs w:val="24"/>
              </w:rPr>
              <w:t xml:space="preserve"> tai ir siekiant teisinio aiškumo dė</w:t>
            </w:r>
            <w:r>
              <w:rPr>
                <w:szCs w:val="24"/>
              </w:rPr>
              <w:t>l</w:t>
            </w:r>
            <w:r w:rsidRPr="00320099">
              <w:rPr>
                <w:szCs w:val="24"/>
              </w:rPr>
              <w:t xml:space="preserve"> praktikoje išsiskiriančių nuomonių notari</w:t>
            </w:r>
            <w:r>
              <w:rPr>
                <w:szCs w:val="24"/>
              </w:rPr>
              <w:t>ato atžvilgiu, siūlome į</w:t>
            </w:r>
            <w:r w:rsidRPr="00320099">
              <w:rPr>
                <w:szCs w:val="24"/>
              </w:rPr>
              <w:t>tvirtinti, kad Neveiksniu ir ribotai veiksnių asmenų registro duomenys ir dokumentų kopijos notarams teikiamos neatlygintinai. Atsižvelgiant i tai, kas išdėstyta, Projekto 1.6 punktą, siūlome formuluoti taip</w:t>
            </w:r>
            <w:r>
              <w:rPr>
                <w:szCs w:val="24"/>
              </w:rPr>
              <w:t>:</w:t>
            </w:r>
          </w:p>
          <w:p w:rsidR="00320099" w:rsidRPr="00320099" w:rsidRDefault="00320099" w:rsidP="00AD7B14">
            <w:pPr>
              <w:pStyle w:val="Pagrindiniotekstotrauka"/>
              <w:ind w:firstLine="201"/>
              <w:rPr>
                <w:szCs w:val="24"/>
              </w:rPr>
            </w:pPr>
            <w:r w:rsidRPr="00320099">
              <w:rPr>
                <w:szCs w:val="24"/>
              </w:rPr>
              <w:t>„1.6 Pakeisti 85 punktą ir jį išdėstyti taip</w:t>
            </w:r>
            <w:r>
              <w:rPr>
                <w:szCs w:val="24"/>
              </w:rPr>
              <w:t>:</w:t>
            </w:r>
          </w:p>
          <w:p w:rsidR="00320099" w:rsidRPr="00320099" w:rsidRDefault="00320099" w:rsidP="00AD7B14">
            <w:pPr>
              <w:pStyle w:val="Pagrindiniotekstotrauka"/>
              <w:ind w:firstLine="201"/>
              <w:rPr>
                <w:szCs w:val="24"/>
              </w:rPr>
            </w:pPr>
            <w:r w:rsidRPr="00320099">
              <w:rPr>
                <w:szCs w:val="24"/>
              </w:rPr>
              <w:t xml:space="preserve">„85. Registro duomenys, informacija ir dokumentų kopijos neatlygintinai teikiami notarams, notarinius veiksmus turintiems teisę atlikti asmenims, nurodytiems Civilinio kodekso 2.138 straipsnio 2 dalyje, ir kitais </w:t>
            </w:r>
            <w:r w:rsidRPr="00320099">
              <w:rPr>
                <w:szCs w:val="24"/>
              </w:rPr>
              <w:lastRenderedPageBreak/>
              <w:t>Valstybės informacinių išteklių valdymo įstatyme nurodytais atvejais.““</w:t>
            </w:r>
          </w:p>
        </w:tc>
        <w:tc>
          <w:tcPr>
            <w:tcW w:w="7654" w:type="dxa"/>
            <w:tcBorders>
              <w:left w:val="single" w:sz="4" w:space="0" w:color="auto"/>
            </w:tcBorders>
            <w:shd w:val="clear" w:color="auto" w:fill="auto"/>
          </w:tcPr>
          <w:p w:rsidR="00AD7B14" w:rsidRPr="00580BF4" w:rsidRDefault="00AD7B14" w:rsidP="00AD7B14">
            <w:pPr>
              <w:pStyle w:val="Komentarotekstas"/>
              <w:tabs>
                <w:tab w:val="left" w:pos="1276"/>
              </w:tabs>
              <w:jc w:val="both"/>
              <w:rPr>
                <w:rFonts w:ascii="Times New Roman" w:eastAsia="Calibri" w:hAnsi="Times New Roman"/>
                <w:b/>
                <w:bCs/>
                <w:color w:val="5B9BD5" w:themeColor="accent1"/>
                <w:sz w:val="24"/>
                <w:szCs w:val="24"/>
              </w:rPr>
            </w:pPr>
            <w:r w:rsidRPr="00580BF4">
              <w:rPr>
                <w:rFonts w:ascii="Times New Roman" w:eastAsia="Calibri" w:hAnsi="Times New Roman"/>
                <w:b/>
                <w:sz w:val="24"/>
                <w:szCs w:val="24"/>
              </w:rPr>
              <w:lastRenderedPageBreak/>
              <w:t>Neatsižvelgta.</w:t>
            </w:r>
          </w:p>
          <w:p w:rsidR="00AD7B14" w:rsidRPr="00AD7B14" w:rsidRDefault="00AD7B14" w:rsidP="006221C4">
            <w:pPr>
              <w:tabs>
                <w:tab w:val="right" w:pos="9638"/>
              </w:tabs>
              <w:suppressAutoHyphens/>
              <w:spacing w:after="0" w:line="240" w:lineRule="auto"/>
              <w:ind w:firstLine="317"/>
              <w:jc w:val="both"/>
              <w:rPr>
                <w:rFonts w:ascii="Times New Roman" w:eastAsia="Times New Roman" w:hAnsi="Times New Roman" w:cs="Times New Roman"/>
                <w:sz w:val="24"/>
                <w:szCs w:val="24"/>
                <w:lang w:eastAsia="ar-SA"/>
              </w:rPr>
            </w:pPr>
            <w:r w:rsidRPr="00AD7B14">
              <w:rPr>
                <w:rFonts w:ascii="Times New Roman" w:eastAsia="Times New Roman" w:hAnsi="Times New Roman" w:cs="Times New Roman"/>
                <w:sz w:val="24"/>
                <w:szCs w:val="24"/>
                <w:lang w:eastAsia="ar-SA"/>
              </w:rPr>
              <w:t xml:space="preserve">Dėl notarų priskyrimo valstybės institucijoms pažymėtina, kad teisės doktrinoje vyrauja nuomonė, kad notariato nereikėtų įtraukti į hierarchinę valstybės institucijų sistemą, nes vienas esminių notariato principų yra jo nepriklausomumas. </w:t>
            </w:r>
          </w:p>
          <w:p w:rsidR="00AD7B14" w:rsidRPr="00AD7B14" w:rsidRDefault="00AD7B14" w:rsidP="006221C4">
            <w:pPr>
              <w:tabs>
                <w:tab w:val="right" w:pos="9638"/>
              </w:tabs>
              <w:suppressAutoHyphens/>
              <w:spacing w:after="0" w:line="240" w:lineRule="auto"/>
              <w:ind w:firstLine="317"/>
              <w:jc w:val="both"/>
              <w:rPr>
                <w:rFonts w:ascii="Times New Roman" w:eastAsia="Times New Roman" w:hAnsi="Times New Roman" w:cs="Times New Roman"/>
                <w:sz w:val="24"/>
                <w:szCs w:val="24"/>
                <w:lang w:eastAsia="ar-SA"/>
              </w:rPr>
            </w:pPr>
            <w:r w:rsidRPr="00AD7B14">
              <w:rPr>
                <w:rFonts w:ascii="Times New Roman" w:eastAsia="Times New Roman" w:hAnsi="Times New Roman" w:cs="Times New Roman"/>
                <w:sz w:val="24"/>
                <w:szCs w:val="24"/>
                <w:lang w:eastAsia="ar-SA"/>
              </w:rPr>
              <w:t>Atkreiptinas dėmesys ir į tai, kad Lietuvos apeliacinis teismas 2001 m. gegužės 18 d. nutartyje civilinėje byloje Nr. 2-175/2001 yra konstatavęs, kad ,,</w:t>
            </w:r>
            <w:r w:rsidRPr="00AD7B14">
              <w:rPr>
                <w:rFonts w:ascii="Times New Roman" w:eastAsia="Times New Roman" w:hAnsi="Times New Roman" w:cs="Times New Roman"/>
                <w:i/>
                <w:sz w:val="24"/>
                <w:szCs w:val="24"/>
                <w:lang w:eastAsia="ar-SA"/>
              </w:rPr>
              <w:t xml:space="preserve">notaro vykdomos funkcijos, nors ir turi viešojo pobūdžio elementų, tačiau orientuojamos labiau į civilinių teisinių santykių apyvartos teisėtumo priežiūros užtikrinimą; notaro funkcijos savo prigimtimi iš esmės skiriasi nuo vykdomosios veiklos, būdingos administracinių teisinių santykių subjektų </w:t>
            </w:r>
            <w:r w:rsidRPr="00AD7B14">
              <w:rPr>
                <w:rFonts w:ascii="Times New Roman" w:eastAsia="Times New Roman" w:hAnsi="Times New Roman" w:cs="Times New Roman"/>
                <w:i/>
                <w:sz w:val="24"/>
                <w:szCs w:val="24"/>
                <w:lang w:eastAsia="ar-SA"/>
              </w:rPr>
              <w:lastRenderedPageBreak/>
              <w:t>ratui tiek viešojo, tiek vidinio administravimo prasme. Atliekant valstybės pavestas funkcijas, valdingi įgalinimai notarui nėra suteikti ir jis veikia kaip privatus asmuo, valstybei kontroliuojant jo veiklą</w:t>
            </w:r>
            <w:r w:rsidRPr="00AD7B14">
              <w:rPr>
                <w:rFonts w:ascii="Times New Roman" w:eastAsia="Times New Roman" w:hAnsi="Times New Roman" w:cs="Times New Roman"/>
                <w:sz w:val="24"/>
                <w:szCs w:val="24"/>
                <w:lang w:eastAsia="ar-SA"/>
              </w:rPr>
              <w:t>“. Atsižvelgiant į tai, Lietuvoje notaras nelaikomas viešojo administravimo subjektu. Tuo tarpu Lietuvos Respublikos teisės gauti informaciją iš valstybės ir savivaldybių institucijų ir įstaigų įstatyme, Asmens duomenų teisinės apsaugos įstatyme, kuriuose apibrėžiama valstybės institucijos sąvoka, valstybės institucijų funkcijos yra siejamos su viešojo administravimo subjekto veikla.</w:t>
            </w:r>
          </w:p>
          <w:p w:rsidR="006221C4" w:rsidRDefault="007B19CD" w:rsidP="006221C4">
            <w:pPr>
              <w:tabs>
                <w:tab w:val="right" w:pos="9638"/>
              </w:tabs>
              <w:suppressAutoHyphens/>
              <w:spacing w:after="0" w:line="240" w:lineRule="auto"/>
              <w:ind w:firstLine="317"/>
              <w:jc w:val="both"/>
              <w:rPr>
                <w:rFonts w:ascii="Times New Roman" w:eastAsia="Times New Roman" w:hAnsi="Times New Roman" w:cs="Times New Roman"/>
                <w:sz w:val="24"/>
                <w:szCs w:val="24"/>
                <w:lang w:eastAsia="ar-SA"/>
              </w:rPr>
            </w:pPr>
            <w:r w:rsidRPr="00AD7B14">
              <w:rPr>
                <w:rFonts w:ascii="Times New Roman" w:eastAsia="Times New Roman" w:hAnsi="Times New Roman" w:cs="Times New Roman"/>
                <w:sz w:val="24"/>
                <w:szCs w:val="24"/>
                <w:lang w:eastAsia="ar-SA"/>
              </w:rPr>
              <w:t>Svarbu pabrėžti</w:t>
            </w:r>
            <w:r w:rsidR="006221C4">
              <w:rPr>
                <w:rFonts w:ascii="Times New Roman" w:eastAsia="Times New Roman" w:hAnsi="Times New Roman" w:cs="Times New Roman"/>
                <w:sz w:val="24"/>
                <w:szCs w:val="24"/>
                <w:lang w:eastAsia="ar-SA"/>
              </w:rPr>
              <w:t xml:space="preserve"> ir tai</w:t>
            </w:r>
            <w:r w:rsidRPr="00AD7B14">
              <w:rPr>
                <w:rFonts w:ascii="Times New Roman" w:eastAsia="Times New Roman" w:hAnsi="Times New Roman" w:cs="Times New Roman"/>
                <w:sz w:val="24"/>
                <w:szCs w:val="24"/>
                <w:lang w:eastAsia="ar-SA"/>
              </w:rPr>
              <w:t>, kad nuo 2019 m. sausio 1 d.</w:t>
            </w:r>
            <w:r>
              <w:rPr>
                <w:rFonts w:ascii="Times New Roman" w:eastAsia="Times New Roman" w:hAnsi="Times New Roman" w:cs="Times New Roman"/>
                <w:sz w:val="24"/>
                <w:szCs w:val="24"/>
                <w:lang w:eastAsia="ar-SA"/>
              </w:rPr>
              <w:t xml:space="preserve"> vadovaujantis Lietuvos Respublikos </w:t>
            </w:r>
            <w:r w:rsidR="00836577">
              <w:rPr>
                <w:rFonts w:ascii="Times New Roman" w:eastAsia="Times New Roman" w:hAnsi="Times New Roman" w:cs="Times New Roman"/>
                <w:sz w:val="24"/>
                <w:szCs w:val="24"/>
                <w:lang w:eastAsia="ar-SA"/>
              </w:rPr>
              <w:t>v</w:t>
            </w:r>
            <w:r w:rsidRPr="007B19CD">
              <w:rPr>
                <w:rFonts w:ascii="Times New Roman" w:eastAsia="Times New Roman" w:hAnsi="Times New Roman" w:cs="Times New Roman"/>
                <w:sz w:val="24"/>
                <w:szCs w:val="24"/>
                <w:lang w:eastAsia="ar-SA"/>
              </w:rPr>
              <w:t>alstybės informacinių išteklių valdymo įstatymo</w:t>
            </w:r>
            <w:r>
              <w:rPr>
                <w:rFonts w:ascii="Times New Roman" w:eastAsia="Times New Roman" w:hAnsi="Times New Roman" w:cs="Times New Roman"/>
                <w:sz w:val="24"/>
                <w:szCs w:val="24"/>
                <w:lang w:eastAsia="ar-SA"/>
              </w:rPr>
              <w:t xml:space="preserve"> 29 straipsnio 3 dalies 3 punktu, </w:t>
            </w:r>
            <w:r w:rsidRPr="00AD7B14">
              <w:rPr>
                <w:rFonts w:ascii="Times New Roman" w:eastAsia="Times New Roman" w:hAnsi="Times New Roman" w:cs="Times New Roman"/>
                <w:sz w:val="24"/>
                <w:szCs w:val="24"/>
                <w:lang w:eastAsia="ar-SA"/>
              </w:rPr>
              <w:t>subjektų, gal</w:t>
            </w:r>
            <w:r>
              <w:rPr>
                <w:rFonts w:ascii="Times New Roman" w:eastAsia="Times New Roman" w:hAnsi="Times New Roman" w:cs="Times New Roman"/>
                <w:sz w:val="24"/>
                <w:szCs w:val="24"/>
                <w:lang w:eastAsia="ar-SA"/>
              </w:rPr>
              <w:t>inčių</w:t>
            </w:r>
            <w:r w:rsidRPr="00AD7B14">
              <w:rPr>
                <w:rFonts w:ascii="Times New Roman" w:eastAsia="Times New Roman" w:hAnsi="Times New Roman" w:cs="Times New Roman"/>
                <w:sz w:val="24"/>
                <w:szCs w:val="24"/>
                <w:lang w:eastAsia="ar-SA"/>
              </w:rPr>
              <w:t xml:space="preserve"> neatlygintinai gauti registrų duomenis (teikti duomenis registravimui)</w:t>
            </w:r>
            <w:r>
              <w:rPr>
                <w:rFonts w:ascii="Times New Roman" w:eastAsia="Times New Roman" w:hAnsi="Times New Roman" w:cs="Times New Roman"/>
                <w:sz w:val="24"/>
                <w:szCs w:val="24"/>
                <w:lang w:eastAsia="ar-SA"/>
              </w:rPr>
              <w:t>, sąrašas yra</w:t>
            </w:r>
            <w:r w:rsidRPr="00AD7B14">
              <w:rPr>
                <w:rFonts w:ascii="Times New Roman" w:eastAsia="Times New Roman" w:hAnsi="Times New Roman" w:cs="Times New Roman"/>
                <w:sz w:val="24"/>
                <w:szCs w:val="24"/>
                <w:lang w:eastAsia="ar-SA"/>
              </w:rPr>
              <w:t xml:space="preserve"> </w:t>
            </w:r>
            <w:r w:rsidR="00836577">
              <w:rPr>
                <w:rFonts w:ascii="Times New Roman" w:eastAsia="Times New Roman" w:hAnsi="Times New Roman" w:cs="Times New Roman"/>
                <w:sz w:val="24"/>
                <w:szCs w:val="24"/>
                <w:lang w:eastAsia="ar-SA"/>
              </w:rPr>
              <w:t xml:space="preserve">ženkliai </w:t>
            </w:r>
            <w:r w:rsidRPr="00AD7B14">
              <w:rPr>
                <w:rFonts w:ascii="Times New Roman" w:eastAsia="Times New Roman" w:hAnsi="Times New Roman" w:cs="Times New Roman"/>
                <w:sz w:val="24"/>
                <w:szCs w:val="24"/>
                <w:lang w:eastAsia="ar-SA"/>
              </w:rPr>
              <w:t>išplečiamas</w:t>
            </w:r>
            <w:r>
              <w:rPr>
                <w:rFonts w:ascii="Times New Roman" w:eastAsia="Times New Roman" w:hAnsi="Times New Roman" w:cs="Times New Roman"/>
                <w:sz w:val="24"/>
                <w:szCs w:val="24"/>
                <w:lang w:eastAsia="ar-SA"/>
              </w:rPr>
              <w:t xml:space="preserve"> (</w:t>
            </w:r>
            <w:r w:rsidRPr="00836577">
              <w:rPr>
                <w:rFonts w:ascii="Times New Roman" w:eastAsia="Times New Roman" w:hAnsi="Times New Roman" w:cs="Times New Roman"/>
                <w:i/>
                <w:sz w:val="24"/>
                <w:szCs w:val="24"/>
                <w:lang w:eastAsia="ar-SA"/>
              </w:rPr>
              <w:t>iki šiol registro duomenys, jo informacija, registrui pateikti dokumentai ir (arba) jų kopijos neatlygintinai buvo teikiami ne visoms valstybės (savivaldybės) institucijoms (įstaigoms), o tik konkrečiam subjektų ratui (mokesčių administravimo, teisėtvarkos institucijoms ir teismams teisės aktuose nustatytoms funkcijoms atlikti</w:t>
            </w:r>
            <w:r w:rsidRPr="007B19CD">
              <w:rPr>
                <w:rFonts w:ascii="Times New Roman" w:eastAsia="Times New Roman" w:hAnsi="Times New Roman" w:cs="Times New Roman"/>
                <w:sz w:val="24"/>
                <w:szCs w:val="24"/>
                <w:lang w:eastAsia="ar-SA"/>
              </w:rPr>
              <w:t>)</w:t>
            </w:r>
            <w:r w:rsidR="00836577">
              <w:rPr>
                <w:rFonts w:ascii="Times New Roman" w:eastAsia="Times New Roman" w:hAnsi="Times New Roman" w:cs="Times New Roman"/>
                <w:sz w:val="24"/>
                <w:szCs w:val="24"/>
                <w:lang w:eastAsia="ar-SA"/>
              </w:rPr>
              <w:t xml:space="preserve">. Atsižvelgiant į tai, kad </w:t>
            </w:r>
            <w:r w:rsidRPr="00AD7B14">
              <w:rPr>
                <w:rFonts w:ascii="Times New Roman" w:eastAsia="Times New Roman" w:hAnsi="Times New Roman" w:cs="Times New Roman"/>
                <w:sz w:val="24"/>
                <w:szCs w:val="24"/>
                <w:lang w:eastAsia="ar-SA"/>
              </w:rPr>
              <w:t xml:space="preserve">registrų tvarkytojui valstybė turės kompensuoti visas patirtas neatlygintino duomenų teikimo (registravimo) sąnaudas, </w:t>
            </w:r>
            <w:r w:rsidR="00836577">
              <w:rPr>
                <w:rFonts w:ascii="Times New Roman" w:eastAsia="Times New Roman" w:hAnsi="Times New Roman" w:cs="Times New Roman"/>
                <w:sz w:val="24"/>
                <w:szCs w:val="24"/>
                <w:lang w:eastAsia="ar-SA"/>
              </w:rPr>
              <w:t xml:space="preserve">valstybės biudžeto netekimai padidės dėl išaugusių </w:t>
            </w:r>
            <w:r w:rsidRPr="00AD7B14">
              <w:rPr>
                <w:rFonts w:ascii="Times New Roman" w:eastAsia="Times New Roman" w:hAnsi="Times New Roman" w:cs="Times New Roman"/>
                <w:sz w:val="24"/>
                <w:szCs w:val="24"/>
                <w:lang w:eastAsia="ar-SA"/>
              </w:rPr>
              <w:t>neatlygintino duomenų teikimo (registravimo) sąnaud</w:t>
            </w:r>
            <w:r w:rsidR="00836577">
              <w:rPr>
                <w:rFonts w:ascii="Times New Roman" w:eastAsia="Times New Roman" w:hAnsi="Times New Roman" w:cs="Times New Roman"/>
                <w:sz w:val="24"/>
                <w:szCs w:val="24"/>
                <w:lang w:eastAsia="ar-SA"/>
              </w:rPr>
              <w:t>ų išsiplėtus</w:t>
            </w:r>
            <w:r w:rsidRPr="00AD7B14">
              <w:rPr>
                <w:rFonts w:ascii="Times New Roman" w:eastAsia="Times New Roman" w:hAnsi="Times New Roman" w:cs="Times New Roman"/>
                <w:sz w:val="24"/>
                <w:szCs w:val="24"/>
                <w:lang w:eastAsia="ar-SA"/>
              </w:rPr>
              <w:t xml:space="preserve"> subjektų sąraš</w:t>
            </w:r>
            <w:r w:rsidR="00836577">
              <w:rPr>
                <w:rFonts w:ascii="Times New Roman" w:eastAsia="Times New Roman" w:hAnsi="Times New Roman" w:cs="Times New Roman"/>
                <w:sz w:val="24"/>
                <w:szCs w:val="24"/>
                <w:lang w:eastAsia="ar-SA"/>
              </w:rPr>
              <w:t>ui</w:t>
            </w:r>
            <w:r w:rsidR="00BF425A">
              <w:rPr>
                <w:rFonts w:ascii="Times New Roman" w:eastAsia="Times New Roman" w:hAnsi="Times New Roman" w:cs="Times New Roman"/>
                <w:sz w:val="24"/>
                <w:szCs w:val="24"/>
                <w:lang w:eastAsia="ar-SA"/>
              </w:rPr>
              <w:t xml:space="preserve">. Atitinkamai planuojant valstybės biudžeto </w:t>
            </w:r>
            <w:proofErr w:type="spellStart"/>
            <w:r w:rsidR="00BF425A">
              <w:rPr>
                <w:rFonts w:ascii="Times New Roman" w:eastAsia="Times New Roman" w:hAnsi="Times New Roman" w:cs="Times New Roman"/>
                <w:sz w:val="24"/>
                <w:szCs w:val="24"/>
                <w:lang w:eastAsia="ar-SA"/>
              </w:rPr>
              <w:t>asignavimus</w:t>
            </w:r>
            <w:proofErr w:type="spellEnd"/>
            <w:r w:rsidR="00BF425A">
              <w:rPr>
                <w:rFonts w:ascii="Times New Roman" w:eastAsia="Times New Roman" w:hAnsi="Times New Roman" w:cs="Times New Roman"/>
                <w:sz w:val="24"/>
                <w:szCs w:val="24"/>
                <w:lang w:eastAsia="ar-SA"/>
              </w:rPr>
              <w:t xml:space="preserve"> šioms funkcijoms vykdyti</w:t>
            </w:r>
            <w:r w:rsidRPr="00AD7B14">
              <w:rPr>
                <w:rFonts w:ascii="Times New Roman" w:eastAsia="Times New Roman" w:hAnsi="Times New Roman" w:cs="Times New Roman"/>
                <w:sz w:val="24"/>
                <w:szCs w:val="24"/>
                <w:lang w:eastAsia="ar-SA"/>
              </w:rPr>
              <w:t xml:space="preserve"> </w:t>
            </w:r>
            <w:r w:rsidR="00C7014F">
              <w:rPr>
                <w:rFonts w:ascii="Times New Roman" w:eastAsia="Times New Roman" w:hAnsi="Times New Roman" w:cs="Times New Roman"/>
                <w:sz w:val="24"/>
                <w:szCs w:val="24"/>
                <w:lang w:eastAsia="ar-SA"/>
              </w:rPr>
              <w:t xml:space="preserve">registrų ir valstybės informacinių sistemų tvarkytojų patirtų sąnaudų kompensavimas už </w:t>
            </w:r>
            <w:r w:rsidR="00BF425A">
              <w:rPr>
                <w:rFonts w:ascii="Times New Roman" w:eastAsia="Times New Roman" w:hAnsi="Times New Roman" w:cs="Times New Roman"/>
                <w:sz w:val="24"/>
                <w:szCs w:val="24"/>
                <w:lang w:eastAsia="ar-SA"/>
              </w:rPr>
              <w:t xml:space="preserve">duomenų, informacijos ir dokumentų teikimą notarams nebuvo </w:t>
            </w:r>
            <w:r w:rsidR="00C7014F">
              <w:rPr>
                <w:rFonts w:ascii="Times New Roman" w:eastAsia="Times New Roman" w:hAnsi="Times New Roman" w:cs="Times New Roman"/>
                <w:sz w:val="24"/>
                <w:szCs w:val="24"/>
                <w:lang w:eastAsia="ar-SA"/>
              </w:rPr>
              <w:t>numatytas.</w:t>
            </w:r>
          </w:p>
          <w:p w:rsidR="007B19CD" w:rsidRDefault="00836577" w:rsidP="006221C4">
            <w:pPr>
              <w:tabs>
                <w:tab w:val="right" w:pos="9638"/>
              </w:tabs>
              <w:suppressAutoHyphens/>
              <w:spacing w:after="0" w:line="240" w:lineRule="auto"/>
              <w:ind w:firstLine="31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Todėl siekdamas užtikrinti tinkamą įstatymo įgyvendinimą bei valstybės lėšų panaudojimą, r</w:t>
            </w:r>
            <w:r w:rsidR="007B19CD" w:rsidRPr="00AD7B14">
              <w:rPr>
                <w:rFonts w:ascii="Times New Roman" w:eastAsia="Times New Roman" w:hAnsi="Times New Roman" w:cs="Times New Roman"/>
                <w:sz w:val="24"/>
                <w:szCs w:val="24"/>
                <w:lang w:eastAsia="ar-SA"/>
              </w:rPr>
              <w:t>egistr</w:t>
            </w:r>
            <w:r w:rsidR="007B19CD">
              <w:rPr>
                <w:rFonts w:ascii="Times New Roman" w:eastAsia="Times New Roman" w:hAnsi="Times New Roman" w:cs="Times New Roman"/>
                <w:sz w:val="24"/>
                <w:szCs w:val="24"/>
                <w:lang w:eastAsia="ar-SA"/>
              </w:rPr>
              <w:t>o</w:t>
            </w:r>
            <w:r w:rsidR="007B19CD" w:rsidRPr="00AD7B14">
              <w:rPr>
                <w:rFonts w:ascii="Times New Roman" w:eastAsia="Times New Roman" w:hAnsi="Times New Roman" w:cs="Times New Roman"/>
                <w:sz w:val="24"/>
                <w:szCs w:val="24"/>
                <w:lang w:eastAsia="ar-SA"/>
              </w:rPr>
              <w:t xml:space="preserve"> tvarkytojas, kiekvienu konkrečiu atveju gavęs prašymą dėl registro duomenų gavimo ar registro objekto registravimo, turė</w:t>
            </w:r>
            <w:r w:rsidR="007B19CD">
              <w:rPr>
                <w:rFonts w:ascii="Times New Roman" w:eastAsia="Times New Roman" w:hAnsi="Times New Roman" w:cs="Times New Roman"/>
                <w:sz w:val="24"/>
                <w:szCs w:val="24"/>
                <w:lang w:eastAsia="ar-SA"/>
              </w:rPr>
              <w:t>s</w:t>
            </w:r>
            <w:r w:rsidR="007B19CD" w:rsidRPr="00AD7B14">
              <w:rPr>
                <w:rFonts w:ascii="Times New Roman" w:eastAsia="Times New Roman" w:hAnsi="Times New Roman" w:cs="Times New Roman"/>
                <w:sz w:val="24"/>
                <w:szCs w:val="24"/>
                <w:lang w:eastAsia="ar-SA"/>
              </w:rPr>
              <w:t xml:space="preserve"> vertinti, ar subjektas</w:t>
            </w:r>
            <w:r w:rsidR="007B19CD">
              <w:rPr>
                <w:rFonts w:ascii="Times New Roman" w:eastAsia="Times New Roman" w:hAnsi="Times New Roman" w:cs="Times New Roman"/>
                <w:sz w:val="24"/>
                <w:szCs w:val="24"/>
                <w:lang w:eastAsia="ar-SA"/>
              </w:rPr>
              <w:t xml:space="preserve"> </w:t>
            </w:r>
            <w:r w:rsidR="007B19CD" w:rsidRPr="00AD7B14">
              <w:rPr>
                <w:rFonts w:ascii="Times New Roman" w:eastAsia="Times New Roman" w:hAnsi="Times New Roman" w:cs="Times New Roman"/>
                <w:sz w:val="24"/>
                <w:szCs w:val="24"/>
                <w:lang w:eastAsia="ar-SA"/>
              </w:rPr>
              <w:t xml:space="preserve">yra valstybės (savivaldybės) institucija (įstaiga), vadovaudamasis Asmens duomenų teisinės apsaugos įstatyme, Lietuvos Respublikos teisės gauti informaciją iš valstybės ir savivaldybių institucijų ir įstaigų įstatyme, kituose įstatymuose, taip pat teismų praktikoje apibrėžtomis valstybės (savivaldybės) institucijų (įstaigų) sąvokomis, pateiktais </w:t>
            </w:r>
            <w:proofErr w:type="spellStart"/>
            <w:r w:rsidR="007B19CD" w:rsidRPr="00AD7B14">
              <w:rPr>
                <w:rFonts w:ascii="Times New Roman" w:eastAsia="Times New Roman" w:hAnsi="Times New Roman" w:cs="Times New Roman"/>
                <w:sz w:val="24"/>
                <w:szCs w:val="24"/>
                <w:lang w:eastAsia="ar-SA"/>
              </w:rPr>
              <w:t>išaiškinimais</w:t>
            </w:r>
            <w:proofErr w:type="spellEnd"/>
            <w:r w:rsidR="007B19CD" w:rsidRPr="00AD7B14">
              <w:rPr>
                <w:rFonts w:ascii="Times New Roman" w:eastAsia="Times New Roman" w:hAnsi="Times New Roman" w:cs="Times New Roman"/>
                <w:sz w:val="24"/>
                <w:szCs w:val="24"/>
                <w:lang w:eastAsia="ar-SA"/>
              </w:rPr>
              <w:t>. Kilus ginčui dėl subjekto priskyrimo valstybės (savivaldybės) institucijai (įstaigai), taip pat dėl duomenų gavimo (teikimo) pagrindo, tokį gi</w:t>
            </w:r>
            <w:r>
              <w:rPr>
                <w:rFonts w:ascii="Times New Roman" w:eastAsia="Times New Roman" w:hAnsi="Times New Roman" w:cs="Times New Roman"/>
                <w:sz w:val="24"/>
                <w:szCs w:val="24"/>
                <w:lang w:eastAsia="ar-SA"/>
              </w:rPr>
              <w:t>nčą galėtų spręsti tik teismas.</w:t>
            </w:r>
          </w:p>
          <w:p w:rsidR="00320099" w:rsidRPr="00580BF4" w:rsidRDefault="00836577" w:rsidP="00005AD9">
            <w:pPr>
              <w:tabs>
                <w:tab w:val="right" w:pos="9638"/>
              </w:tabs>
              <w:suppressAutoHyphens/>
              <w:spacing w:after="0" w:line="240" w:lineRule="auto"/>
              <w:ind w:firstLine="317"/>
              <w:jc w:val="both"/>
              <w:rPr>
                <w:rFonts w:ascii="Times New Roman" w:eastAsia="Calibri" w:hAnsi="Times New Roman"/>
                <w:b/>
                <w:sz w:val="24"/>
                <w:szCs w:val="24"/>
              </w:rPr>
            </w:pPr>
            <w:r w:rsidRPr="00AD7B14">
              <w:rPr>
                <w:rFonts w:ascii="Times New Roman" w:eastAsia="Times New Roman" w:hAnsi="Times New Roman" w:cs="Times New Roman"/>
                <w:sz w:val="24"/>
                <w:szCs w:val="24"/>
                <w:lang w:eastAsia="ar-SA"/>
              </w:rPr>
              <w:lastRenderedPageBreak/>
              <w:t xml:space="preserve">Atsižvelgiant į tai, kas išdėstyta, </w:t>
            </w:r>
            <w:r>
              <w:rPr>
                <w:rFonts w:ascii="Times New Roman" w:eastAsia="Times New Roman" w:hAnsi="Times New Roman" w:cs="Times New Roman"/>
                <w:sz w:val="24"/>
                <w:szCs w:val="24"/>
                <w:lang w:eastAsia="ar-SA"/>
              </w:rPr>
              <w:t xml:space="preserve">manome, </w:t>
            </w:r>
            <w:r w:rsidRPr="00CB3905">
              <w:rPr>
                <w:rFonts w:ascii="Times New Roman" w:eastAsia="Times New Roman" w:hAnsi="Times New Roman" w:cs="Times New Roman"/>
                <w:sz w:val="24"/>
                <w:szCs w:val="24"/>
                <w:lang w:eastAsia="ar-SA"/>
              </w:rPr>
              <w:t>kad Nutarimo projekto 1.6 papunkčiu keičiamo Nuostatų 85 punkto formuluotė, numatanti</w:t>
            </w:r>
            <w:r w:rsidR="006221C4" w:rsidRPr="00CB3905">
              <w:rPr>
                <w:rFonts w:ascii="Times New Roman" w:eastAsia="Times New Roman" w:hAnsi="Times New Roman" w:cs="Times New Roman"/>
                <w:sz w:val="24"/>
                <w:szCs w:val="24"/>
                <w:lang w:eastAsia="ar-SA"/>
              </w:rPr>
              <w:t xml:space="preserve">, jog </w:t>
            </w:r>
            <w:r w:rsidR="006221C4" w:rsidRPr="00CB3905">
              <w:rPr>
                <w:rFonts w:ascii="Times New Roman" w:eastAsia="Times New Roman" w:hAnsi="Times New Roman" w:cs="Times New Roman"/>
                <w:i/>
                <w:sz w:val="24"/>
                <w:szCs w:val="24"/>
                <w:lang w:eastAsia="ar-SA"/>
              </w:rPr>
              <w:t>registro duomenys, informacija ir dokumentų kopijos teikiami atlygintinai, išskyrus Valstybės informacinių išteklių valdymo įstatyme nurodytus atvejus</w:t>
            </w:r>
            <w:r w:rsidR="006221C4">
              <w:rPr>
                <w:rFonts w:ascii="Times New Roman" w:eastAsia="Times New Roman" w:hAnsi="Times New Roman" w:cs="Times New Roman"/>
                <w:sz w:val="24"/>
                <w:szCs w:val="24"/>
                <w:lang w:eastAsia="ar-SA"/>
              </w:rPr>
              <w:t>, yra tinkama ir jos keisti nereikia.</w:t>
            </w:r>
          </w:p>
        </w:tc>
      </w:tr>
      <w:bookmarkEnd w:id="0"/>
      <w:tr w:rsidR="008F0EFF" w:rsidRPr="000479E4" w:rsidTr="008F0EFF">
        <w:trPr>
          <w:trHeight w:val="65"/>
        </w:trPr>
        <w:tc>
          <w:tcPr>
            <w:tcW w:w="1728" w:type="dxa"/>
            <w:vMerge w:val="restart"/>
            <w:tcBorders>
              <w:right w:val="single" w:sz="4" w:space="0" w:color="auto"/>
            </w:tcBorders>
            <w:shd w:val="clear" w:color="auto" w:fill="auto"/>
          </w:tcPr>
          <w:p w:rsidR="008F0EFF" w:rsidRDefault="008F0EFF" w:rsidP="0081110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E</w:t>
            </w:r>
            <w:r w:rsidRPr="00811104">
              <w:rPr>
                <w:rFonts w:ascii="Times New Roman" w:eastAsia="Times New Roman" w:hAnsi="Times New Roman" w:cs="Times New Roman"/>
                <w:sz w:val="24"/>
                <w:szCs w:val="24"/>
                <w:lang w:eastAsia="lt-LT"/>
              </w:rPr>
              <w:t>konomikos ir inovacijų ministerija 2019-01-10 raštas Nr. 3-90</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F0EFF" w:rsidRPr="00320099" w:rsidRDefault="008F0EFF" w:rsidP="00BB0B30">
            <w:pPr>
              <w:pStyle w:val="Pagrindiniotekstotrauka"/>
              <w:ind w:firstLine="343"/>
              <w:rPr>
                <w:i/>
                <w:szCs w:val="24"/>
              </w:rPr>
            </w:pPr>
            <w:r>
              <w:rPr>
                <w:szCs w:val="24"/>
              </w:rPr>
              <w:t xml:space="preserve">3. </w:t>
            </w:r>
            <w:r w:rsidRPr="00E36A26">
              <w:rPr>
                <w:szCs w:val="24"/>
              </w:rPr>
              <w:t xml:space="preserve">Atsižvelgdami į šiuo metu galiojančių Nuostatų 13.1, 13.2, 14 ir 15 punktų nuostatas, siūlome Nutarimo projekto 2.1 papunktyje vietoje „asmenų, teismo tvarka pripažintų neveiksniais“ įrašyti žodžius „asmenų, teismo tvarka pripažintų neveiksniais </w:t>
            </w:r>
            <w:r w:rsidRPr="00E36A26">
              <w:rPr>
                <w:i/>
                <w:szCs w:val="24"/>
              </w:rPr>
              <w:t>tam tikroje srityje</w:t>
            </w:r>
            <w:r w:rsidRPr="00E36A26">
              <w:rPr>
                <w:szCs w:val="24"/>
              </w:rPr>
              <w:t xml:space="preserve">“ ir vietoje „asmenų, kurių civilinis veiksnumas apribotas“ įrašyti žodžius „asmenų, kurių civilinis veiksnumas </w:t>
            </w:r>
            <w:r w:rsidRPr="00E36A26">
              <w:rPr>
                <w:i/>
                <w:szCs w:val="24"/>
              </w:rPr>
              <w:t>teismo tvarka tam tikroje srityje</w:t>
            </w:r>
            <w:r w:rsidRPr="00E36A26">
              <w:rPr>
                <w:szCs w:val="24"/>
              </w:rPr>
              <w:t xml:space="preserve"> apribotas“.</w:t>
            </w:r>
          </w:p>
        </w:tc>
        <w:tc>
          <w:tcPr>
            <w:tcW w:w="7654" w:type="dxa"/>
            <w:tcBorders>
              <w:left w:val="single" w:sz="4" w:space="0" w:color="auto"/>
            </w:tcBorders>
            <w:shd w:val="clear" w:color="auto" w:fill="auto"/>
          </w:tcPr>
          <w:p w:rsidR="008F0EFF" w:rsidRDefault="008F0EFF" w:rsidP="00BB0B30">
            <w:pPr>
              <w:pStyle w:val="Komentarotekstas"/>
              <w:tabs>
                <w:tab w:val="left" w:pos="1276"/>
              </w:tabs>
              <w:jc w:val="both"/>
              <w:rPr>
                <w:rFonts w:ascii="Times New Roman" w:eastAsia="Calibri" w:hAnsi="Times New Roman"/>
                <w:b/>
                <w:sz w:val="24"/>
                <w:szCs w:val="24"/>
              </w:rPr>
            </w:pPr>
            <w:r>
              <w:rPr>
                <w:rFonts w:ascii="Times New Roman" w:eastAsia="Calibri" w:hAnsi="Times New Roman"/>
                <w:b/>
                <w:sz w:val="24"/>
                <w:szCs w:val="24"/>
              </w:rPr>
              <w:t>Neatsižvelgta.</w:t>
            </w:r>
          </w:p>
          <w:p w:rsidR="008F0EFF" w:rsidRDefault="008F0EFF" w:rsidP="003A2BB5">
            <w:pPr>
              <w:pStyle w:val="Komentarotekstas"/>
              <w:tabs>
                <w:tab w:val="left" w:pos="1276"/>
              </w:tabs>
              <w:jc w:val="both"/>
              <w:rPr>
                <w:rFonts w:ascii="Times New Roman" w:eastAsia="Calibri" w:hAnsi="Times New Roman"/>
                <w:sz w:val="24"/>
                <w:szCs w:val="24"/>
              </w:rPr>
            </w:pPr>
            <w:r>
              <w:rPr>
                <w:rFonts w:ascii="Times New Roman" w:eastAsia="Calibri" w:hAnsi="Times New Roman"/>
                <w:sz w:val="24"/>
                <w:szCs w:val="24"/>
              </w:rPr>
              <w:t>Iki 2016-01-01 Civiliniame kodekse nebuvo numatyta galimybės</w:t>
            </w:r>
            <w:r w:rsidRPr="0011169B">
              <w:rPr>
                <w:rFonts w:ascii="Times New Roman" w:eastAsia="Calibri" w:hAnsi="Times New Roman"/>
                <w:sz w:val="24"/>
                <w:szCs w:val="24"/>
              </w:rPr>
              <w:t xml:space="preserve"> asmenį neveiksniu ar ribotai veiksniu pripažinti tik tam tikro</w:t>
            </w:r>
            <w:r>
              <w:rPr>
                <w:rFonts w:ascii="Times New Roman" w:eastAsia="Calibri" w:hAnsi="Times New Roman"/>
                <w:sz w:val="24"/>
                <w:szCs w:val="24"/>
              </w:rPr>
              <w:t>j</w:t>
            </w:r>
            <w:r w:rsidRPr="0011169B">
              <w:rPr>
                <w:rFonts w:ascii="Times New Roman" w:eastAsia="Calibri" w:hAnsi="Times New Roman"/>
                <w:sz w:val="24"/>
                <w:szCs w:val="24"/>
              </w:rPr>
              <w:t>e srity</w:t>
            </w:r>
            <w:r>
              <w:rPr>
                <w:rFonts w:ascii="Times New Roman" w:eastAsia="Calibri" w:hAnsi="Times New Roman"/>
                <w:sz w:val="24"/>
                <w:szCs w:val="24"/>
              </w:rPr>
              <w:t xml:space="preserve">je. </w:t>
            </w:r>
          </w:p>
          <w:p w:rsidR="008F0EFF" w:rsidRPr="0011169B" w:rsidRDefault="008F0EFF" w:rsidP="00BF425A">
            <w:pPr>
              <w:pStyle w:val="Komentarotekstas"/>
              <w:tabs>
                <w:tab w:val="left" w:pos="1276"/>
              </w:tabs>
              <w:jc w:val="both"/>
              <w:rPr>
                <w:rFonts w:ascii="Times New Roman" w:eastAsia="Calibri" w:hAnsi="Times New Roman"/>
                <w:sz w:val="24"/>
                <w:szCs w:val="24"/>
              </w:rPr>
            </w:pPr>
            <w:r>
              <w:rPr>
                <w:rFonts w:ascii="Times New Roman" w:eastAsia="Calibri" w:hAnsi="Times New Roman"/>
                <w:sz w:val="24"/>
                <w:szCs w:val="24"/>
              </w:rPr>
              <w:t>Nutarimo projektu siekiama sudaryti teisines galimybes valstybės įmonei Registrų centrui tikslinti duomenis</w:t>
            </w:r>
            <w:r w:rsidRPr="003A2BB5">
              <w:rPr>
                <w:rFonts w:ascii="Times New Roman" w:eastAsia="Calibri" w:hAnsi="Times New Roman"/>
                <w:sz w:val="24"/>
                <w:szCs w:val="24"/>
              </w:rPr>
              <w:t xml:space="preserve"> apie asmenis, teismo pripažintus neveiksniais ir ribotai veiksniais, sukauptus</w:t>
            </w:r>
            <w:r>
              <w:rPr>
                <w:rFonts w:ascii="Times New Roman" w:eastAsia="Calibri" w:hAnsi="Times New Roman"/>
                <w:sz w:val="24"/>
                <w:szCs w:val="24"/>
              </w:rPr>
              <w:t xml:space="preserve"> dar</w:t>
            </w:r>
            <w:r w:rsidRPr="003A2BB5">
              <w:rPr>
                <w:rFonts w:ascii="Times New Roman" w:eastAsia="Calibri" w:hAnsi="Times New Roman"/>
                <w:sz w:val="24"/>
                <w:szCs w:val="24"/>
              </w:rPr>
              <w:t xml:space="preserve"> iki Registro įsteigimo dienos</w:t>
            </w:r>
            <w:r>
              <w:rPr>
                <w:rFonts w:ascii="Times New Roman" w:eastAsia="Calibri" w:hAnsi="Times New Roman"/>
                <w:sz w:val="24"/>
                <w:szCs w:val="24"/>
              </w:rPr>
              <w:t xml:space="preserve">, kuriuos </w:t>
            </w:r>
            <w:r w:rsidRPr="003A2BB5">
              <w:rPr>
                <w:rFonts w:ascii="Times New Roman" w:eastAsia="Calibri" w:hAnsi="Times New Roman"/>
                <w:sz w:val="24"/>
                <w:szCs w:val="24"/>
              </w:rPr>
              <w:t>Lietuvos notarų rūmai 2010 m. gruodžio 22 d. susitarimu Nr. B5-10548(10) perdavė</w:t>
            </w:r>
            <w:r>
              <w:rPr>
                <w:rFonts w:ascii="Times New Roman" w:eastAsia="Calibri" w:hAnsi="Times New Roman"/>
                <w:sz w:val="24"/>
                <w:szCs w:val="24"/>
              </w:rPr>
              <w:t xml:space="preserve"> registro tvarkytojui</w:t>
            </w:r>
            <w:r w:rsidRPr="003A2BB5">
              <w:rPr>
                <w:rFonts w:ascii="Times New Roman" w:eastAsia="Calibri" w:hAnsi="Times New Roman"/>
                <w:sz w:val="24"/>
                <w:szCs w:val="24"/>
              </w:rPr>
              <w:t>.</w:t>
            </w:r>
            <w:r>
              <w:rPr>
                <w:rFonts w:ascii="Times New Roman" w:eastAsia="Calibri" w:hAnsi="Times New Roman"/>
                <w:sz w:val="24"/>
                <w:szCs w:val="24"/>
              </w:rPr>
              <w:t xml:space="preserve"> </w:t>
            </w:r>
          </w:p>
        </w:tc>
      </w:tr>
      <w:tr w:rsidR="008F0EFF" w:rsidRPr="000479E4" w:rsidTr="008F0EFF">
        <w:trPr>
          <w:trHeight w:val="65"/>
        </w:trPr>
        <w:tc>
          <w:tcPr>
            <w:tcW w:w="1728" w:type="dxa"/>
            <w:vMerge/>
            <w:tcBorders>
              <w:right w:val="single" w:sz="4" w:space="0" w:color="auto"/>
            </w:tcBorders>
            <w:shd w:val="clear" w:color="auto" w:fill="auto"/>
          </w:tcPr>
          <w:p w:rsidR="008F0EFF" w:rsidRDefault="008F0EFF" w:rsidP="00BB0B30">
            <w:pPr>
              <w:spacing w:after="0" w:line="240" w:lineRule="auto"/>
              <w:rPr>
                <w:rFonts w:ascii="Times New Roman" w:eastAsia="Times New Roman" w:hAnsi="Times New Roman" w:cs="Times New Roman"/>
                <w:sz w:val="24"/>
                <w:szCs w:val="24"/>
                <w:lang w:eastAsia="lt-LT"/>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F0EFF" w:rsidRPr="00320099" w:rsidRDefault="008F0EFF" w:rsidP="00BB0B30">
            <w:pPr>
              <w:pStyle w:val="Pagrindiniotekstotrauka"/>
              <w:ind w:firstLine="343"/>
              <w:rPr>
                <w:i/>
                <w:szCs w:val="24"/>
              </w:rPr>
            </w:pPr>
            <w:r>
              <w:rPr>
                <w:szCs w:val="24"/>
              </w:rPr>
              <w:t xml:space="preserve">4. </w:t>
            </w:r>
            <w:r w:rsidRPr="00E36A26">
              <w:rPr>
                <w:szCs w:val="24"/>
              </w:rPr>
              <w:t>Pažymėtina, kad teisės akte neturi būti vertinamojo pobūdžio nuostatų, todėl Nutarimo projekto 2.1 ir 2.2 papunkčiuose siūlome atskleisti sąvokų „</w:t>
            </w:r>
            <w:r w:rsidRPr="00E36A26">
              <w:rPr>
                <w:i/>
                <w:szCs w:val="24"/>
              </w:rPr>
              <w:t>galima tinkamai identifikuoti</w:t>
            </w:r>
            <w:r w:rsidRPr="00E36A26">
              <w:rPr>
                <w:szCs w:val="24"/>
              </w:rPr>
              <w:t xml:space="preserve"> pagal Lietuvos Respublikos gyventojų registro duomenis“/„</w:t>
            </w:r>
            <w:r w:rsidRPr="00E36A26">
              <w:rPr>
                <w:i/>
                <w:szCs w:val="24"/>
              </w:rPr>
              <w:t>negalima tinkamai identifikuoti</w:t>
            </w:r>
            <w:r w:rsidRPr="00E36A26">
              <w:rPr>
                <w:szCs w:val="24"/>
              </w:rPr>
              <w:t xml:space="preserve"> pagal Lietuvos Respublikos gyventojų registro duomenis“ turinį. Iš dabartinių Nutarimo projekto 2.1 ir 2.2 papunkčių formuluočių  lieka neaišku, kokie turėtų būti VĮ Registrų centro tolimesni veiksmai, jeigu yra nurodytos asmenų gimimo datos ir registre reikia įrašyti asmens kodus, tačiau šių asmenų negalima tinkamai identifikuoti pagal registro duomenis (ar nurodyti asmenys turi būti išregistruojami, ar atliekami kiti veiksmai).</w:t>
            </w:r>
          </w:p>
        </w:tc>
        <w:tc>
          <w:tcPr>
            <w:tcW w:w="7654" w:type="dxa"/>
            <w:tcBorders>
              <w:left w:val="single" w:sz="4" w:space="0" w:color="auto"/>
            </w:tcBorders>
            <w:shd w:val="clear" w:color="auto" w:fill="auto"/>
          </w:tcPr>
          <w:p w:rsidR="008F0EFF" w:rsidRPr="00580BF4" w:rsidRDefault="008F0EFF" w:rsidP="00BB0B30">
            <w:pPr>
              <w:pStyle w:val="Komentarotekstas"/>
              <w:tabs>
                <w:tab w:val="left" w:pos="1276"/>
              </w:tabs>
              <w:jc w:val="both"/>
              <w:rPr>
                <w:rFonts w:ascii="Times New Roman" w:eastAsia="Calibri" w:hAnsi="Times New Roman"/>
                <w:b/>
                <w:bCs/>
                <w:color w:val="5B9BD5" w:themeColor="accent1"/>
                <w:sz w:val="24"/>
                <w:szCs w:val="24"/>
              </w:rPr>
            </w:pPr>
            <w:r>
              <w:rPr>
                <w:rFonts w:ascii="Times New Roman" w:eastAsia="Calibri" w:hAnsi="Times New Roman"/>
                <w:b/>
                <w:sz w:val="24"/>
                <w:szCs w:val="24"/>
              </w:rPr>
              <w:t>A</w:t>
            </w:r>
            <w:r w:rsidRPr="00580BF4">
              <w:rPr>
                <w:rFonts w:ascii="Times New Roman" w:eastAsia="Calibri" w:hAnsi="Times New Roman"/>
                <w:b/>
                <w:sz w:val="24"/>
                <w:szCs w:val="24"/>
              </w:rPr>
              <w:t>tsižvelgta</w:t>
            </w:r>
            <w:r>
              <w:rPr>
                <w:rFonts w:ascii="Times New Roman" w:eastAsia="Calibri" w:hAnsi="Times New Roman"/>
                <w:b/>
                <w:sz w:val="24"/>
                <w:szCs w:val="24"/>
              </w:rPr>
              <w:t xml:space="preserve"> iš dalies</w:t>
            </w:r>
            <w:r w:rsidRPr="00580BF4">
              <w:rPr>
                <w:rFonts w:ascii="Times New Roman" w:eastAsia="Calibri" w:hAnsi="Times New Roman"/>
                <w:b/>
                <w:sz w:val="24"/>
                <w:szCs w:val="24"/>
              </w:rPr>
              <w:t>.</w:t>
            </w:r>
          </w:p>
          <w:p w:rsidR="008F0EFF" w:rsidRPr="00BB0B30" w:rsidRDefault="008F0EFF" w:rsidP="00005AD9">
            <w:pPr>
              <w:pStyle w:val="Komentarotekstas"/>
              <w:tabs>
                <w:tab w:val="left" w:pos="1276"/>
              </w:tabs>
              <w:jc w:val="both"/>
              <w:rPr>
                <w:rFonts w:ascii="Times New Roman" w:eastAsia="Calibri" w:hAnsi="Times New Roman"/>
                <w:sz w:val="24"/>
                <w:szCs w:val="24"/>
              </w:rPr>
            </w:pPr>
            <w:r>
              <w:rPr>
                <w:rFonts w:ascii="Times New Roman" w:eastAsia="Calibri" w:hAnsi="Times New Roman"/>
                <w:sz w:val="24"/>
                <w:szCs w:val="24"/>
              </w:rPr>
              <w:t xml:space="preserve">Pagal Nutarimo projekto 2.2 papunktį, tais atvejais, kai </w:t>
            </w:r>
            <w:r w:rsidRPr="00BB0B30">
              <w:rPr>
                <w:rFonts w:ascii="Times New Roman" w:eastAsia="Calibri" w:hAnsi="Times New Roman"/>
                <w:sz w:val="24"/>
                <w:szCs w:val="24"/>
              </w:rPr>
              <w:t xml:space="preserve">tarp iki 2011 m. sausio 1 d. sukauptų ir Lietuvos notarų rūmų pateiktų duomenų </w:t>
            </w:r>
            <w:r>
              <w:rPr>
                <w:rFonts w:ascii="Times New Roman" w:eastAsia="Calibri" w:hAnsi="Times New Roman"/>
                <w:sz w:val="24"/>
                <w:szCs w:val="24"/>
              </w:rPr>
              <w:t xml:space="preserve">nėra nurodyta nei gimimo datos, nei </w:t>
            </w:r>
            <w:r w:rsidRPr="00BB0B30">
              <w:rPr>
                <w:rFonts w:ascii="Times New Roman" w:eastAsia="Calibri" w:hAnsi="Times New Roman"/>
                <w:sz w:val="24"/>
                <w:szCs w:val="24"/>
              </w:rPr>
              <w:t>asmens kod</w:t>
            </w:r>
            <w:r>
              <w:rPr>
                <w:rFonts w:ascii="Times New Roman" w:eastAsia="Calibri" w:hAnsi="Times New Roman"/>
                <w:sz w:val="24"/>
                <w:szCs w:val="24"/>
              </w:rPr>
              <w:t>o,</w:t>
            </w:r>
            <w:r w:rsidRPr="00BB0B30">
              <w:rPr>
                <w:rFonts w:ascii="Times New Roman" w:eastAsia="Calibri" w:hAnsi="Times New Roman"/>
                <w:sz w:val="24"/>
                <w:szCs w:val="24"/>
              </w:rPr>
              <w:t xml:space="preserve"> arba </w:t>
            </w:r>
            <w:r>
              <w:rPr>
                <w:rFonts w:ascii="Times New Roman" w:eastAsia="Calibri" w:hAnsi="Times New Roman"/>
                <w:sz w:val="24"/>
                <w:szCs w:val="24"/>
              </w:rPr>
              <w:t xml:space="preserve">kai </w:t>
            </w:r>
            <w:r w:rsidRPr="00BB0B30">
              <w:rPr>
                <w:rFonts w:ascii="Times New Roman" w:eastAsia="Calibri" w:hAnsi="Times New Roman"/>
                <w:sz w:val="24"/>
                <w:szCs w:val="24"/>
              </w:rPr>
              <w:t>šių asmenų negalima identifikuoti pagal Lietuvos Respublikos gyventojų registro duomenis</w:t>
            </w:r>
            <w:r>
              <w:rPr>
                <w:rFonts w:ascii="Times New Roman" w:eastAsia="Calibri" w:hAnsi="Times New Roman"/>
                <w:sz w:val="24"/>
                <w:szCs w:val="24"/>
              </w:rPr>
              <w:t xml:space="preserve"> (nepriklausomai nuo to, ar yra nurodyta gimimo data ar jos nėra), </w:t>
            </w:r>
            <w:r w:rsidRPr="00BB0B30">
              <w:rPr>
                <w:rFonts w:ascii="Times New Roman" w:eastAsia="Calibri" w:hAnsi="Times New Roman"/>
                <w:sz w:val="24"/>
                <w:szCs w:val="24"/>
              </w:rPr>
              <w:t>v</w:t>
            </w:r>
            <w:r>
              <w:rPr>
                <w:rFonts w:ascii="Times New Roman" w:eastAsia="Calibri" w:hAnsi="Times New Roman"/>
                <w:sz w:val="24"/>
                <w:szCs w:val="24"/>
              </w:rPr>
              <w:t>alstybės įmonė Registrų centras tokius asmenis išregistruoja iš Registro.</w:t>
            </w:r>
          </w:p>
        </w:tc>
      </w:tr>
    </w:tbl>
    <w:p w:rsidR="00520975" w:rsidRPr="00EA593B" w:rsidRDefault="008F0EFF" w:rsidP="008F0E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w:t>
      </w:r>
    </w:p>
    <w:sectPr w:rsidR="00520975" w:rsidRPr="00EA593B" w:rsidSect="008F0EFF">
      <w:headerReference w:type="default" r:id="rId8"/>
      <w:pgSz w:w="16838" w:h="11906" w:orient="landscape"/>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A84" w:rsidRDefault="00AC3A84" w:rsidP="00E3205C">
      <w:pPr>
        <w:spacing w:after="0" w:line="240" w:lineRule="auto"/>
      </w:pPr>
      <w:r>
        <w:separator/>
      </w:r>
    </w:p>
  </w:endnote>
  <w:endnote w:type="continuationSeparator" w:id="0">
    <w:p w:rsidR="00AC3A84" w:rsidRDefault="00AC3A84" w:rsidP="00E3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A84" w:rsidRDefault="00AC3A84" w:rsidP="00E3205C">
      <w:pPr>
        <w:spacing w:after="0" w:line="240" w:lineRule="auto"/>
      </w:pPr>
      <w:r>
        <w:separator/>
      </w:r>
    </w:p>
  </w:footnote>
  <w:footnote w:type="continuationSeparator" w:id="0">
    <w:p w:rsidR="00AC3A84" w:rsidRDefault="00AC3A84" w:rsidP="00E320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9070050"/>
      <w:docPartObj>
        <w:docPartGallery w:val="Page Numbers (Top of Page)"/>
        <w:docPartUnique/>
      </w:docPartObj>
    </w:sdtPr>
    <w:sdtEndPr/>
    <w:sdtContent>
      <w:p w:rsidR="008F0EFF" w:rsidRDefault="008F0EFF">
        <w:pPr>
          <w:pStyle w:val="Antrats"/>
          <w:jc w:val="center"/>
        </w:pPr>
        <w:r>
          <w:fldChar w:fldCharType="begin"/>
        </w:r>
        <w:r>
          <w:instrText>PAGE   \* MERGEFORMAT</w:instrText>
        </w:r>
        <w:r>
          <w:fldChar w:fldCharType="separate"/>
        </w:r>
        <w:r w:rsidR="00005AD9">
          <w:rPr>
            <w:noProof/>
          </w:rPr>
          <w:t>4</w:t>
        </w:r>
        <w:r>
          <w:fldChar w:fldCharType="end"/>
        </w:r>
      </w:p>
    </w:sdtContent>
  </w:sdt>
  <w:p w:rsidR="00D91270" w:rsidRDefault="00D91270" w:rsidP="00D91270">
    <w:pPr>
      <w:pStyle w:val="Antrats"/>
      <w:tabs>
        <w:tab w:val="clear" w:pos="4819"/>
        <w:tab w:val="clear" w:pos="9638"/>
        <w:tab w:val="left" w:pos="79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633AD"/>
    <w:multiLevelType w:val="hybridMultilevel"/>
    <w:tmpl w:val="5B3EEA7A"/>
    <w:lvl w:ilvl="0" w:tplc="8940D81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88E23A2"/>
    <w:multiLevelType w:val="hybridMultilevel"/>
    <w:tmpl w:val="5A6E9CFE"/>
    <w:lvl w:ilvl="0" w:tplc="628C1344">
      <w:start w:val="1"/>
      <w:numFmt w:val="decimal"/>
      <w:lvlText w:val="%1."/>
      <w:lvlJc w:val="left"/>
      <w:pPr>
        <w:ind w:left="960" w:hanging="360"/>
      </w:pPr>
      <w:rPr>
        <w:rFonts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A2C1EA4"/>
    <w:multiLevelType w:val="hybridMultilevel"/>
    <w:tmpl w:val="57CC92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A0B4BF1"/>
    <w:multiLevelType w:val="hybridMultilevel"/>
    <w:tmpl w:val="68D08E62"/>
    <w:lvl w:ilvl="0" w:tplc="85245A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50C56523"/>
    <w:multiLevelType w:val="hybridMultilevel"/>
    <w:tmpl w:val="49D853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70F2978"/>
    <w:multiLevelType w:val="hybridMultilevel"/>
    <w:tmpl w:val="B9EE861A"/>
    <w:lvl w:ilvl="0" w:tplc="C6F073D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C991476"/>
    <w:multiLevelType w:val="hybridMultilevel"/>
    <w:tmpl w:val="1D3498EC"/>
    <w:lvl w:ilvl="0" w:tplc="E6260250">
      <w:start w:val="1"/>
      <w:numFmt w:val="decimal"/>
      <w:lvlText w:val="%1."/>
      <w:lvlJc w:val="left"/>
      <w:pPr>
        <w:ind w:left="420" w:hanging="360"/>
      </w:pPr>
      <w:rPr>
        <w:rFonts w:eastAsia="Times New Roman"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7" w15:restartNumberingAfterBreak="0">
    <w:nsid w:val="5DC462EA"/>
    <w:multiLevelType w:val="hybridMultilevel"/>
    <w:tmpl w:val="8AA2DECC"/>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1F2219"/>
    <w:multiLevelType w:val="hybridMultilevel"/>
    <w:tmpl w:val="268C3FB6"/>
    <w:lvl w:ilvl="0" w:tplc="7F7080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6CF00691"/>
    <w:multiLevelType w:val="hybridMultilevel"/>
    <w:tmpl w:val="0C325D26"/>
    <w:lvl w:ilvl="0" w:tplc="BCC685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4"/>
  </w:num>
  <w:num w:numId="3">
    <w:abstractNumId w:val="0"/>
  </w:num>
  <w:num w:numId="4">
    <w:abstractNumId w:val="8"/>
  </w:num>
  <w:num w:numId="5">
    <w:abstractNumId w:val="5"/>
  </w:num>
  <w:num w:numId="6">
    <w:abstractNumId w:val="9"/>
  </w:num>
  <w:num w:numId="7">
    <w:abstractNumId w:val="1"/>
  </w:num>
  <w:num w:numId="8">
    <w:abstractNumId w:val="7"/>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978"/>
    <w:rsid w:val="00005AD9"/>
    <w:rsid w:val="00006ADC"/>
    <w:rsid w:val="00013A5D"/>
    <w:rsid w:val="000149FD"/>
    <w:rsid w:val="000201D4"/>
    <w:rsid w:val="0002259F"/>
    <w:rsid w:val="00024E90"/>
    <w:rsid w:val="000253A5"/>
    <w:rsid w:val="00025AE8"/>
    <w:rsid w:val="0003766E"/>
    <w:rsid w:val="000415DE"/>
    <w:rsid w:val="0004301D"/>
    <w:rsid w:val="000479E4"/>
    <w:rsid w:val="00055D5B"/>
    <w:rsid w:val="00055E6C"/>
    <w:rsid w:val="000566F1"/>
    <w:rsid w:val="00057906"/>
    <w:rsid w:val="00057DE9"/>
    <w:rsid w:val="00064421"/>
    <w:rsid w:val="000804E4"/>
    <w:rsid w:val="00082B2E"/>
    <w:rsid w:val="00092C9D"/>
    <w:rsid w:val="0009750A"/>
    <w:rsid w:val="000A66F0"/>
    <w:rsid w:val="000B190B"/>
    <w:rsid w:val="000B3611"/>
    <w:rsid w:val="000B6EAB"/>
    <w:rsid w:val="000C2E7A"/>
    <w:rsid w:val="000D16FD"/>
    <w:rsid w:val="000D34EF"/>
    <w:rsid w:val="000E0063"/>
    <w:rsid w:val="000E2E15"/>
    <w:rsid w:val="000E329D"/>
    <w:rsid w:val="000F205D"/>
    <w:rsid w:val="00101458"/>
    <w:rsid w:val="00102B9D"/>
    <w:rsid w:val="00105269"/>
    <w:rsid w:val="0011169B"/>
    <w:rsid w:val="0012055D"/>
    <w:rsid w:val="00122BAC"/>
    <w:rsid w:val="0013049C"/>
    <w:rsid w:val="0013792B"/>
    <w:rsid w:val="00146A7B"/>
    <w:rsid w:val="0014781F"/>
    <w:rsid w:val="00156FBC"/>
    <w:rsid w:val="00175215"/>
    <w:rsid w:val="00182443"/>
    <w:rsid w:val="0019624A"/>
    <w:rsid w:val="001974EE"/>
    <w:rsid w:val="001A2361"/>
    <w:rsid w:val="001A387C"/>
    <w:rsid w:val="001A7537"/>
    <w:rsid w:val="001B0421"/>
    <w:rsid w:val="001C181C"/>
    <w:rsid w:val="001C3F37"/>
    <w:rsid w:val="001C623F"/>
    <w:rsid w:val="001D197D"/>
    <w:rsid w:val="001D2505"/>
    <w:rsid w:val="001D7CCE"/>
    <w:rsid w:val="001F36A0"/>
    <w:rsid w:val="001F5358"/>
    <w:rsid w:val="001F5CCD"/>
    <w:rsid w:val="00201695"/>
    <w:rsid w:val="00207578"/>
    <w:rsid w:val="0021074F"/>
    <w:rsid w:val="002206B6"/>
    <w:rsid w:val="002222F4"/>
    <w:rsid w:val="0022271A"/>
    <w:rsid w:val="00222C63"/>
    <w:rsid w:val="00224978"/>
    <w:rsid w:val="0023250E"/>
    <w:rsid w:val="0023596F"/>
    <w:rsid w:val="002372FF"/>
    <w:rsid w:val="00245EF4"/>
    <w:rsid w:val="00247785"/>
    <w:rsid w:val="00247F6A"/>
    <w:rsid w:val="002528B0"/>
    <w:rsid w:val="00253134"/>
    <w:rsid w:val="00267E8F"/>
    <w:rsid w:val="002738AB"/>
    <w:rsid w:val="00284486"/>
    <w:rsid w:val="00297E4B"/>
    <w:rsid w:val="002A22A8"/>
    <w:rsid w:val="002A35E9"/>
    <w:rsid w:val="002A60BB"/>
    <w:rsid w:val="002B2095"/>
    <w:rsid w:val="002B5143"/>
    <w:rsid w:val="002C153C"/>
    <w:rsid w:val="002C3D14"/>
    <w:rsid w:val="002C4FE0"/>
    <w:rsid w:val="002C7BD4"/>
    <w:rsid w:val="002D072C"/>
    <w:rsid w:val="002D328A"/>
    <w:rsid w:val="002E2B75"/>
    <w:rsid w:val="002E3F56"/>
    <w:rsid w:val="00302110"/>
    <w:rsid w:val="00317383"/>
    <w:rsid w:val="00320099"/>
    <w:rsid w:val="00321D5A"/>
    <w:rsid w:val="00325C7D"/>
    <w:rsid w:val="00327D86"/>
    <w:rsid w:val="00331601"/>
    <w:rsid w:val="0035228A"/>
    <w:rsid w:val="003659C9"/>
    <w:rsid w:val="003659FE"/>
    <w:rsid w:val="00372F90"/>
    <w:rsid w:val="00381365"/>
    <w:rsid w:val="00381C6A"/>
    <w:rsid w:val="003854EE"/>
    <w:rsid w:val="00386461"/>
    <w:rsid w:val="003865B6"/>
    <w:rsid w:val="003A02EF"/>
    <w:rsid w:val="003A0C45"/>
    <w:rsid w:val="003A2BB5"/>
    <w:rsid w:val="003A3155"/>
    <w:rsid w:val="003B1FBF"/>
    <w:rsid w:val="003B4BF1"/>
    <w:rsid w:val="003C6D7A"/>
    <w:rsid w:val="003D02C4"/>
    <w:rsid w:val="003D03D4"/>
    <w:rsid w:val="003D448F"/>
    <w:rsid w:val="003E3305"/>
    <w:rsid w:val="003E78A1"/>
    <w:rsid w:val="003F0BFA"/>
    <w:rsid w:val="003F28D0"/>
    <w:rsid w:val="004036E3"/>
    <w:rsid w:val="00410268"/>
    <w:rsid w:val="00416115"/>
    <w:rsid w:val="004178F3"/>
    <w:rsid w:val="004316F8"/>
    <w:rsid w:val="00432277"/>
    <w:rsid w:val="00433B0E"/>
    <w:rsid w:val="00435A6C"/>
    <w:rsid w:val="004407B9"/>
    <w:rsid w:val="00440C8C"/>
    <w:rsid w:val="00443CB3"/>
    <w:rsid w:val="004453D2"/>
    <w:rsid w:val="00452CA5"/>
    <w:rsid w:val="00453294"/>
    <w:rsid w:val="00456C74"/>
    <w:rsid w:val="0045750D"/>
    <w:rsid w:val="00474512"/>
    <w:rsid w:val="0048021E"/>
    <w:rsid w:val="00490025"/>
    <w:rsid w:val="004A27DA"/>
    <w:rsid w:val="004A291E"/>
    <w:rsid w:val="004A392B"/>
    <w:rsid w:val="004A43E6"/>
    <w:rsid w:val="004B063D"/>
    <w:rsid w:val="004B0CC1"/>
    <w:rsid w:val="004C1865"/>
    <w:rsid w:val="004C5994"/>
    <w:rsid w:val="004C5DDF"/>
    <w:rsid w:val="004D44D5"/>
    <w:rsid w:val="004D6115"/>
    <w:rsid w:val="004D7BC0"/>
    <w:rsid w:val="004E76F1"/>
    <w:rsid w:val="004E7CE4"/>
    <w:rsid w:val="0050078E"/>
    <w:rsid w:val="0051395A"/>
    <w:rsid w:val="00516E1B"/>
    <w:rsid w:val="00520348"/>
    <w:rsid w:val="00520975"/>
    <w:rsid w:val="005222AB"/>
    <w:rsid w:val="0052509B"/>
    <w:rsid w:val="00525E61"/>
    <w:rsid w:val="00530091"/>
    <w:rsid w:val="005350A7"/>
    <w:rsid w:val="005376E0"/>
    <w:rsid w:val="00553AC7"/>
    <w:rsid w:val="00556375"/>
    <w:rsid w:val="00556C57"/>
    <w:rsid w:val="00566436"/>
    <w:rsid w:val="005728C6"/>
    <w:rsid w:val="00580BF4"/>
    <w:rsid w:val="00585F3A"/>
    <w:rsid w:val="00587126"/>
    <w:rsid w:val="00592783"/>
    <w:rsid w:val="00593B30"/>
    <w:rsid w:val="00596B06"/>
    <w:rsid w:val="00597BBE"/>
    <w:rsid w:val="00597FBC"/>
    <w:rsid w:val="005A0485"/>
    <w:rsid w:val="005A0E32"/>
    <w:rsid w:val="005A58BB"/>
    <w:rsid w:val="005A6753"/>
    <w:rsid w:val="005A6780"/>
    <w:rsid w:val="005B2FA4"/>
    <w:rsid w:val="005C5FEA"/>
    <w:rsid w:val="005E1E62"/>
    <w:rsid w:val="005E1E9C"/>
    <w:rsid w:val="005E40DD"/>
    <w:rsid w:val="005E4B3D"/>
    <w:rsid w:val="005E609F"/>
    <w:rsid w:val="0060225E"/>
    <w:rsid w:val="0060466F"/>
    <w:rsid w:val="0061473D"/>
    <w:rsid w:val="0061782E"/>
    <w:rsid w:val="006221C4"/>
    <w:rsid w:val="006245B4"/>
    <w:rsid w:val="006312F5"/>
    <w:rsid w:val="006337A2"/>
    <w:rsid w:val="00643E88"/>
    <w:rsid w:val="006543B3"/>
    <w:rsid w:val="006734A2"/>
    <w:rsid w:val="00682A8F"/>
    <w:rsid w:val="00682F0D"/>
    <w:rsid w:val="00685C07"/>
    <w:rsid w:val="00691780"/>
    <w:rsid w:val="00692BBB"/>
    <w:rsid w:val="00694176"/>
    <w:rsid w:val="006A02E2"/>
    <w:rsid w:val="006A0822"/>
    <w:rsid w:val="006A3BBC"/>
    <w:rsid w:val="006A7D2C"/>
    <w:rsid w:val="006B71D9"/>
    <w:rsid w:val="006C34B8"/>
    <w:rsid w:val="006C36AA"/>
    <w:rsid w:val="006C4F75"/>
    <w:rsid w:val="006C5BC7"/>
    <w:rsid w:val="006D44A3"/>
    <w:rsid w:val="006E12DC"/>
    <w:rsid w:val="006E3C18"/>
    <w:rsid w:val="007033E3"/>
    <w:rsid w:val="007057E1"/>
    <w:rsid w:val="0071051A"/>
    <w:rsid w:val="00710F5C"/>
    <w:rsid w:val="00714B38"/>
    <w:rsid w:val="00726E00"/>
    <w:rsid w:val="00733694"/>
    <w:rsid w:val="00745A1D"/>
    <w:rsid w:val="00754A31"/>
    <w:rsid w:val="00757778"/>
    <w:rsid w:val="007710D1"/>
    <w:rsid w:val="00775752"/>
    <w:rsid w:val="00777D6D"/>
    <w:rsid w:val="007800F7"/>
    <w:rsid w:val="00780FC8"/>
    <w:rsid w:val="007835DA"/>
    <w:rsid w:val="00792B33"/>
    <w:rsid w:val="00797BE3"/>
    <w:rsid w:val="007A02CE"/>
    <w:rsid w:val="007A6403"/>
    <w:rsid w:val="007B19CD"/>
    <w:rsid w:val="007B2888"/>
    <w:rsid w:val="007B2EAA"/>
    <w:rsid w:val="007B6F53"/>
    <w:rsid w:val="007B73AA"/>
    <w:rsid w:val="007D0170"/>
    <w:rsid w:val="007D0698"/>
    <w:rsid w:val="007D6643"/>
    <w:rsid w:val="007D6FAD"/>
    <w:rsid w:val="007D7FD5"/>
    <w:rsid w:val="007E119F"/>
    <w:rsid w:val="007E7229"/>
    <w:rsid w:val="007E79A4"/>
    <w:rsid w:val="008059B6"/>
    <w:rsid w:val="00810A1C"/>
    <w:rsid w:val="00811104"/>
    <w:rsid w:val="00813D60"/>
    <w:rsid w:val="00822C36"/>
    <w:rsid w:val="00826492"/>
    <w:rsid w:val="00836309"/>
    <w:rsid w:val="00836577"/>
    <w:rsid w:val="008472B2"/>
    <w:rsid w:val="00863F01"/>
    <w:rsid w:val="008721C6"/>
    <w:rsid w:val="00875EC4"/>
    <w:rsid w:val="008828F2"/>
    <w:rsid w:val="00885393"/>
    <w:rsid w:val="008A0C3C"/>
    <w:rsid w:val="008B463C"/>
    <w:rsid w:val="008B66C6"/>
    <w:rsid w:val="008C0EF9"/>
    <w:rsid w:val="008C375A"/>
    <w:rsid w:val="008C3866"/>
    <w:rsid w:val="008C391F"/>
    <w:rsid w:val="008D0FD9"/>
    <w:rsid w:val="008D2AF9"/>
    <w:rsid w:val="008D4DBC"/>
    <w:rsid w:val="008E62A8"/>
    <w:rsid w:val="008E6D98"/>
    <w:rsid w:val="008F0EFF"/>
    <w:rsid w:val="00900F82"/>
    <w:rsid w:val="00901547"/>
    <w:rsid w:val="009056E7"/>
    <w:rsid w:val="009074AA"/>
    <w:rsid w:val="00917AD1"/>
    <w:rsid w:val="00931AEC"/>
    <w:rsid w:val="0093386E"/>
    <w:rsid w:val="00935852"/>
    <w:rsid w:val="0094095C"/>
    <w:rsid w:val="00942454"/>
    <w:rsid w:val="00945A61"/>
    <w:rsid w:val="009508CE"/>
    <w:rsid w:val="00951857"/>
    <w:rsid w:val="00954D69"/>
    <w:rsid w:val="00957559"/>
    <w:rsid w:val="00961529"/>
    <w:rsid w:val="00963134"/>
    <w:rsid w:val="00971910"/>
    <w:rsid w:val="009826F5"/>
    <w:rsid w:val="009830FA"/>
    <w:rsid w:val="009858FC"/>
    <w:rsid w:val="00987854"/>
    <w:rsid w:val="00994FB6"/>
    <w:rsid w:val="009A276A"/>
    <w:rsid w:val="009A3B63"/>
    <w:rsid w:val="009A5C8E"/>
    <w:rsid w:val="009A7854"/>
    <w:rsid w:val="009B662D"/>
    <w:rsid w:val="009C1008"/>
    <w:rsid w:val="009C2EDD"/>
    <w:rsid w:val="009C4172"/>
    <w:rsid w:val="009C5C18"/>
    <w:rsid w:val="009D03ED"/>
    <w:rsid w:val="009F4906"/>
    <w:rsid w:val="009F7026"/>
    <w:rsid w:val="009F7923"/>
    <w:rsid w:val="00A0058C"/>
    <w:rsid w:val="00A00F40"/>
    <w:rsid w:val="00A0144F"/>
    <w:rsid w:val="00A0394D"/>
    <w:rsid w:val="00A11234"/>
    <w:rsid w:val="00A112B6"/>
    <w:rsid w:val="00A13823"/>
    <w:rsid w:val="00A26CDE"/>
    <w:rsid w:val="00A26D22"/>
    <w:rsid w:val="00A42DF5"/>
    <w:rsid w:val="00A43EBE"/>
    <w:rsid w:val="00A511CD"/>
    <w:rsid w:val="00A62992"/>
    <w:rsid w:val="00A63ADD"/>
    <w:rsid w:val="00A72D46"/>
    <w:rsid w:val="00A741FC"/>
    <w:rsid w:val="00A75680"/>
    <w:rsid w:val="00A83E8B"/>
    <w:rsid w:val="00A93189"/>
    <w:rsid w:val="00AA142B"/>
    <w:rsid w:val="00AA49A4"/>
    <w:rsid w:val="00AA57EF"/>
    <w:rsid w:val="00AB2929"/>
    <w:rsid w:val="00AB679E"/>
    <w:rsid w:val="00AC14FB"/>
    <w:rsid w:val="00AC3A84"/>
    <w:rsid w:val="00AC4230"/>
    <w:rsid w:val="00AC63A2"/>
    <w:rsid w:val="00AD36BF"/>
    <w:rsid w:val="00AD7B14"/>
    <w:rsid w:val="00AE094E"/>
    <w:rsid w:val="00AE110E"/>
    <w:rsid w:val="00AE390E"/>
    <w:rsid w:val="00AE7EE0"/>
    <w:rsid w:val="00AF3762"/>
    <w:rsid w:val="00B062DF"/>
    <w:rsid w:val="00B27D27"/>
    <w:rsid w:val="00B41AAC"/>
    <w:rsid w:val="00B41ED8"/>
    <w:rsid w:val="00B44707"/>
    <w:rsid w:val="00B45873"/>
    <w:rsid w:val="00B54599"/>
    <w:rsid w:val="00B65349"/>
    <w:rsid w:val="00B720E3"/>
    <w:rsid w:val="00B77110"/>
    <w:rsid w:val="00B815EE"/>
    <w:rsid w:val="00B82FA3"/>
    <w:rsid w:val="00B838AC"/>
    <w:rsid w:val="00B8584D"/>
    <w:rsid w:val="00B94992"/>
    <w:rsid w:val="00BA640F"/>
    <w:rsid w:val="00BB0B30"/>
    <w:rsid w:val="00BC387A"/>
    <w:rsid w:val="00BC43D5"/>
    <w:rsid w:val="00BC6B84"/>
    <w:rsid w:val="00BD26E8"/>
    <w:rsid w:val="00BE00F2"/>
    <w:rsid w:val="00BE6482"/>
    <w:rsid w:val="00BE6B96"/>
    <w:rsid w:val="00BF3C38"/>
    <w:rsid w:val="00BF425A"/>
    <w:rsid w:val="00C0243B"/>
    <w:rsid w:val="00C1152F"/>
    <w:rsid w:val="00C14AF6"/>
    <w:rsid w:val="00C217D7"/>
    <w:rsid w:val="00C2264A"/>
    <w:rsid w:val="00C22D01"/>
    <w:rsid w:val="00C23518"/>
    <w:rsid w:val="00C353DA"/>
    <w:rsid w:val="00C36A74"/>
    <w:rsid w:val="00C51EE5"/>
    <w:rsid w:val="00C52E2B"/>
    <w:rsid w:val="00C53D17"/>
    <w:rsid w:val="00C540D3"/>
    <w:rsid w:val="00C60BBA"/>
    <w:rsid w:val="00C67375"/>
    <w:rsid w:val="00C67430"/>
    <w:rsid w:val="00C67E54"/>
    <w:rsid w:val="00C7014F"/>
    <w:rsid w:val="00C73987"/>
    <w:rsid w:val="00C7437D"/>
    <w:rsid w:val="00C74E4F"/>
    <w:rsid w:val="00C76C69"/>
    <w:rsid w:val="00C9075A"/>
    <w:rsid w:val="00C91C52"/>
    <w:rsid w:val="00C97230"/>
    <w:rsid w:val="00C97336"/>
    <w:rsid w:val="00CA50E7"/>
    <w:rsid w:val="00CB2753"/>
    <w:rsid w:val="00CB3905"/>
    <w:rsid w:val="00CB7E30"/>
    <w:rsid w:val="00CC018D"/>
    <w:rsid w:val="00CC752D"/>
    <w:rsid w:val="00CD15F5"/>
    <w:rsid w:val="00CD3C1E"/>
    <w:rsid w:val="00CD5E68"/>
    <w:rsid w:val="00CE00D6"/>
    <w:rsid w:val="00CE3190"/>
    <w:rsid w:val="00CE74FB"/>
    <w:rsid w:val="00CF269F"/>
    <w:rsid w:val="00CF30E0"/>
    <w:rsid w:val="00CF5B7A"/>
    <w:rsid w:val="00D0128C"/>
    <w:rsid w:val="00D03474"/>
    <w:rsid w:val="00D127C3"/>
    <w:rsid w:val="00D210AB"/>
    <w:rsid w:val="00D243A9"/>
    <w:rsid w:val="00D25FB5"/>
    <w:rsid w:val="00D30D5F"/>
    <w:rsid w:val="00D4322E"/>
    <w:rsid w:val="00D56E30"/>
    <w:rsid w:val="00D6301D"/>
    <w:rsid w:val="00D66D27"/>
    <w:rsid w:val="00D708D1"/>
    <w:rsid w:val="00D71AB4"/>
    <w:rsid w:val="00D73CC5"/>
    <w:rsid w:val="00D74A11"/>
    <w:rsid w:val="00D85939"/>
    <w:rsid w:val="00D91270"/>
    <w:rsid w:val="00D96CF0"/>
    <w:rsid w:val="00DA0817"/>
    <w:rsid w:val="00DA718C"/>
    <w:rsid w:val="00DC00B6"/>
    <w:rsid w:val="00DC2756"/>
    <w:rsid w:val="00DC669D"/>
    <w:rsid w:val="00DD08F4"/>
    <w:rsid w:val="00DD52F0"/>
    <w:rsid w:val="00DD6B3D"/>
    <w:rsid w:val="00DE49E9"/>
    <w:rsid w:val="00DE7D84"/>
    <w:rsid w:val="00DF32C4"/>
    <w:rsid w:val="00DF66EB"/>
    <w:rsid w:val="00E04B64"/>
    <w:rsid w:val="00E07DF0"/>
    <w:rsid w:val="00E1490D"/>
    <w:rsid w:val="00E1517C"/>
    <w:rsid w:val="00E151DA"/>
    <w:rsid w:val="00E208B5"/>
    <w:rsid w:val="00E21180"/>
    <w:rsid w:val="00E3205C"/>
    <w:rsid w:val="00E35820"/>
    <w:rsid w:val="00E3651F"/>
    <w:rsid w:val="00E36AA5"/>
    <w:rsid w:val="00E4241A"/>
    <w:rsid w:val="00E627BF"/>
    <w:rsid w:val="00E63353"/>
    <w:rsid w:val="00E6534D"/>
    <w:rsid w:val="00E758A1"/>
    <w:rsid w:val="00E90D60"/>
    <w:rsid w:val="00E91127"/>
    <w:rsid w:val="00E95C27"/>
    <w:rsid w:val="00EA49AA"/>
    <w:rsid w:val="00EA5800"/>
    <w:rsid w:val="00EA593B"/>
    <w:rsid w:val="00EB34BB"/>
    <w:rsid w:val="00EC51DF"/>
    <w:rsid w:val="00EE017A"/>
    <w:rsid w:val="00EE2085"/>
    <w:rsid w:val="00EE6BFC"/>
    <w:rsid w:val="00EE78BA"/>
    <w:rsid w:val="00EE7BC8"/>
    <w:rsid w:val="00EF091E"/>
    <w:rsid w:val="00EF5DFC"/>
    <w:rsid w:val="00EF7AAA"/>
    <w:rsid w:val="00F06190"/>
    <w:rsid w:val="00F34FBB"/>
    <w:rsid w:val="00F37D3F"/>
    <w:rsid w:val="00F409A6"/>
    <w:rsid w:val="00F417D3"/>
    <w:rsid w:val="00F4696E"/>
    <w:rsid w:val="00F47DFB"/>
    <w:rsid w:val="00F55F7B"/>
    <w:rsid w:val="00F63043"/>
    <w:rsid w:val="00F6338F"/>
    <w:rsid w:val="00F66F5C"/>
    <w:rsid w:val="00F70622"/>
    <w:rsid w:val="00F706B8"/>
    <w:rsid w:val="00F72DB8"/>
    <w:rsid w:val="00F91FE5"/>
    <w:rsid w:val="00F93DC8"/>
    <w:rsid w:val="00FA55BC"/>
    <w:rsid w:val="00FB10ED"/>
    <w:rsid w:val="00FB496E"/>
    <w:rsid w:val="00FB4A28"/>
    <w:rsid w:val="00FC4ABB"/>
    <w:rsid w:val="00FD3E18"/>
    <w:rsid w:val="00FD4CA1"/>
    <w:rsid w:val="00FE262A"/>
    <w:rsid w:val="00FE6231"/>
    <w:rsid w:val="00FE62A5"/>
    <w:rsid w:val="00FE7302"/>
    <w:rsid w:val="00FF14FF"/>
    <w:rsid w:val="00FF5634"/>
    <w:rsid w:val="00FF6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04EB7D-4AE2-470B-96AC-9D4C9D919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329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6338F"/>
    <w:pPr>
      <w:spacing w:after="0" w:line="240" w:lineRule="auto"/>
      <w:ind w:left="1296"/>
    </w:pPr>
    <w:rPr>
      <w:rFonts w:ascii="Garamond" w:eastAsia="Times New Roman" w:hAnsi="Garamond" w:cs="Times New Roman"/>
      <w:sz w:val="24"/>
      <w:szCs w:val="20"/>
    </w:rPr>
  </w:style>
  <w:style w:type="paragraph" w:styleId="Komentarotekstas">
    <w:name w:val="annotation text"/>
    <w:basedOn w:val="prastasis"/>
    <w:link w:val="KomentarotekstasDiagrama"/>
    <w:rsid w:val="00F6338F"/>
    <w:pPr>
      <w:spacing w:after="0" w:line="240" w:lineRule="auto"/>
    </w:pPr>
    <w:rPr>
      <w:rFonts w:ascii="Garamond" w:eastAsia="Times New Roman" w:hAnsi="Garamond" w:cs="Times New Roman"/>
      <w:sz w:val="20"/>
      <w:szCs w:val="20"/>
    </w:rPr>
  </w:style>
  <w:style w:type="character" w:customStyle="1" w:styleId="KomentarotekstasDiagrama">
    <w:name w:val="Komentaro tekstas Diagrama"/>
    <w:basedOn w:val="Numatytasispastraiposriftas"/>
    <w:link w:val="Komentarotekstas"/>
    <w:rsid w:val="00F6338F"/>
    <w:rPr>
      <w:rFonts w:ascii="Garamond" w:eastAsia="Times New Roman" w:hAnsi="Garamond" w:cs="Times New Roman"/>
      <w:sz w:val="20"/>
      <w:szCs w:val="20"/>
    </w:rPr>
  </w:style>
  <w:style w:type="paragraph" w:styleId="Debesliotekstas">
    <w:name w:val="Balloon Text"/>
    <w:basedOn w:val="prastasis"/>
    <w:link w:val="DebesliotekstasDiagrama"/>
    <w:uiPriority w:val="99"/>
    <w:semiHidden/>
    <w:unhideWhenUsed/>
    <w:rsid w:val="00E3205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205C"/>
    <w:rPr>
      <w:rFonts w:ascii="Segoe UI" w:hAnsi="Segoe UI" w:cs="Segoe UI"/>
      <w:sz w:val="18"/>
      <w:szCs w:val="18"/>
    </w:rPr>
  </w:style>
  <w:style w:type="paragraph" w:styleId="Antrats">
    <w:name w:val="header"/>
    <w:basedOn w:val="prastasis"/>
    <w:link w:val="AntratsDiagrama"/>
    <w:uiPriority w:val="99"/>
    <w:unhideWhenUsed/>
    <w:rsid w:val="00E320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3205C"/>
  </w:style>
  <w:style w:type="paragraph" w:styleId="Porat">
    <w:name w:val="footer"/>
    <w:basedOn w:val="prastasis"/>
    <w:link w:val="PoratDiagrama"/>
    <w:uiPriority w:val="99"/>
    <w:unhideWhenUsed/>
    <w:rsid w:val="00E320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3205C"/>
  </w:style>
  <w:style w:type="character" w:styleId="Hipersaitas">
    <w:name w:val="Hyperlink"/>
    <w:basedOn w:val="Numatytasispastraiposriftas"/>
    <w:uiPriority w:val="99"/>
    <w:semiHidden/>
    <w:unhideWhenUsed/>
    <w:rsid w:val="00E1490D"/>
    <w:rPr>
      <w:color w:val="0000FF"/>
      <w:u w:val="single"/>
    </w:rPr>
  </w:style>
  <w:style w:type="paragraph" w:styleId="HTMLiankstoformatuotas">
    <w:name w:val="HTML Preformatted"/>
    <w:basedOn w:val="prastasis"/>
    <w:link w:val="HTMLiankstoformatuotasDiagrama"/>
    <w:uiPriority w:val="99"/>
    <w:unhideWhenUsed/>
    <w:rsid w:val="00E14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1490D"/>
    <w:rPr>
      <w:rFonts w:ascii="Courier New" w:hAnsi="Courier New" w:cs="Courier New"/>
      <w:sz w:val="20"/>
      <w:szCs w:val="20"/>
      <w:lang w:eastAsia="lt-LT"/>
    </w:rPr>
  </w:style>
  <w:style w:type="paragraph" w:customStyle="1" w:styleId="tactin">
    <w:name w:val="tactin"/>
    <w:basedOn w:val="prastasis"/>
    <w:rsid w:val="00931AE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n">
    <w:name w:val="tin"/>
    <w:basedOn w:val="prastasis"/>
    <w:rsid w:val="00DC275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reformatted">
    <w:name w:val="Preformatted"/>
    <w:basedOn w:val="prastasis"/>
    <w:rsid w:val="0053009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character" w:styleId="Komentaronuoroda">
    <w:name w:val="annotation reference"/>
    <w:basedOn w:val="Numatytasispastraiposriftas"/>
    <w:uiPriority w:val="99"/>
    <w:semiHidden/>
    <w:unhideWhenUsed/>
    <w:rsid w:val="00757778"/>
    <w:rPr>
      <w:sz w:val="16"/>
      <w:szCs w:val="16"/>
    </w:rPr>
  </w:style>
  <w:style w:type="paragraph" w:styleId="Pagrindiniotekstotrauka">
    <w:name w:val="Body Text Indent"/>
    <w:basedOn w:val="prastasis"/>
    <w:link w:val="PagrindiniotekstotraukaDiagrama"/>
    <w:rsid w:val="005A6753"/>
    <w:pPr>
      <w:spacing w:after="0" w:line="240" w:lineRule="auto"/>
      <w:ind w:firstLine="709"/>
      <w:jc w:val="both"/>
    </w:pPr>
    <w:rPr>
      <w:rFonts w:ascii="Times New Roman" w:eastAsia="Times New Roman" w:hAnsi="Times New Roman" w:cs="Times New Roman"/>
      <w:sz w:val="24"/>
      <w:szCs w:val="20"/>
      <w:lang w:eastAsia="lt-LT"/>
    </w:rPr>
  </w:style>
  <w:style w:type="character" w:customStyle="1" w:styleId="PagrindiniotekstotraukaDiagrama">
    <w:name w:val="Pagrindinio teksto įtrauka Diagrama"/>
    <w:basedOn w:val="Numatytasispastraiposriftas"/>
    <w:link w:val="Pagrindiniotekstotrauka"/>
    <w:rsid w:val="005A6753"/>
    <w:rPr>
      <w:rFonts w:ascii="Times New Roman" w:eastAsia="Times New Roman" w:hAnsi="Times New Roman"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AA49A4"/>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AA49A4"/>
    <w:rPr>
      <w:rFonts w:ascii="Garamond" w:eastAsia="Times New Roman" w:hAnsi="Garamond" w:cs="Times New Roman"/>
      <w:b/>
      <w:bCs/>
      <w:sz w:val="20"/>
      <w:szCs w:val="20"/>
    </w:rPr>
  </w:style>
  <w:style w:type="paragraph" w:styleId="Pataisymai">
    <w:name w:val="Revision"/>
    <w:hidden/>
    <w:uiPriority w:val="99"/>
    <w:semiHidden/>
    <w:rsid w:val="00AA49A4"/>
    <w:pPr>
      <w:spacing w:after="0" w:line="240" w:lineRule="auto"/>
    </w:pPr>
  </w:style>
  <w:style w:type="paragraph" w:styleId="Pagrindinistekstas3">
    <w:name w:val="Body Text 3"/>
    <w:basedOn w:val="prastasis"/>
    <w:link w:val="Pagrindinistekstas3Diagrama"/>
    <w:uiPriority w:val="99"/>
    <w:semiHidden/>
    <w:unhideWhenUsed/>
    <w:rsid w:val="00101458"/>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0145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67935">
      <w:bodyDiv w:val="1"/>
      <w:marLeft w:val="0"/>
      <w:marRight w:val="0"/>
      <w:marTop w:val="0"/>
      <w:marBottom w:val="0"/>
      <w:divBdr>
        <w:top w:val="none" w:sz="0" w:space="0" w:color="auto"/>
        <w:left w:val="none" w:sz="0" w:space="0" w:color="auto"/>
        <w:bottom w:val="none" w:sz="0" w:space="0" w:color="auto"/>
        <w:right w:val="none" w:sz="0" w:space="0" w:color="auto"/>
      </w:divBdr>
    </w:div>
    <w:div w:id="613439968">
      <w:bodyDiv w:val="1"/>
      <w:marLeft w:val="0"/>
      <w:marRight w:val="0"/>
      <w:marTop w:val="0"/>
      <w:marBottom w:val="0"/>
      <w:divBdr>
        <w:top w:val="none" w:sz="0" w:space="0" w:color="auto"/>
        <w:left w:val="none" w:sz="0" w:space="0" w:color="auto"/>
        <w:bottom w:val="none" w:sz="0" w:space="0" w:color="auto"/>
        <w:right w:val="none" w:sz="0" w:space="0" w:color="auto"/>
      </w:divBdr>
    </w:div>
    <w:div w:id="1199975681">
      <w:bodyDiv w:val="1"/>
      <w:marLeft w:val="0"/>
      <w:marRight w:val="0"/>
      <w:marTop w:val="0"/>
      <w:marBottom w:val="0"/>
      <w:divBdr>
        <w:top w:val="none" w:sz="0" w:space="0" w:color="auto"/>
        <w:left w:val="none" w:sz="0" w:space="0" w:color="auto"/>
        <w:bottom w:val="none" w:sz="0" w:space="0" w:color="auto"/>
        <w:right w:val="none" w:sz="0" w:space="0" w:color="auto"/>
      </w:divBdr>
    </w:div>
    <w:div w:id="1318606961">
      <w:bodyDiv w:val="1"/>
      <w:marLeft w:val="0"/>
      <w:marRight w:val="0"/>
      <w:marTop w:val="0"/>
      <w:marBottom w:val="150"/>
      <w:divBdr>
        <w:top w:val="none" w:sz="0" w:space="0" w:color="auto"/>
        <w:left w:val="none" w:sz="0" w:space="0" w:color="auto"/>
        <w:bottom w:val="none" w:sz="0" w:space="0" w:color="auto"/>
        <w:right w:val="none" w:sz="0" w:space="0" w:color="auto"/>
      </w:divBdr>
      <w:divsChild>
        <w:div w:id="1385791345">
          <w:marLeft w:val="600"/>
          <w:marRight w:val="0"/>
          <w:marTop w:val="0"/>
          <w:marBottom w:val="0"/>
          <w:divBdr>
            <w:top w:val="none" w:sz="0" w:space="0" w:color="auto"/>
            <w:left w:val="none" w:sz="0" w:space="0" w:color="auto"/>
            <w:bottom w:val="none" w:sz="0" w:space="0" w:color="auto"/>
            <w:right w:val="none" w:sz="0" w:space="0" w:color="auto"/>
          </w:divBdr>
          <w:divsChild>
            <w:div w:id="10227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99957">
      <w:bodyDiv w:val="1"/>
      <w:marLeft w:val="0"/>
      <w:marRight w:val="0"/>
      <w:marTop w:val="0"/>
      <w:marBottom w:val="150"/>
      <w:divBdr>
        <w:top w:val="none" w:sz="0" w:space="0" w:color="auto"/>
        <w:left w:val="none" w:sz="0" w:space="0" w:color="auto"/>
        <w:bottom w:val="none" w:sz="0" w:space="0" w:color="auto"/>
        <w:right w:val="none" w:sz="0" w:space="0" w:color="auto"/>
      </w:divBdr>
      <w:divsChild>
        <w:div w:id="705956117">
          <w:marLeft w:val="600"/>
          <w:marRight w:val="0"/>
          <w:marTop w:val="0"/>
          <w:marBottom w:val="0"/>
          <w:divBdr>
            <w:top w:val="none" w:sz="0" w:space="0" w:color="auto"/>
            <w:left w:val="none" w:sz="0" w:space="0" w:color="auto"/>
            <w:bottom w:val="none" w:sz="0" w:space="0" w:color="auto"/>
            <w:right w:val="none" w:sz="0" w:space="0" w:color="auto"/>
          </w:divBdr>
          <w:divsChild>
            <w:div w:id="6755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209EA-4AB5-4EBE-976C-8311EE6D6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8295</Words>
  <Characters>4729</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12999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2019-01-11T13:12:00Z</dcterms:created>
  <dc:creator>Aušra Mažutavičienė</dc:creator>
  <cp:lastModifiedBy>Virmantė Voinilko</cp:lastModifiedBy>
  <cp:lastPrinted>2015-08-18T07:22:00Z</cp:lastPrinted>
  <dcterms:modified xsi:type="dcterms:W3CDTF">2019-01-14T07:08:00Z</dcterms:modified>
  <cp:revision>4</cp:revision>
</cp:coreProperties>
</file>