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24F" w:rsidRPr="00B11566" w:rsidRDefault="006E224F" w:rsidP="006E224F">
      <w:pPr>
        <w:spacing w:after="0" w:line="240" w:lineRule="auto"/>
        <w:jc w:val="center"/>
        <w:rPr>
          <w:rFonts w:eastAsia="Calibri" w:cs="Times New Roman"/>
          <w:b/>
          <w:sz w:val="26"/>
          <w:szCs w:val="26"/>
        </w:rPr>
      </w:pPr>
      <w:r w:rsidRPr="00B11566">
        <w:rPr>
          <w:rFonts w:eastAsia="Calibri" w:cs="Times New Roman"/>
          <w:b/>
          <w:sz w:val="26"/>
          <w:szCs w:val="26"/>
        </w:rPr>
        <w:t>PAŽYMA</w:t>
      </w:r>
    </w:p>
    <w:p w:rsidR="006E224F" w:rsidRPr="00B11566" w:rsidRDefault="00A207C8" w:rsidP="006E224F">
      <w:pPr>
        <w:spacing w:after="0" w:line="240" w:lineRule="auto"/>
        <w:jc w:val="center"/>
        <w:rPr>
          <w:rFonts w:eastAsia="Calibri" w:cs="Times New Roman"/>
          <w:b/>
          <w:sz w:val="26"/>
          <w:szCs w:val="26"/>
        </w:rPr>
      </w:pPr>
      <w:r>
        <w:rPr>
          <w:rFonts w:eastAsia="Calibri" w:cs="Times New Roman"/>
          <w:b/>
          <w:sz w:val="26"/>
          <w:szCs w:val="26"/>
        </w:rPr>
        <w:t>Dėl š. m. liepos</w:t>
      </w:r>
      <w:r w:rsidR="008C24FE">
        <w:rPr>
          <w:rFonts w:eastAsia="Calibri" w:cs="Times New Roman"/>
          <w:b/>
          <w:sz w:val="26"/>
          <w:szCs w:val="26"/>
        </w:rPr>
        <w:t xml:space="preserve"> </w:t>
      </w:r>
      <w:r>
        <w:rPr>
          <w:rFonts w:eastAsia="Calibri" w:cs="Times New Roman"/>
          <w:b/>
          <w:sz w:val="26"/>
          <w:szCs w:val="26"/>
          <w:lang w:val="en-US"/>
        </w:rPr>
        <w:t>10</w:t>
      </w:r>
      <w:r w:rsidR="006E224F" w:rsidRPr="00B11566">
        <w:rPr>
          <w:rFonts w:eastAsia="Calibri" w:cs="Times New Roman"/>
          <w:b/>
          <w:sz w:val="26"/>
          <w:szCs w:val="26"/>
        </w:rPr>
        <w:t xml:space="preserve"> d. Ekonomikos ir finansų reikalų (ECOFIN) tarybo</w:t>
      </w:r>
      <w:r w:rsidR="00076A9E">
        <w:rPr>
          <w:rFonts w:eastAsia="Calibri" w:cs="Times New Roman"/>
          <w:b/>
          <w:sz w:val="26"/>
          <w:szCs w:val="26"/>
        </w:rPr>
        <w:t>s vaizdo</w:t>
      </w:r>
      <w:r w:rsidR="003B2B69">
        <w:rPr>
          <w:rFonts w:eastAsia="Calibri" w:cs="Times New Roman"/>
          <w:b/>
          <w:sz w:val="26"/>
          <w:szCs w:val="26"/>
        </w:rPr>
        <w:t xml:space="preserve"> konferencijoje</w:t>
      </w:r>
      <w:r w:rsidR="00723FC9">
        <w:rPr>
          <w:rFonts w:eastAsia="Calibri" w:cs="Times New Roman"/>
          <w:b/>
          <w:sz w:val="26"/>
          <w:szCs w:val="26"/>
        </w:rPr>
        <w:t xml:space="preserve"> </w:t>
      </w:r>
      <w:r w:rsidR="006E224F" w:rsidRPr="00B11566">
        <w:rPr>
          <w:rFonts w:eastAsia="Calibri" w:cs="Times New Roman"/>
          <w:b/>
          <w:sz w:val="26"/>
          <w:szCs w:val="26"/>
        </w:rPr>
        <w:t>svarstomų klausimų</w:t>
      </w:r>
    </w:p>
    <w:p w:rsidR="00AA132A" w:rsidRDefault="00AA132A" w:rsidP="006E224F">
      <w:pPr>
        <w:spacing w:after="0" w:line="240" w:lineRule="auto"/>
        <w:jc w:val="center"/>
        <w:rPr>
          <w:rFonts w:eastAsia="Calibri" w:cs="Times New Roman"/>
          <w:sz w:val="28"/>
          <w:szCs w:val="28"/>
        </w:rPr>
      </w:pPr>
    </w:p>
    <w:p w:rsidR="00D62032" w:rsidRPr="000A3B2A" w:rsidRDefault="00D62032" w:rsidP="006E224F">
      <w:pPr>
        <w:spacing w:after="0" w:line="240" w:lineRule="auto"/>
        <w:jc w:val="center"/>
        <w:rPr>
          <w:rFonts w:eastAsia="Calibri" w:cs="Times New Roman"/>
          <w:szCs w:val="24"/>
        </w:rPr>
      </w:pPr>
    </w:p>
    <w:p w:rsidR="005A1557" w:rsidRPr="000A3B2A" w:rsidRDefault="00A207C8" w:rsidP="005A1557">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0A3B2A">
        <w:rPr>
          <w:rFonts w:eastAsia="Calibri" w:cs="Times New Roman"/>
          <w:b/>
          <w:szCs w:val="24"/>
        </w:rPr>
        <w:t>Pirmininkaujančios šalies darbo programos pristatymas</w:t>
      </w:r>
    </w:p>
    <w:p w:rsidR="00A207C8" w:rsidRPr="000A3B2A" w:rsidRDefault="00A207C8" w:rsidP="00A207C8">
      <w:pPr>
        <w:spacing w:after="0"/>
        <w:ind w:firstLine="567"/>
        <w:jc w:val="both"/>
        <w:rPr>
          <w:rFonts w:eastAsia="Calibri" w:cs="Times New Roman"/>
          <w:szCs w:val="24"/>
        </w:rPr>
      </w:pPr>
    </w:p>
    <w:p w:rsidR="00A207C8" w:rsidRPr="000A3B2A" w:rsidRDefault="005A1557" w:rsidP="00A207C8">
      <w:pPr>
        <w:spacing w:after="0"/>
        <w:jc w:val="both"/>
        <w:rPr>
          <w:rFonts w:eastAsia="Calibri" w:cs="Times New Roman"/>
          <w:szCs w:val="24"/>
        </w:rPr>
      </w:pPr>
      <w:r w:rsidRPr="000A3B2A">
        <w:rPr>
          <w:rFonts w:eastAsia="Calibri" w:cs="Times New Roman"/>
          <w:b/>
          <w:szCs w:val="24"/>
          <w:u w:val="single"/>
        </w:rPr>
        <w:t>Klausimo esmė.</w:t>
      </w:r>
      <w:r w:rsidRPr="000A3B2A">
        <w:rPr>
          <w:rFonts w:eastAsia="Calibri" w:cs="Times New Roman"/>
          <w:szCs w:val="24"/>
        </w:rPr>
        <w:t xml:space="preserve"> </w:t>
      </w:r>
      <w:r w:rsidR="00A207C8" w:rsidRPr="000A3B2A">
        <w:rPr>
          <w:rFonts w:eastAsia="Calibri" w:cs="Times New Roman"/>
          <w:szCs w:val="24"/>
        </w:rPr>
        <w:t xml:space="preserve">ECOFIN metu nuo 2020 m. liepos 1 d. ES Tarybai pirmininkaujanti Vokietija pristatys pusmečio darbų programą ekonomikos ir finansų srityse. </w:t>
      </w:r>
    </w:p>
    <w:p w:rsidR="00A207C8" w:rsidRPr="000A3B2A" w:rsidRDefault="00A207C8" w:rsidP="00A207C8">
      <w:pPr>
        <w:spacing w:after="0"/>
        <w:jc w:val="both"/>
        <w:rPr>
          <w:rFonts w:eastAsia="Calibri" w:cs="Times New Roman"/>
          <w:szCs w:val="24"/>
        </w:rPr>
      </w:pPr>
      <w:r w:rsidRPr="000A3B2A">
        <w:rPr>
          <w:rFonts w:eastAsia="Calibri" w:cs="Times New Roman"/>
          <w:szCs w:val="24"/>
        </w:rPr>
        <w:t xml:space="preserve">Vokietijos horizontalūs pirmininkavimo prioritetai: </w:t>
      </w:r>
    </w:p>
    <w:p w:rsidR="00A207C8" w:rsidRPr="000A3B2A" w:rsidRDefault="00A207C8" w:rsidP="00A207C8">
      <w:pPr>
        <w:tabs>
          <w:tab w:val="left" w:pos="284"/>
        </w:tabs>
        <w:spacing w:after="0"/>
        <w:jc w:val="both"/>
        <w:rPr>
          <w:rFonts w:eastAsia="Calibri" w:cs="Times New Roman"/>
          <w:szCs w:val="24"/>
        </w:rPr>
      </w:pPr>
      <w:r w:rsidRPr="000A3B2A">
        <w:rPr>
          <w:rFonts w:eastAsia="Calibri" w:cs="Times New Roman"/>
          <w:szCs w:val="24"/>
        </w:rPr>
        <w:t>•</w:t>
      </w:r>
      <w:r w:rsidRPr="000A3B2A">
        <w:rPr>
          <w:rFonts w:eastAsia="Calibri" w:cs="Times New Roman"/>
          <w:szCs w:val="24"/>
        </w:rPr>
        <w:tab/>
        <w:t>COVID-19 pandemijos įveikimas;</w:t>
      </w:r>
    </w:p>
    <w:p w:rsidR="00A207C8" w:rsidRPr="000A3B2A" w:rsidRDefault="00A207C8" w:rsidP="00A207C8">
      <w:pPr>
        <w:tabs>
          <w:tab w:val="left" w:pos="284"/>
        </w:tabs>
        <w:spacing w:after="0"/>
        <w:jc w:val="both"/>
        <w:rPr>
          <w:rFonts w:eastAsia="Calibri" w:cs="Times New Roman"/>
          <w:szCs w:val="24"/>
        </w:rPr>
      </w:pPr>
      <w:r w:rsidRPr="000A3B2A">
        <w:rPr>
          <w:rFonts w:eastAsia="Calibri" w:cs="Times New Roman"/>
          <w:szCs w:val="24"/>
        </w:rPr>
        <w:t>•</w:t>
      </w:r>
      <w:r w:rsidRPr="000A3B2A">
        <w:rPr>
          <w:rFonts w:eastAsia="Calibri" w:cs="Times New Roman"/>
          <w:szCs w:val="24"/>
        </w:rPr>
        <w:tab/>
        <w:t>Stipresnė ir inovatyvesnė Europa;</w:t>
      </w:r>
    </w:p>
    <w:p w:rsidR="00A207C8" w:rsidRPr="000A3B2A" w:rsidRDefault="00A207C8" w:rsidP="00A207C8">
      <w:pPr>
        <w:tabs>
          <w:tab w:val="left" w:pos="284"/>
        </w:tabs>
        <w:spacing w:after="0"/>
        <w:jc w:val="both"/>
        <w:rPr>
          <w:rFonts w:eastAsia="Calibri" w:cs="Times New Roman"/>
          <w:szCs w:val="24"/>
        </w:rPr>
      </w:pPr>
      <w:r w:rsidRPr="000A3B2A">
        <w:rPr>
          <w:rFonts w:eastAsia="Calibri" w:cs="Times New Roman"/>
          <w:szCs w:val="24"/>
        </w:rPr>
        <w:t>•</w:t>
      </w:r>
      <w:r w:rsidRPr="000A3B2A">
        <w:rPr>
          <w:rFonts w:eastAsia="Calibri" w:cs="Times New Roman"/>
          <w:szCs w:val="24"/>
        </w:rPr>
        <w:tab/>
        <w:t>Teisinga Europa;</w:t>
      </w:r>
    </w:p>
    <w:p w:rsidR="00A207C8" w:rsidRPr="000A3B2A" w:rsidRDefault="00A207C8" w:rsidP="00A207C8">
      <w:pPr>
        <w:tabs>
          <w:tab w:val="left" w:pos="284"/>
        </w:tabs>
        <w:spacing w:after="0"/>
        <w:jc w:val="both"/>
        <w:rPr>
          <w:rFonts w:eastAsia="Calibri" w:cs="Times New Roman"/>
          <w:szCs w:val="24"/>
        </w:rPr>
      </w:pPr>
      <w:r w:rsidRPr="000A3B2A">
        <w:rPr>
          <w:rFonts w:eastAsia="Calibri" w:cs="Times New Roman"/>
          <w:szCs w:val="24"/>
        </w:rPr>
        <w:t>•</w:t>
      </w:r>
      <w:r w:rsidRPr="000A3B2A">
        <w:rPr>
          <w:rFonts w:eastAsia="Calibri" w:cs="Times New Roman"/>
          <w:szCs w:val="24"/>
        </w:rPr>
        <w:tab/>
        <w:t>Saugumo ir bendrų  vertybių Europa;</w:t>
      </w:r>
    </w:p>
    <w:p w:rsidR="00A207C8" w:rsidRPr="000A3B2A" w:rsidRDefault="00A207C8" w:rsidP="00A207C8">
      <w:pPr>
        <w:tabs>
          <w:tab w:val="left" w:pos="284"/>
        </w:tabs>
        <w:spacing w:after="0"/>
        <w:jc w:val="both"/>
        <w:rPr>
          <w:rFonts w:eastAsia="Calibri" w:cs="Times New Roman"/>
          <w:szCs w:val="24"/>
        </w:rPr>
      </w:pPr>
      <w:r w:rsidRPr="000A3B2A">
        <w:rPr>
          <w:rFonts w:eastAsia="Calibri" w:cs="Times New Roman"/>
          <w:szCs w:val="24"/>
        </w:rPr>
        <w:t>•</w:t>
      </w:r>
      <w:r w:rsidRPr="000A3B2A">
        <w:rPr>
          <w:rFonts w:eastAsia="Calibri" w:cs="Times New Roman"/>
          <w:szCs w:val="24"/>
        </w:rPr>
        <w:tab/>
        <w:t>Stipresnė pasaulyje Europa.</w:t>
      </w:r>
    </w:p>
    <w:p w:rsidR="00A207C8" w:rsidRPr="000A3B2A" w:rsidRDefault="00A207C8" w:rsidP="00A207C8">
      <w:pPr>
        <w:tabs>
          <w:tab w:val="left" w:pos="284"/>
        </w:tabs>
        <w:spacing w:after="0"/>
        <w:jc w:val="both"/>
        <w:rPr>
          <w:rFonts w:eastAsia="Calibri" w:cs="Times New Roman"/>
          <w:szCs w:val="24"/>
        </w:rPr>
      </w:pPr>
    </w:p>
    <w:p w:rsidR="00A207C8" w:rsidRPr="000A3B2A" w:rsidRDefault="00A207C8" w:rsidP="00A207C8">
      <w:pPr>
        <w:spacing w:after="0"/>
        <w:jc w:val="both"/>
        <w:rPr>
          <w:rFonts w:eastAsia="Calibri" w:cs="Times New Roman"/>
          <w:szCs w:val="24"/>
        </w:rPr>
      </w:pPr>
      <w:r w:rsidRPr="000A3B2A">
        <w:rPr>
          <w:rFonts w:eastAsia="Calibri" w:cs="Times New Roman"/>
          <w:szCs w:val="24"/>
        </w:rPr>
        <w:t>ECOFIN srityje Vokietija didžiausią dėmesį skirs:</w:t>
      </w:r>
    </w:p>
    <w:p w:rsidR="00D56A2E" w:rsidRDefault="00A207C8" w:rsidP="00A207C8">
      <w:pPr>
        <w:tabs>
          <w:tab w:val="left" w:pos="284"/>
        </w:tabs>
        <w:spacing w:after="0"/>
        <w:jc w:val="both"/>
        <w:rPr>
          <w:rFonts w:eastAsia="Calibri" w:cs="Times New Roman"/>
          <w:szCs w:val="24"/>
        </w:rPr>
      </w:pPr>
      <w:r w:rsidRPr="000A3B2A">
        <w:rPr>
          <w:rFonts w:eastAsia="Calibri" w:cs="Times New Roman"/>
          <w:szCs w:val="24"/>
        </w:rPr>
        <w:t>•</w:t>
      </w:r>
      <w:r w:rsidRPr="000A3B2A">
        <w:rPr>
          <w:rFonts w:eastAsia="Calibri" w:cs="Times New Roman"/>
          <w:szCs w:val="24"/>
        </w:rPr>
        <w:tab/>
      </w:r>
      <w:r w:rsidR="00D56A2E">
        <w:rPr>
          <w:rFonts w:eastAsia="Calibri" w:cs="Times New Roman"/>
          <w:szCs w:val="24"/>
        </w:rPr>
        <w:t>Ekonominio atsigavimo priemonėms po COVID-19 sukeltos krizės;</w:t>
      </w:r>
    </w:p>
    <w:p w:rsidR="00A207C8" w:rsidRPr="00D56A2E" w:rsidRDefault="00A207C8" w:rsidP="00D56A2E">
      <w:pPr>
        <w:pStyle w:val="Sraopastraipa"/>
        <w:numPr>
          <w:ilvl w:val="0"/>
          <w:numId w:val="49"/>
        </w:numPr>
        <w:tabs>
          <w:tab w:val="left" w:pos="284"/>
        </w:tabs>
        <w:spacing w:after="0"/>
        <w:ind w:left="0" w:firstLine="0"/>
        <w:jc w:val="both"/>
        <w:rPr>
          <w:rFonts w:eastAsia="Calibri" w:cs="Times New Roman"/>
          <w:szCs w:val="24"/>
        </w:rPr>
      </w:pPr>
      <w:r w:rsidRPr="00D56A2E">
        <w:rPr>
          <w:rFonts w:eastAsia="Calibri" w:cs="Times New Roman"/>
          <w:szCs w:val="24"/>
        </w:rPr>
        <w:t>Teisingai mokesčių sistemai (skaitmeniniams mokesčiams, Finansinių sandorių mokesčiui, kovai su mokesčių vengimu);</w:t>
      </w:r>
    </w:p>
    <w:p w:rsidR="00A207C8" w:rsidRPr="000A3B2A" w:rsidRDefault="00A207C8" w:rsidP="00A207C8">
      <w:pPr>
        <w:pStyle w:val="Sraopastraipa"/>
        <w:numPr>
          <w:ilvl w:val="0"/>
          <w:numId w:val="40"/>
        </w:numPr>
        <w:tabs>
          <w:tab w:val="left" w:pos="284"/>
        </w:tabs>
        <w:spacing w:after="0"/>
        <w:ind w:left="0" w:firstLine="0"/>
        <w:jc w:val="both"/>
        <w:rPr>
          <w:rFonts w:eastAsia="Calibri" w:cs="Times New Roman"/>
          <w:szCs w:val="24"/>
        </w:rPr>
      </w:pPr>
      <w:r w:rsidRPr="000A3B2A">
        <w:rPr>
          <w:rFonts w:eastAsia="Calibri" w:cs="Times New Roman"/>
          <w:szCs w:val="24"/>
        </w:rPr>
        <w:t>Kapitalo rinkų Sąjungos (CMU) gilinimui;</w:t>
      </w:r>
    </w:p>
    <w:p w:rsidR="00A207C8" w:rsidRPr="000A3B2A" w:rsidRDefault="00A207C8" w:rsidP="00A207C8">
      <w:pPr>
        <w:tabs>
          <w:tab w:val="left" w:pos="284"/>
        </w:tabs>
        <w:spacing w:after="0"/>
        <w:jc w:val="both"/>
        <w:rPr>
          <w:rFonts w:eastAsia="Calibri" w:cs="Times New Roman"/>
          <w:szCs w:val="24"/>
        </w:rPr>
      </w:pPr>
      <w:r w:rsidRPr="000A3B2A">
        <w:rPr>
          <w:rFonts w:eastAsia="Calibri" w:cs="Times New Roman"/>
          <w:szCs w:val="24"/>
        </w:rPr>
        <w:t>•</w:t>
      </w:r>
      <w:r w:rsidRPr="000A3B2A">
        <w:rPr>
          <w:rFonts w:eastAsia="Calibri" w:cs="Times New Roman"/>
          <w:szCs w:val="24"/>
        </w:rPr>
        <w:tab/>
        <w:t>Progresui dėl Bankų Sąjungos;</w:t>
      </w:r>
    </w:p>
    <w:p w:rsidR="00A207C8" w:rsidRPr="000A3B2A" w:rsidRDefault="00A207C8" w:rsidP="00A207C8">
      <w:pPr>
        <w:pStyle w:val="Sraopastraipa"/>
        <w:numPr>
          <w:ilvl w:val="0"/>
          <w:numId w:val="40"/>
        </w:numPr>
        <w:spacing w:after="0"/>
        <w:ind w:left="284" w:hanging="284"/>
        <w:jc w:val="both"/>
        <w:rPr>
          <w:rFonts w:eastAsia="Calibri" w:cs="Times New Roman"/>
          <w:szCs w:val="24"/>
        </w:rPr>
      </w:pPr>
      <w:r w:rsidRPr="000A3B2A">
        <w:rPr>
          <w:rFonts w:eastAsia="Calibri" w:cs="Times New Roman"/>
          <w:szCs w:val="24"/>
        </w:rPr>
        <w:t>Skaitmeninimui;</w:t>
      </w:r>
    </w:p>
    <w:p w:rsidR="008C24FE" w:rsidRPr="000A3B2A" w:rsidRDefault="00A207C8" w:rsidP="00A207C8">
      <w:pPr>
        <w:pStyle w:val="Sraopastraipa"/>
        <w:numPr>
          <w:ilvl w:val="0"/>
          <w:numId w:val="40"/>
        </w:numPr>
        <w:spacing w:after="0"/>
        <w:ind w:left="284" w:hanging="284"/>
        <w:jc w:val="both"/>
        <w:rPr>
          <w:rFonts w:cs="Times New Roman"/>
          <w:szCs w:val="24"/>
        </w:rPr>
      </w:pPr>
      <w:r w:rsidRPr="000A3B2A">
        <w:rPr>
          <w:rFonts w:eastAsia="Calibri" w:cs="Times New Roman"/>
          <w:szCs w:val="24"/>
        </w:rPr>
        <w:t>Stabilumo ir augimo pakto peržiūrai, atsižvelgiant į krizines situacijas.</w:t>
      </w:r>
    </w:p>
    <w:p w:rsidR="008C24FE" w:rsidRPr="000A3B2A" w:rsidRDefault="008C24FE" w:rsidP="008C24FE">
      <w:pPr>
        <w:spacing w:after="0"/>
        <w:ind w:firstLine="567"/>
        <w:jc w:val="both"/>
        <w:rPr>
          <w:rFonts w:cs="Times New Roman"/>
          <w:szCs w:val="24"/>
        </w:rPr>
      </w:pPr>
    </w:p>
    <w:p w:rsidR="008C24FE" w:rsidRPr="000A3B2A" w:rsidRDefault="008C24FE" w:rsidP="008C24FE">
      <w:pPr>
        <w:spacing w:after="0" w:line="240" w:lineRule="auto"/>
        <w:jc w:val="both"/>
        <w:rPr>
          <w:rFonts w:cs="Times New Roman"/>
          <w:color w:val="000000" w:themeColor="text1"/>
          <w:szCs w:val="24"/>
        </w:rPr>
      </w:pPr>
      <w:r w:rsidRPr="000A3B2A">
        <w:rPr>
          <w:rFonts w:eastAsia="Calibri" w:cs="Times New Roman"/>
          <w:b/>
          <w:color w:val="000000"/>
          <w:szCs w:val="24"/>
          <w:u w:val="single"/>
        </w:rPr>
        <w:t>Lietuvos pozicija.</w:t>
      </w:r>
      <w:r w:rsidRPr="000A3B2A">
        <w:rPr>
          <w:rFonts w:eastAsia="Calibri" w:cs="Times New Roman"/>
          <w:b/>
          <w:color w:val="000000"/>
          <w:szCs w:val="24"/>
        </w:rPr>
        <w:t xml:space="preserve"> </w:t>
      </w:r>
      <w:r w:rsidR="00A613D7" w:rsidRPr="000A3B2A">
        <w:rPr>
          <w:rFonts w:eastAsia="Calibri" w:cs="Times New Roman"/>
          <w:color w:val="000000"/>
          <w:szCs w:val="24"/>
        </w:rPr>
        <w:t>Sveikiname Vokietiją perėmus pirmininkavimą ES Tarybai. Tikimės, kad užsibrėžti ambicingi ti</w:t>
      </w:r>
      <w:r w:rsidR="00D56A2E">
        <w:rPr>
          <w:rFonts w:eastAsia="Calibri" w:cs="Times New Roman"/>
          <w:color w:val="000000"/>
          <w:szCs w:val="24"/>
        </w:rPr>
        <w:t>kslai bus sėkmingai įgyvendinti, ypač ekonominio skatinimo priemonių srityje</w:t>
      </w:r>
    </w:p>
    <w:p w:rsidR="000F4400" w:rsidRPr="000A3B2A" w:rsidRDefault="000F4400" w:rsidP="005A1557">
      <w:pPr>
        <w:spacing w:after="0" w:line="240" w:lineRule="auto"/>
        <w:jc w:val="both"/>
        <w:rPr>
          <w:rFonts w:eastAsia="Calibri" w:cs="Times New Roman"/>
          <w:szCs w:val="24"/>
        </w:rPr>
      </w:pPr>
    </w:p>
    <w:p w:rsidR="00D62032" w:rsidRPr="000A3B2A" w:rsidRDefault="00D62032" w:rsidP="005A1557">
      <w:pPr>
        <w:spacing w:after="0" w:line="240" w:lineRule="auto"/>
        <w:jc w:val="both"/>
        <w:rPr>
          <w:rFonts w:eastAsia="Calibri" w:cs="Times New Roman"/>
          <w:szCs w:val="24"/>
        </w:rPr>
      </w:pPr>
    </w:p>
    <w:p w:rsidR="00A613D7" w:rsidRPr="000A3B2A" w:rsidRDefault="00A613D7" w:rsidP="00A613D7">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0A3B2A">
        <w:rPr>
          <w:rFonts w:eastAsia="Calibri" w:cs="Times New Roman"/>
          <w:b/>
          <w:szCs w:val="24"/>
        </w:rPr>
        <w:t>Esama situacija dėl COVID-19 poveikio ekonomikai ir atsigavimo priemonių</w:t>
      </w:r>
    </w:p>
    <w:p w:rsidR="000F4400" w:rsidRPr="000A3B2A" w:rsidRDefault="000F4400" w:rsidP="005A1557">
      <w:pPr>
        <w:spacing w:after="0" w:line="240" w:lineRule="auto"/>
        <w:jc w:val="both"/>
        <w:rPr>
          <w:rFonts w:eastAsia="Calibri" w:cs="Times New Roman"/>
          <w:szCs w:val="24"/>
        </w:rPr>
      </w:pPr>
    </w:p>
    <w:p w:rsidR="00AE2304" w:rsidRDefault="00CB3447" w:rsidP="00AE2304">
      <w:pPr>
        <w:spacing w:after="0" w:line="240" w:lineRule="auto"/>
        <w:jc w:val="both"/>
        <w:rPr>
          <w:rFonts w:eastAsia="Times New Roman" w:cs="Times New Roman"/>
          <w:szCs w:val="24"/>
          <w:lang w:eastAsia="fr-BE"/>
        </w:rPr>
      </w:pPr>
      <w:r w:rsidRPr="000A3B2A">
        <w:rPr>
          <w:rFonts w:eastAsia="Times New Roman" w:cs="Times New Roman"/>
          <w:b/>
          <w:szCs w:val="24"/>
          <w:u w:val="single"/>
          <w:lang w:eastAsia="fr-BE"/>
        </w:rPr>
        <w:t>Klausimo esmė.</w:t>
      </w:r>
      <w:r w:rsidRPr="000A3B2A">
        <w:rPr>
          <w:rFonts w:eastAsia="Times New Roman" w:cs="Times New Roman"/>
          <w:szCs w:val="24"/>
          <w:lang w:eastAsia="fr-BE"/>
        </w:rPr>
        <w:t xml:space="preserve"> </w:t>
      </w:r>
      <w:r w:rsidR="00AE2304">
        <w:rPr>
          <w:rFonts w:eastAsia="Times New Roman" w:cs="Times New Roman"/>
          <w:szCs w:val="24"/>
          <w:lang w:eastAsia="fr-BE"/>
        </w:rPr>
        <w:t>ECOFIN posėdyje ministrai apsikeis nuomonėmis dėl progreso, pasiekto įgyvendinant ES atsako į COVID-19 krizę priemones: SURE, EIB pan-Europinį garantijų fondą ir ESM Specialiąją</w:t>
      </w:r>
      <w:r w:rsidR="00AE2304" w:rsidRPr="00AE2304">
        <w:rPr>
          <w:rFonts w:eastAsia="Times New Roman" w:cs="Times New Roman"/>
          <w:szCs w:val="24"/>
          <w:lang w:eastAsia="fr-BE"/>
        </w:rPr>
        <w:t xml:space="preserve"> kre</w:t>
      </w:r>
      <w:r w:rsidR="00AE2304">
        <w:rPr>
          <w:rFonts w:eastAsia="Times New Roman" w:cs="Times New Roman"/>
          <w:szCs w:val="24"/>
          <w:lang w:eastAsia="fr-BE"/>
        </w:rPr>
        <w:t xml:space="preserve">dito liniją. Taip pat bus pristatyta situacija dėl kitų naujų pasiūlymų, kurie šiuo metu svarstomi ES Tarybos darbo grupėse - InvestEU, Recovery and Resilience Facility (RRF), Mokumo </w:t>
      </w:r>
      <w:r w:rsidR="00AF01BF">
        <w:rPr>
          <w:rFonts w:eastAsia="Times New Roman" w:cs="Times New Roman"/>
          <w:szCs w:val="24"/>
          <w:lang w:eastAsia="fr-BE"/>
        </w:rPr>
        <w:t>paramos i</w:t>
      </w:r>
      <w:r w:rsidR="00AE2304">
        <w:rPr>
          <w:rFonts w:eastAsia="Times New Roman" w:cs="Times New Roman"/>
          <w:szCs w:val="24"/>
          <w:lang w:eastAsia="fr-BE"/>
        </w:rPr>
        <w:t>nstrumentas (SSI).</w:t>
      </w:r>
    </w:p>
    <w:p w:rsidR="000A3B2A" w:rsidRPr="000A3B2A" w:rsidRDefault="000A3B2A" w:rsidP="000A3B2A">
      <w:pPr>
        <w:spacing w:after="0" w:line="240" w:lineRule="auto"/>
        <w:jc w:val="both"/>
        <w:rPr>
          <w:rFonts w:cs="Times New Roman"/>
          <w:b/>
          <w:szCs w:val="24"/>
          <w:u w:val="single"/>
        </w:rPr>
      </w:pPr>
    </w:p>
    <w:p w:rsidR="000A3B2A" w:rsidRPr="000A3B2A" w:rsidRDefault="000A3B2A" w:rsidP="00AB5028">
      <w:pPr>
        <w:autoSpaceDE w:val="0"/>
        <w:autoSpaceDN w:val="0"/>
        <w:adjustRightInd w:val="0"/>
        <w:spacing w:after="0" w:line="264" w:lineRule="auto"/>
        <w:jc w:val="both"/>
        <w:rPr>
          <w:rFonts w:cs="Times New Roman"/>
          <w:color w:val="000000"/>
          <w:szCs w:val="24"/>
        </w:rPr>
      </w:pPr>
      <w:r w:rsidRPr="000A3B2A">
        <w:rPr>
          <w:rFonts w:cs="Times New Roman"/>
          <w:b/>
          <w:color w:val="000000"/>
          <w:szCs w:val="24"/>
          <w:u w:val="single"/>
        </w:rPr>
        <w:t>Finansiniai instrumentai, dėl kurių sutarta balandžio 9 d. Euro grupėje</w:t>
      </w:r>
      <w:r w:rsidRPr="000A3B2A">
        <w:rPr>
          <w:rFonts w:cs="Times New Roman"/>
          <w:color w:val="000000"/>
          <w:szCs w:val="24"/>
        </w:rPr>
        <w:t>:</w:t>
      </w:r>
    </w:p>
    <w:p w:rsidR="000A3B2A" w:rsidRPr="000A3B2A" w:rsidRDefault="000A3B2A" w:rsidP="000A17B8">
      <w:pPr>
        <w:numPr>
          <w:ilvl w:val="0"/>
          <w:numId w:val="46"/>
        </w:numPr>
        <w:autoSpaceDE w:val="0"/>
        <w:autoSpaceDN w:val="0"/>
        <w:adjustRightInd w:val="0"/>
        <w:spacing w:after="0" w:line="264" w:lineRule="auto"/>
        <w:contextualSpacing/>
        <w:jc w:val="both"/>
        <w:rPr>
          <w:rFonts w:cs="Times New Roman"/>
          <w:color w:val="000000"/>
          <w:szCs w:val="24"/>
        </w:rPr>
      </w:pPr>
      <w:r w:rsidRPr="000A3B2A">
        <w:rPr>
          <w:rFonts w:cs="Times New Roman"/>
          <w:b/>
          <w:bCs/>
          <w:color w:val="000000"/>
          <w:szCs w:val="24"/>
        </w:rPr>
        <w:t xml:space="preserve">ESM aktyvavimas. </w:t>
      </w:r>
      <w:r w:rsidRPr="000A3B2A">
        <w:rPr>
          <w:rFonts w:cs="Times New Roman"/>
          <w:bCs/>
          <w:color w:val="000000"/>
          <w:szCs w:val="24"/>
        </w:rPr>
        <w:t xml:space="preserve">2020 m. gegužės 8 d. Euro grupė galutinai susitarė dėl ESM Specialios kredito linijos, veiksiančios ESM esamo finansinio instrumento – Griežtesnių sąlygų kredito linijos (ECCL) – pagrindu, finansavimo sąlygų. Kredito linija bus prieinama visoms euro zonos šalims ir galės sudaryti iki 2 proc. šalies BVP. Pagal atliktus institucijų vertinimus, visos euro zonos valstybės narės atitinka tinkamumo kriterijus ir, prireikus, galėtų kreiptis dėl finansavimo iš šio instrumento. Lietuvai tai reiškia galimybę, prireikus, pasiskolinti iki 1 mlrd. EUR. Lėšas būtų galima panaudoti tiesioginėms ir netiesioginėms sveikatos apsaugos ir prevencijos išlaidoms, atsižvelgiant į kiekvienos valstybės narės situaciją. Visos finansuotinos priemonės bus nustatomos Atsako plane (angl. </w:t>
      </w:r>
      <w:r w:rsidRPr="000A3B2A">
        <w:rPr>
          <w:rFonts w:cs="Times New Roman"/>
          <w:bCs/>
          <w:i/>
          <w:color w:val="000000"/>
          <w:szCs w:val="24"/>
        </w:rPr>
        <w:t>Response Plan</w:t>
      </w:r>
      <w:r w:rsidRPr="000A3B2A">
        <w:rPr>
          <w:rFonts w:cs="Times New Roman"/>
          <w:bCs/>
          <w:color w:val="000000"/>
          <w:szCs w:val="24"/>
        </w:rPr>
        <w:t xml:space="preserve">). Atsižvelgiant į sudėtingą situaciją dėl pandemijos, paskolos bus suteikiamos pagal sumažintus įkainius. Maksimali suteiktų paskolų trukmė bus ne ilgesnė nei 10 metų. Pasinaudoti finansavimu pagal šią kredito liniją bus galima iki </w:t>
      </w:r>
      <w:r w:rsidRPr="000A3B2A">
        <w:rPr>
          <w:rFonts w:cs="Times New Roman"/>
          <w:bCs/>
          <w:color w:val="000000"/>
          <w:szCs w:val="24"/>
        </w:rPr>
        <w:lastRenderedPageBreak/>
        <w:t xml:space="preserve">2022 m. gruodžio 31 d. Nors </w:t>
      </w:r>
      <w:r w:rsidRPr="000A3B2A">
        <w:rPr>
          <w:rFonts w:cs="Times New Roman"/>
          <w:color w:val="000000"/>
          <w:szCs w:val="24"/>
        </w:rPr>
        <w:t>šiuo metu Lietuva neplanuoja skolintis iš ESM, bet ateityje, jeigu skolinimasis pabrangtų, galėtų būti svarstoma ši galimybė. Taip pat jau pats ESM aktyvavimas turėtų palengvinti Lietuvos galimybes skolintis.</w:t>
      </w:r>
    </w:p>
    <w:p w:rsidR="000A3B2A" w:rsidRPr="0075072F" w:rsidRDefault="000A3B2A" w:rsidP="00AB5028">
      <w:pPr>
        <w:numPr>
          <w:ilvl w:val="0"/>
          <w:numId w:val="46"/>
        </w:numPr>
        <w:spacing w:after="0" w:line="264" w:lineRule="auto"/>
        <w:contextualSpacing/>
        <w:jc w:val="both"/>
        <w:rPr>
          <w:rFonts w:cs="Times New Roman"/>
          <w:color w:val="000000"/>
          <w:szCs w:val="24"/>
        </w:rPr>
      </w:pPr>
      <w:r w:rsidRPr="000A3B2A">
        <w:rPr>
          <w:rFonts w:cs="Times New Roman"/>
          <w:b/>
          <w:bCs/>
          <w:color w:val="000000"/>
          <w:szCs w:val="24"/>
        </w:rPr>
        <w:t xml:space="preserve">EIB 25 mlrd. </w:t>
      </w:r>
      <w:r w:rsidRPr="000A3B2A">
        <w:rPr>
          <w:rFonts w:cs="Times New Roman"/>
          <w:bCs/>
          <w:color w:val="000000"/>
          <w:szCs w:val="24"/>
        </w:rPr>
        <w:t xml:space="preserve">eurų vertės Europos garantijų fondas, kuris leistų mobilizuoti 200 mlrd. eurų finansinę paramą įmonėms (orientacija į MVĮ). Didžioji dalis finansavimo įmones pasiektų per nacionalines skatinamąsias institucijas, tokias kaip INVEGA. </w:t>
      </w:r>
      <w:r w:rsidRPr="000A3B2A">
        <w:rPr>
          <w:rFonts w:cs="Times New Roman"/>
          <w:szCs w:val="24"/>
        </w:rPr>
        <w:t>Numatomos šios Europos garantijų fondo</w:t>
      </w:r>
      <w:r w:rsidRPr="000A3B2A" w:rsidDel="00D800D1">
        <w:rPr>
          <w:rFonts w:cs="Times New Roman"/>
          <w:szCs w:val="24"/>
        </w:rPr>
        <w:t xml:space="preserve"> </w:t>
      </w:r>
      <w:r w:rsidRPr="000A3B2A">
        <w:rPr>
          <w:rFonts w:cs="Times New Roman"/>
          <w:szCs w:val="24"/>
        </w:rPr>
        <w:t xml:space="preserve">priemonės: ribotos ir neribotos garantijos (angl. </w:t>
      </w:r>
      <w:r w:rsidRPr="000A3B2A">
        <w:rPr>
          <w:rFonts w:cs="Times New Roman"/>
          <w:i/>
          <w:szCs w:val="24"/>
        </w:rPr>
        <w:t>capped and uncapped guarantees</w:t>
      </w:r>
      <w:r w:rsidRPr="000A3B2A">
        <w:rPr>
          <w:rFonts w:cs="Times New Roman"/>
          <w:szCs w:val="24"/>
        </w:rPr>
        <w:t xml:space="preserve">), įskaitant pergarantavimo (angl. </w:t>
      </w:r>
      <w:r w:rsidRPr="000A3B2A">
        <w:rPr>
          <w:rFonts w:cs="Times New Roman"/>
          <w:i/>
          <w:szCs w:val="24"/>
        </w:rPr>
        <w:t>counter-guarantee</w:t>
      </w:r>
      <w:r w:rsidRPr="000A3B2A">
        <w:rPr>
          <w:rFonts w:cs="Times New Roman"/>
          <w:szCs w:val="24"/>
        </w:rPr>
        <w:t xml:space="preserve">) priemones komerciniams bankams ir nacionalinėms plėtros institucijoms; vertybinių popierių (angl. </w:t>
      </w:r>
      <w:r w:rsidRPr="000A3B2A">
        <w:rPr>
          <w:rFonts w:cs="Times New Roman"/>
          <w:i/>
          <w:szCs w:val="24"/>
        </w:rPr>
        <w:t>securitisations</w:t>
      </w:r>
      <w:r w:rsidRPr="000A3B2A">
        <w:rPr>
          <w:rFonts w:cs="Times New Roman"/>
          <w:szCs w:val="24"/>
        </w:rPr>
        <w:t xml:space="preserve">) ir rizikos pasidalijimo (angl. </w:t>
      </w:r>
      <w:r w:rsidRPr="000A3B2A">
        <w:rPr>
          <w:rFonts w:cs="Times New Roman"/>
          <w:i/>
          <w:szCs w:val="24"/>
        </w:rPr>
        <w:t>risk-sharing</w:t>
      </w:r>
      <w:r w:rsidRPr="000A3B2A">
        <w:rPr>
          <w:rFonts w:cs="Times New Roman"/>
          <w:szCs w:val="24"/>
        </w:rPr>
        <w:t xml:space="preserve">) priemonės; investicijos į akcinį kapitalą (angl. </w:t>
      </w:r>
      <w:r w:rsidRPr="000A3B2A">
        <w:rPr>
          <w:rFonts w:cs="Times New Roman"/>
          <w:i/>
          <w:szCs w:val="24"/>
        </w:rPr>
        <w:t>equity investments</w:t>
      </w:r>
      <w:r w:rsidRPr="000A3B2A">
        <w:rPr>
          <w:rFonts w:cs="Times New Roman"/>
          <w:szCs w:val="24"/>
        </w:rPr>
        <w:t xml:space="preserve">), įskaitant rizikos skolos (angl. </w:t>
      </w:r>
      <w:r w:rsidRPr="000A3B2A">
        <w:rPr>
          <w:rFonts w:cs="Times New Roman"/>
          <w:i/>
          <w:szCs w:val="24"/>
        </w:rPr>
        <w:t>venture debt</w:t>
      </w:r>
      <w:r w:rsidRPr="000A3B2A">
        <w:rPr>
          <w:rFonts w:cs="Times New Roman"/>
          <w:szCs w:val="24"/>
        </w:rPr>
        <w:t>) produktus.</w:t>
      </w:r>
      <w:r w:rsidRPr="000A3B2A">
        <w:rPr>
          <w:rFonts w:cs="Times New Roman"/>
          <w:bCs/>
          <w:color w:val="000000"/>
          <w:szCs w:val="24"/>
        </w:rPr>
        <w:t xml:space="preserve"> Fondas galėtų būti naudingas Lietuvai: preliminariai siūlomos pergarantavimo (angl. </w:t>
      </w:r>
      <w:r w:rsidRPr="000A3B2A">
        <w:rPr>
          <w:rFonts w:cs="Times New Roman"/>
          <w:bCs/>
          <w:i/>
          <w:color w:val="000000"/>
          <w:szCs w:val="24"/>
        </w:rPr>
        <w:t>counter-guarantees</w:t>
      </w:r>
      <w:r w:rsidRPr="000A3B2A">
        <w:rPr>
          <w:rFonts w:cs="Times New Roman"/>
          <w:bCs/>
          <w:color w:val="000000"/>
          <w:szCs w:val="24"/>
        </w:rPr>
        <w:t xml:space="preserve">) priemonės galėtų papildyti nacionalines garantijų schemas bei numatomo steigti Verslo paramos fondo, kurį valdys INVEGA, priemones. Lietuva jungiasi prie šio fondo ir turės suteikti 43,9 mln. eurų valstybės garantiją fondo veiklų fonde dalyvaujančiose šalyse nuostoliams padengti. </w:t>
      </w:r>
      <w:r w:rsidR="0075072F">
        <w:rPr>
          <w:rFonts w:cs="Times New Roman"/>
          <w:bCs/>
          <w:color w:val="000000"/>
          <w:szCs w:val="24"/>
        </w:rPr>
        <w:t>Vyriausybė</w:t>
      </w:r>
      <w:r w:rsidR="0075072F" w:rsidRPr="0075072F">
        <w:rPr>
          <w:rFonts w:cs="Times New Roman"/>
          <w:bCs/>
          <w:color w:val="000000"/>
          <w:szCs w:val="24"/>
        </w:rPr>
        <w:t xml:space="preserve"> š. m. liepos 1 d. </w:t>
      </w:r>
      <w:r w:rsidR="0075072F">
        <w:rPr>
          <w:rFonts w:cs="Times New Roman"/>
          <w:bCs/>
          <w:color w:val="000000"/>
          <w:szCs w:val="24"/>
        </w:rPr>
        <w:t>pritarė</w:t>
      </w:r>
      <w:r w:rsidR="0075072F" w:rsidRPr="0075072F">
        <w:rPr>
          <w:rFonts w:cs="Times New Roman"/>
          <w:bCs/>
          <w:color w:val="000000"/>
          <w:szCs w:val="24"/>
        </w:rPr>
        <w:t xml:space="preserve"> garantijų suteikimui</w:t>
      </w:r>
      <w:r w:rsidR="0075072F">
        <w:rPr>
          <w:rFonts w:cs="Times New Roman"/>
          <w:bCs/>
          <w:color w:val="000000"/>
          <w:szCs w:val="24"/>
        </w:rPr>
        <w:t xml:space="preserve">. </w:t>
      </w:r>
      <w:r w:rsidRPr="000A3B2A">
        <w:rPr>
          <w:rFonts w:cs="Times New Roman"/>
          <w:bCs/>
          <w:color w:val="000000"/>
          <w:szCs w:val="24"/>
        </w:rPr>
        <w:t>Planuojama, kad Lietuva su EIB pasirašys sutartį š. m. liepos pradžioje.</w:t>
      </w:r>
      <w:r w:rsidRPr="000A3B2A">
        <w:rPr>
          <w:rFonts w:cs="Times New Roman"/>
          <w:bCs/>
          <w:color w:val="000000"/>
          <w:szCs w:val="24"/>
          <w:vertAlign w:val="superscript"/>
        </w:rPr>
        <w:footnoteReference w:id="1"/>
      </w:r>
      <w:r w:rsidRPr="000A3B2A">
        <w:rPr>
          <w:rFonts w:cs="Times New Roman"/>
          <w:bCs/>
          <w:color w:val="000000"/>
          <w:szCs w:val="24"/>
        </w:rPr>
        <w:t xml:space="preserve">  </w:t>
      </w:r>
    </w:p>
    <w:p w:rsidR="000A3B2A" w:rsidRPr="000A3B2A" w:rsidRDefault="000A3B2A" w:rsidP="000A3B2A">
      <w:pPr>
        <w:numPr>
          <w:ilvl w:val="0"/>
          <w:numId w:val="46"/>
        </w:numPr>
        <w:spacing w:after="0" w:line="264" w:lineRule="auto"/>
        <w:contextualSpacing/>
        <w:jc w:val="both"/>
        <w:rPr>
          <w:rFonts w:cs="Times New Roman"/>
          <w:bCs/>
          <w:color w:val="000000"/>
          <w:szCs w:val="24"/>
        </w:rPr>
      </w:pPr>
      <w:r w:rsidRPr="000A3B2A">
        <w:rPr>
          <w:rFonts w:cs="Times New Roman"/>
          <w:b/>
          <w:color w:val="000000"/>
          <w:szCs w:val="24"/>
        </w:rPr>
        <w:t>Papildomas finansavimas nacionalinėms laikino nedarbo schemoms (SURE).</w:t>
      </w:r>
      <w:r w:rsidRPr="000A3B2A">
        <w:rPr>
          <w:rFonts w:cs="Times New Roman"/>
          <w:color w:val="000000"/>
          <w:szCs w:val="24"/>
        </w:rPr>
        <w:t xml:space="preserve"> </w:t>
      </w:r>
    </w:p>
    <w:p w:rsidR="000A3B2A" w:rsidRPr="000A3B2A" w:rsidRDefault="000A3B2A" w:rsidP="000A3B2A">
      <w:pPr>
        <w:spacing w:after="0" w:line="240" w:lineRule="auto"/>
        <w:ind w:left="786"/>
        <w:contextualSpacing/>
        <w:jc w:val="both"/>
        <w:rPr>
          <w:rFonts w:eastAsia="Times New Roman" w:cs="Times New Roman"/>
          <w:szCs w:val="24"/>
          <w:lang w:eastAsia="lt-LT"/>
        </w:rPr>
      </w:pPr>
      <w:r w:rsidRPr="000A3B2A">
        <w:rPr>
          <w:rFonts w:eastAsia="Times New Roman" w:cs="Times New Roman"/>
          <w:szCs w:val="24"/>
          <w:lang w:eastAsia="lt-LT"/>
        </w:rPr>
        <w:t>2020 m. gegužės 19 d. Tarybos reglamentu sukurta Priemonė, siekiant naujojo koronaviruso (COVID-19) pandemijos paveiktoms Europos Sąjungos valstybėms narėms suteikti paramą patyrus staigų viešųjų išlaidų, skirtų užimtumui išsaugoti, padidėjimą. Tai laikina finansinė priemonė, kuriai įgyvendinti numatyta skirti 100 mlrd. eurų, siekiant paremti valstybes nares joms suteikiant paskolas. Pagal Priemonę taip pat siūloma finansuoti išlaidas, susijusias su asmeninės apsaugos priemonėmis, apsaugančiomis darbuotojus ir savarankiškai dirbančius asmenis darbo vietose.</w:t>
      </w:r>
    </w:p>
    <w:p w:rsidR="000A3B2A" w:rsidRPr="000A3B2A" w:rsidRDefault="0047419C" w:rsidP="000A3B2A">
      <w:pPr>
        <w:spacing w:after="0" w:line="240" w:lineRule="auto"/>
        <w:ind w:left="786"/>
        <w:contextualSpacing/>
        <w:jc w:val="both"/>
        <w:rPr>
          <w:rFonts w:eastAsia="Times New Roman" w:cs="Times New Roman"/>
          <w:szCs w:val="24"/>
          <w:lang w:eastAsia="lt-LT"/>
        </w:rPr>
      </w:pPr>
      <w:r>
        <w:rPr>
          <w:rFonts w:eastAsia="Times New Roman" w:cs="Times New Roman"/>
          <w:szCs w:val="24"/>
          <w:lang w:eastAsia="lt-LT"/>
        </w:rPr>
        <w:t>Valstybės narės turi</w:t>
      </w:r>
      <w:r w:rsidR="000A3B2A" w:rsidRPr="000A3B2A">
        <w:rPr>
          <w:rFonts w:eastAsia="Times New Roman" w:cs="Times New Roman"/>
          <w:szCs w:val="24"/>
          <w:lang w:eastAsia="lt-LT"/>
        </w:rPr>
        <w:t xml:space="preserve"> prisidėti prie Priemonės teikdamos garantijas, padengiančias Europos Sąjungos prisiimamą riziką. Valstybių narių įnašai teikiami neatšaukiamų, besąlyginių ir pagal pareikalavimą vykdomų garantijų forma. Europos Komisija su valstybe nare sudaro susitarimą dėl neatšaukiamų, besąlyginių ir pagal pareikalavimą vykdomų garantijų, kuriame nustatomos mokėjimo sąlygos. Prieš teikdama reikalavimą mokėti pagal valstybių narių suteiktas garantijas, Europos Komisija turėtų išnagrinėti galimybes pasinaudoti turima nuosavų išteklių viršutinės ribos, taikomos mokėjimų asignavimams, marža. </w:t>
      </w:r>
    </w:p>
    <w:p w:rsidR="000A3B2A" w:rsidRPr="000A3B2A" w:rsidRDefault="000A3B2A" w:rsidP="000A3B2A">
      <w:pPr>
        <w:spacing w:after="0" w:line="240" w:lineRule="auto"/>
        <w:ind w:left="786"/>
        <w:contextualSpacing/>
        <w:jc w:val="both"/>
        <w:rPr>
          <w:rFonts w:eastAsia="Times New Roman" w:cs="Times New Roman"/>
          <w:szCs w:val="24"/>
          <w:lang w:eastAsia="lt-LT"/>
        </w:rPr>
      </w:pPr>
      <w:r w:rsidRPr="000A3B2A">
        <w:rPr>
          <w:rFonts w:eastAsia="Times New Roman" w:cs="Times New Roman"/>
          <w:szCs w:val="24"/>
          <w:lang w:eastAsia="lt-LT"/>
        </w:rPr>
        <w:t>Priemone bus galima naudotis tik po to, kai visos valstybės narės prisidės prie Priemonės įnašais, kurių suma sudaro bent 25 procentus nurodytos didžiausios sumos (100 mlrd. eurų), o santykinė kiekvienos valstybės narės įnašų dalis turi atitikti santykinę tos valstybės narės dalį nuo bendros Europos Sąjungos bendrųjų nacionalinių pajamų sumos (apskaičiuojama pagal 2020 m. biudžeto įplaukų dalį Europos Sąjungos 2020 finansinių metų bendrajame biudžete, priimtame 2019 m. lapkričio 27 d.). Susitarimo dėl garantijos projekte numatyta, kad proporcingai apskaičiuota Lietuvos garantija sudaro 83 953 500 eurų.</w:t>
      </w:r>
    </w:p>
    <w:p w:rsidR="000A3B2A" w:rsidRPr="000A3B2A" w:rsidRDefault="000A3B2A" w:rsidP="000A3B2A">
      <w:pPr>
        <w:spacing w:after="0" w:line="240" w:lineRule="auto"/>
        <w:ind w:left="786"/>
        <w:contextualSpacing/>
        <w:jc w:val="both"/>
        <w:rPr>
          <w:rFonts w:eastAsia="Times New Roman" w:cs="Times New Roman"/>
          <w:szCs w:val="24"/>
          <w:lang w:eastAsia="lt-LT"/>
        </w:rPr>
      </w:pPr>
      <w:r w:rsidRPr="000A3B2A">
        <w:rPr>
          <w:rFonts w:eastAsia="Times New Roman" w:cs="Times New Roman"/>
          <w:szCs w:val="24"/>
          <w:lang w:eastAsia="lt-LT"/>
        </w:rPr>
        <w:t xml:space="preserve">Vyriausybei </w:t>
      </w:r>
      <w:r w:rsidR="0047419C">
        <w:rPr>
          <w:rFonts w:eastAsia="Times New Roman" w:cs="Times New Roman"/>
          <w:szCs w:val="24"/>
          <w:lang w:eastAsia="lt-LT"/>
        </w:rPr>
        <w:t xml:space="preserve">š. m. liepos 1 d. </w:t>
      </w:r>
      <w:r w:rsidRPr="000A3B2A">
        <w:rPr>
          <w:rFonts w:eastAsia="Times New Roman" w:cs="Times New Roman"/>
          <w:szCs w:val="24"/>
          <w:lang w:eastAsia="lt-LT"/>
        </w:rPr>
        <w:t>pritarus garantijų suteikimui</w:t>
      </w:r>
      <w:r w:rsidR="0047419C">
        <w:rPr>
          <w:rFonts w:eastAsia="Times New Roman" w:cs="Times New Roman"/>
          <w:szCs w:val="24"/>
          <w:lang w:eastAsia="lt-LT"/>
        </w:rPr>
        <w:t>,</w:t>
      </w:r>
      <w:r w:rsidRPr="000A3B2A">
        <w:rPr>
          <w:rFonts w:eastAsia="Times New Roman" w:cs="Times New Roman"/>
          <w:szCs w:val="24"/>
          <w:lang w:eastAsia="lt-LT"/>
        </w:rPr>
        <w:t xml:space="preserve">  Finansų ministras pasirašys garantijų susitarimą su EK. </w:t>
      </w:r>
    </w:p>
    <w:p w:rsidR="000A3B2A" w:rsidRDefault="000A3B2A" w:rsidP="000A3B2A">
      <w:pPr>
        <w:spacing w:line="264" w:lineRule="auto"/>
        <w:ind w:left="786"/>
        <w:contextualSpacing/>
        <w:rPr>
          <w:rFonts w:cs="Times New Roman"/>
          <w:szCs w:val="24"/>
        </w:rPr>
      </w:pPr>
      <w:r w:rsidRPr="000A3B2A">
        <w:rPr>
          <w:rFonts w:cs="Times New Roman"/>
          <w:szCs w:val="24"/>
        </w:rPr>
        <w:t xml:space="preserve">Birželio 29 d. EK pateikta informacija dėl preliminaraus Lietuvos poreikio paskolai pagal </w:t>
      </w:r>
      <w:r w:rsidR="00806F29">
        <w:rPr>
          <w:rFonts w:cs="Times New Roman"/>
          <w:szCs w:val="24"/>
        </w:rPr>
        <w:t>SURE priemonę gauti. Įtrauktos 3</w:t>
      </w:r>
      <w:r w:rsidRPr="000A3B2A">
        <w:rPr>
          <w:rFonts w:cs="Times New Roman"/>
          <w:szCs w:val="24"/>
        </w:rPr>
        <w:t xml:space="preserve"> priemonės, kurių bendrą suma sudaro </w:t>
      </w:r>
      <w:r w:rsidR="00806F29">
        <w:rPr>
          <w:rFonts w:cs="Times New Roman"/>
          <w:szCs w:val="24"/>
        </w:rPr>
        <w:t xml:space="preserve">beveik </w:t>
      </w:r>
      <w:r w:rsidRPr="000A3B2A">
        <w:rPr>
          <w:rFonts w:cs="Times New Roman"/>
          <w:szCs w:val="24"/>
        </w:rPr>
        <w:t>600 mln. EUR.</w:t>
      </w:r>
    </w:p>
    <w:p w:rsidR="0075072F" w:rsidRDefault="0075072F" w:rsidP="000A3B2A">
      <w:pPr>
        <w:spacing w:line="264" w:lineRule="auto"/>
        <w:ind w:left="786"/>
        <w:contextualSpacing/>
        <w:rPr>
          <w:rFonts w:cs="Times New Roman"/>
          <w:szCs w:val="24"/>
        </w:rPr>
      </w:pPr>
    </w:p>
    <w:p w:rsidR="0075072F" w:rsidRPr="00DB79E7" w:rsidRDefault="0075072F" w:rsidP="00AB5028">
      <w:pPr>
        <w:spacing w:line="264" w:lineRule="auto"/>
        <w:ind w:left="786" w:hanging="786"/>
        <w:contextualSpacing/>
        <w:rPr>
          <w:rFonts w:cs="Times New Roman"/>
          <w:b/>
          <w:szCs w:val="24"/>
          <w:u w:val="single"/>
        </w:rPr>
      </w:pPr>
      <w:r w:rsidRPr="00DB79E7">
        <w:rPr>
          <w:rFonts w:cs="Times New Roman"/>
          <w:b/>
          <w:szCs w:val="24"/>
          <w:u w:val="single"/>
        </w:rPr>
        <w:t>Kiti nauji teisiniai pasiūlymai dėl ekonomikos gaivinimo</w:t>
      </w:r>
    </w:p>
    <w:p w:rsidR="00AF01BF" w:rsidRPr="00AB5028" w:rsidRDefault="00AF01BF" w:rsidP="00AB5028">
      <w:pPr>
        <w:spacing w:line="264" w:lineRule="auto"/>
        <w:ind w:left="786" w:hanging="786"/>
        <w:contextualSpacing/>
        <w:rPr>
          <w:rFonts w:cs="Times New Roman"/>
          <w:b/>
          <w:szCs w:val="24"/>
        </w:rPr>
      </w:pPr>
      <w:r w:rsidRPr="00AB5028">
        <w:rPr>
          <w:rFonts w:cs="Times New Roman"/>
          <w:b/>
          <w:szCs w:val="24"/>
        </w:rPr>
        <w:t>Ekonomikos gaivinimo ir atsparumo didinimo priemonė (</w:t>
      </w:r>
      <w:r w:rsidRPr="00AB5028">
        <w:rPr>
          <w:rFonts w:cs="Times New Roman"/>
          <w:b/>
          <w:i/>
          <w:szCs w:val="24"/>
        </w:rPr>
        <w:t>Recovery and Resilience Facility, RRF</w:t>
      </w:r>
      <w:r w:rsidRPr="00AB5028">
        <w:rPr>
          <w:rFonts w:cs="Times New Roman"/>
          <w:b/>
          <w:szCs w:val="24"/>
        </w:rPr>
        <w:t>)</w:t>
      </w:r>
    </w:p>
    <w:p w:rsidR="00AF01BF" w:rsidRPr="00AF01BF" w:rsidRDefault="00AF01BF" w:rsidP="00AF01BF">
      <w:pPr>
        <w:spacing w:after="0" w:line="240" w:lineRule="auto"/>
        <w:jc w:val="both"/>
        <w:rPr>
          <w:rFonts w:eastAsia="Times New Roman" w:cs="Times New Roman"/>
          <w:color w:val="000000"/>
          <w:szCs w:val="20"/>
          <w:lang w:eastAsia="lt-LT" w:bidi="lt-LT"/>
        </w:rPr>
      </w:pPr>
      <w:r w:rsidRPr="00AF01BF">
        <w:rPr>
          <w:rFonts w:eastAsia="Times New Roman" w:cs="Times New Roman"/>
          <w:color w:val="000000"/>
          <w:szCs w:val="20"/>
          <w:lang w:eastAsia="lt-LT" w:bidi="lt-LT"/>
        </w:rPr>
        <w:t xml:space="preserve">Gegužės 27 d. Europos Komisija (EK) pateikė savo pasiūlymą dėl Europos gaivinimo instrumento (,,Kitos kartos ES“), kurio dydis siekia 750 mlrd. Eur. Tai yra laikinas instrumentas, kurio lėšos bus skirstomos per ES biudžetą ir kuris rems investicijas ir reformas. Jis taip pat bus naudojamas sustiprinti </w:t>
      </w:r>
      <w:r w:rsidRPr="00AF01BF">
        <w:rPr>
          <w:rFonts w:eastAsia="Times New Roman" w:cs="Times New Roman"/>
          <w:color w:val="000000"/>
          <w:szCs w:val="20"/>
          <w:lang w:eastAsia="lt-LT" w:bidi="lt-LT"/>
        </w:rPr>
        <w:lastRenderedPageBreak/>
        <w:t>atsigavimui svarbias finansines programas iki 2024 m. gruodžio 31 d. 500 mlrd. Eur ,,Kitos kartos ES" bus paskirstoma dotacijomis, 250 mlrd. Eur – paskolomis.</w:t>
      </w:r>
    </w:p>
    <w:p w:rsidR="00AF01BF" w:rsidRPr="00AF01BF" w:rsidRDefault="00AF01BF" w:rsidP="00AF01BF">
      <w:pPr>
        <w:spacing w:after="0" w:line="240" w:lineRule="auto"/>
        <w:rPr>
          <w:rFonts w:eastAsia="Times New Roman" w:cs="Times New Roman"/>
          <w:color w:val="000000"/>
          <w:szCs w:val="20"/>
          <w:lang w:eastAsia="lt-LT" w:bidi="lt-LT"/>
        </w:rPr>
      </w:pPr>
      <w:r w:rsidRPr="00AF01BF">
        <w:rPr>
          <w:rFonts w:eastAsia="Times New Roman" w:cs="Times New Roman"/>
          <w:color w:val="000000"/>
          <w:szCs w:val="20"/>
          <w:lang w:eastAsia="lt-LT" w:bidi="lt-LT"/>
        </w:rPr>
        <w:t>Viena iš šio instrumento dalių yra nauja Ekonomikos gaivinimo ir atsparumo didinimo priemonė (</w:t>
      </w:r>
      <w:r w:rsidRPr="00AF01BF">
        <w:rPr>
          <w:rFonts w:eastAsia="Times New Roman" w:cs="Times New Roman"/>
          <w:i/>
          <w:color w:val="000000"/>
          <w:szCs w:val="20"/>
          <w:lang w:eastAsia="lt-LT" w:bidi="lt-LT"/>
        </w:rPr>
        <w:t>Recovery and Resilience Facility</w:t>
      </w:r>
      <w:r w:rsidRPr="00AF01BF">
        <w:rPr>
          <w:rFonts w:eastAsia="Times New Roman" w:cs="Times New Roman"/>
          <w:color w:val="000000"/>
          <w:szCs w:val="20"/>
          <w:lang w:eastAsia="lt-LT" w:bidi="lt-LT"/>
        </w:rPr>
        <w:t xml:space="preserve">), kuri rems reformas ir investicijas, būtinas ilgalaikiam atsigavimui, ekonominiam ir socialiniam VN atsparumui, žaliajai ir skaitmeninei pertvarkai. Priemonė bus prieinamas visoms VN, bet jos parama bus sutelkta labiausiai nukentėjusiose Sąjungos dalyse. Priemonės dydis – 560 mlrd. Eur, iš kurių 310 mlrd. bus skirta dotacijoms, 250 mlrd. Eur – paskoloms. </w:t>
      </w:r>
    </w:p>
    <w:p w:rsidR="00AF01BF" w:rsidRPr="00AF01BF" w:rsidRDefault="00AF01BF" w:rsidP="00AF01BF">
      <w:pPr>
        <w:spacing w:after="0" w:line="240" w:lineRule="auto"/>
        <w:rPr>
          <w:rFonts w:eastAsia="Times New Roman" w:cs="Times New Roman"/>
          <w:color w:val="000000"/>
          <w:szCs w:val="20"/>
          <w:lang w:eastAsia="lt-LT" w:bidi="lt-LT"/>
        </w:rPr>
      </w:pPr>
      <w:r w:rsidRPr="00AF01BF">
        <w:rPr>
          <w:rFonts w:eastAsia="Times New Roman" w:cs="Times New Roman"/>
          <w:color w:val="000000"/>
          <w:szCs w:val="20"/>
          <w:lang w:eastAsia="lt-LT" w:bidi="lt-LT"/>
        </w:rPr>
        <w:t>Siekiant padidinti instrumento paramą atsigavimui, reglamente numatyta, kad 60 procentų dotacijų turi būti paskirstytos (</w:t>
      </w:r>
      <w:r w:rsidRPr="00AF01BF">
        <w:rPr>
          <w:rFonts w:eastAsia="Times New Roman" w:cs="Times New Roman"/>
          <w:i/>
          <w:color w:val="000000"/>
          <w:szCs w:val="20"/>
          <w:lang w:eastAsia="lt-LT" w:bidi="lt-LT"/>
        </w:rPr>
        <w:t>committed</w:t>
      </w:r>
      <w:r w:rsidRPr="00AF01BF">
        <w:rPr>
          <w:rFonts w:eastAsia="Times New Roman" w:cs="Times New Roman"/>
          <w:color w:val="000000"/>
          <w:szCs w:val="20"/>
          <w:lang w:eastAsia="lt-LT" w:bidi="lt-LT"/>
        </w:rPr>
        <w:t>) iki 2022 m. gruodžio 31 d., o galutinai paskirstytos iki 2024 m. gruodžio 31 d. Paskolas valstybėms narėms EK galės skirti iki 2024 m. gruodžio 31 d.</w:t>
      </w:r>
    </w:p>
    <w:p w:rsidR="00AF01BF" w:rsidRPr="00AF01BF" w:rsidRDefault="00AF01BF" w:rsidP="00AF01BF">
      <w:pPr>
        <w:spacing w:after="0" w:line="240" w:lineRule="auto"/>
        <w:rPr>
          <w:rFonts w:eastAsia="Times New Roman" w:cs="Times New Roman"/>
          <w:color w:val="000000"/>
          <w:szCs w:val="20"/>
          <w:lang w:eastAsia="lt-LT" w:bidi="lt-LT"/>
        </w:rPr>
      </w:pPr>
      <w:r w:rsidRPr="00AF01BF">
        <w:rPr>
          <w:rFonts w:eastAsia="Times New Roman" w:cs="Times New Roman"/>
          <w:color w:val="000000"/>
          <w:szCs w:val="20"/>
          <w:lang w:eastAsia="lt-LT" w:bidi="lt-LT"/>
        </w:rPr>
        <w:t>Maksimalūs dotacijų dydžiai valstybėms narėms paskaičiuoti remiantis formule, kuri apima gyventojų skaičių, BVP vienam gyventojui ir 2015-2019 m. nedarbo rodiklius. Lietuvai numatyta maksimali suma dotacijoms – 2,766 mlrd. Eur. VN taip pat gali gauti iki 4,7 proc. jos BNP dydžio paskolą (skaičiuojant nuo 2018 m. LT BNP - 2,059 mlrd. Eur). Esant išskirtinėms aplinkybėms, gali būti suteikta ir didesnio dydžio paskola.</w:t>
      </w:r>
    </w:p>
    <w:p w:rsidR="00AF01BF" w:rsidRDefault="00AF01BF" w:rsidP="0075072F">
      <w:pPr>
        <w:spacing w:after="0" w:line="240" w:lineRule="auto"/>
        <w:jc w:val="both"/>
        <w:rPr>
          <w:rFonts w:eastAsia="Times New Roman" w:cs="Times New Roman"/>
          <w:b/>
          <w:color w:val="000000"/>
          <w:szCs w:val="20"/>
          <w:lang w:eastAsia="lt-LT" w:bidi="lt-LT"/>
        </w:rPr>
      </w:pPr>
    </w:p>
    <w:p w:rsidR="0075072F" w:rsidRPr="00AB5028" w:rsidRDefault="0075072F" w:rsidP="0075072F">
      <w:pPr>
        <w:spacing w:after="0" w:line="240" w:lineRule="auto"/>
        <w:jc w:val="both"/>
        <w:rPr>
          <w:rFonts w:eastAsia="Times New Roman" w:cs="Times New Roman"/>
          <w:b/>
          <w:color w:val="000000"/>
          <w:szCs w:val="20"/>
          <w:lang w:eastAsia="lt-LT" w:bidi="lt-LT"/>
        </w:rPr>
      </w:pPr>
      <w:r w:rsidRPr="00AB5028">
        <w:rPr>
          <w:rFonts w:eastAsia="Times New Roman" w:cs="Times New Roman"/>
          <w:b/>
          <w:color w:val="000000"/>
          <w:szCs w:val="20"/>
          <w:lang w:eastAsia="lt-LT" w:bidi="lt-LT"/>
        </w:rPr>
        <w:t>InvestEU</w:t>
      </w:r>
    </w:p>
    <w:p w:rsidR="0075072F" w:rsidRPr="0075072F" w:rsidRDefault="0075072F" w:rsidP="0075072F">
      <w:pPr>
        <w:spacing w:after="0" w:line="240" w:lineRule="auto"/>
        <w:jc w:val="both"/>
        <w:rPr>
          <w:rFonts w:eastAsia="Times New Roman" w:cs="Times New Roman"/>
          <w:color w:val="000000"/>
          <w:szCs w:val="20"/>
          <w:lang w:eastAsia="lt-LT" w:bidi="lt-LT"/>
        </w:rPr>
      </w:pPr>
      <w:r w:rsidRPr="0075072F">
        <w:rPr>
          <w:rFonts w:eastAsia="Times New Roman" w:cs="Times New Roman"/>
          <w:color w:val="000000"/>
          <w:szCs w:val="20"/>
          <w:lang w:eastAsia="lt-LT" w:bidi="lt-LT"/>
        </w:rPr>
        <w:t>2018 m. birželio 6 d. Europos Komisija (EK) pateikė pasiūlymą dėl naujosios Europos Sąjungos (ES) 2021–2027 m. Daugiametės finansinės programos (DFP) investicijų programos "InvestEU"</w:t>
      </w:r>
      <w:hyperlink r:id="rId9" w:anchor="_ftn1" w:history="1">
        <w:r w:rsidRPr="0075072F">
          <w:rPr>
            <w:rFonts w:eastAsia="Times New Roman" w:cs="Times New Roman"/>
            <w:color w:val="000000"/>
            <w:szCs w:val="20"/>
            <w:u w:val="single"/>
            <w:lang w:eastAsia="lt-LT" w:bidi="lt-LT"/>
          </w:rPr>
          <w:t>[1]</w:t>
        </w:r>
      </w:hyperlink>
      <w:r w:rsidRPr="0075072F">
        <w:rPr>
          <w:rFonts w:eastAsia="Times New Roman" w:cs="Times New Roman"/>
          <w:color w:val="000000"/>
          <w:szCs w:val="20"/>
          <w:lang w:eastAsia="lt-LT" w:bidi="lt-LT"/>
        </w:rPr>
        <w:t>, kuri remsis sėkminga Europos strateginių investicijų fondo (EFSI) patirtimi ir yra skirta skatinti viešas ir privačias investicijas. Programos tikslas – suteikti finansavimą ekonomikos subjektams, kuriems dėl jų rizikos profilio privatūs finansuotojai ne visada gali arba nori suteikti finansavimą, kad būtų skatinamas ES ekonomikos konkurencingumas, tvarus augimas, socialinis atsparumas. Siūlytos 4 pagrindinės "InvestEU" finansavimo sritys: infrastruktūra, moksliniai tyrimai ir inovacijos, mažos ir vidutinės įmonės, socialinės investicijos.</w:t>
      </w:r>
    </w:p>
    <w:p w:rsidR="0075072F" w:rsidRPr="0075072F" w:rsidRDefault="0075072F" w:rsidP="0075072F">
      <w:pPr>
        <w:spacing w:after="0" w:line="240" w:lineRule="auto"/>
        <w:jc w:val="both"/>
        <w:rPr>
          <w:rFonts w:eastAsia="Times New Roman" w:cs="Times New Roman"/>
          <w:color w:val="000000"/>
          <w:szCs w:val="20"/>
          <w:lang w:eastAsia="lt-LT" w:bidi="lt-LT"/>
        </w:rPr>
      </w:pPr>
      <w:r w:rsidRPr="0075072F">
        <w:rPr>
          <w:rFonts w:eastAsia="Times New Roman" w:cs="Times New Roman"/>
          <w:color w:val="000000"/>
          <w:szCs w:val="20"/>
          <w:lang w:eastAsia="lt-LT" w:bidi="lt-LT"/>
        </w:rPr>
        <w:t xml:space="preserve">„InvestEU” programą sudaro </w:t>
      </w:r>
      <w:r w:rsidRPr="0075072F">
        <w:rPr>
          <w:rFonts w:eastAsia="Times New Roman" w:cs="Times New Roman"/>
          <w:b/>
          <w:color w:val="000000"/>
          <w:szCs w:val="20"/>
          <w:lang w:eastAsia="lt-LT" w:bidi="lt-LT"/>
        </w:rPr>
        <w:t>4 pagrindiniai elementai</w:t>
      </w:r>
      <w:r w:rsidRPr="0075072F">
        <w:rPr>
          <w:rFonts w:eastAsia="Times New Roman" w:cs="Times New Roman"/>
          <w:color w:val="000000"/>
          <w:szCs w:val="20"/>
          <w:lang w:eastAsia="lt-LT" w:bidi="lt-LT"/>
        </w:rPr>
        <w:t xml:space="preserve">: </w:t>
      </w:r>
    </w:p>
    <w:p w:rsidR="0075072F" w:rsidRPr="0075072F" w:rsidRDefault="0075072F" w:rsidP="0075072F">
      <w:pPr>
        <w:numPr>
          <w:ilvl w:val="0"/>
          <w:numId w:val="50"/>
        </w:numPr>
        <w:spacing w:after="0" w:line="240" w:lineRule="auto"/>
        <w:jc w:val="both"/>
        <w:rPr>
          <w:rFonts w:eastAsia="Times New Roman" w:cs="Times New Roman"/>
          <w:color w:val="000000"/>
          <w:szCs w:val="20"/>
          <w:lang w:eastAsia="lt-LT" w:bidi="lt-LT"/>
        </w:rPr>
      </w:pPr>
      <w:r w:rsidRPr="0075072F">
        <w:rPr>
          <w:rFonts w:eastAsia="Times New Roman" w:cs="Times New Roman"/>
          <w:color w:val="000000"/>
          <w:szCs w:val="20"/>
          <w:lang w:eastAsia="lt-LT" w:bidi="lt-LT"/>
        </w:rPr>
        <w:t xml:space="preserve">„InvestEU“ fondas, teiksiantis iki 75 153 850 000 eurų ES garantiją. „InvestEU“ fondu siekiama veiksmingiau įgyvendinti ES biudžetą, pasiekti masto ekonomiją, padidinti ES veiksmų matomumą ir supaprastinti atsiskaitymą (angl. </w:t>
      </w:r>
      <w:r w:rsidRPr="0075072F">
        <w:rPr>
          <w:rFonts w:eastAsia="Times New Roman" w:cs="Times New Roman"/>
          <w:i/>
          <w:color w:val="000000"/>
          <w:szCs w:val="20"/>
          <w:lang w:eastAsia="lt-LT" w:bidi="lt-LT"/>
        </w:rPr>
        <w:t>reporting</w:t>
      </w:r>
      <w:r w:rsidRPr="0075072F">
        <w:rPr>
          <w:rFonts w:eastAsia="Times New Roman" w:cs="Times New Roman"/>
          <w:color w:val="000000"/>
          <w:szCs w:val="20"/>
          <w:lang w:eastAsia="lt-LT" w:bidi="lt-LT"/>
        </w:rPr>
        <w:t xml:space="preserve">) ir atskaitomybę (angl. </w:t>
      </w:r>
      <w:r w:rsidRPr="0075072F">
        <w:rPr>
          <w:rFonts w:eastAsia="Times New Roman" w:cs="Times New Roman"/>
          <w:i/>
          <w:color w:val="000000"/>
          <w:szCs w:val="20"/>
          <w:lang w:eastAsia="lt-LT" w:bidi="lt-LT"/>
        </w:rPr>
        <w:t>accountability</w:t>
      </w:r>
      <w:r w:rsidRPr="0075072F">
        <w:rPr>
          <w:rFonts w:eastAsia="Times New Roman" w:cs="Times New Roman"/>
          <w:color w:val="000000"/>
          <w:szCs w:val="20"/>
          <w:lang w:eastAsia="lt-LT" w:bidi="lt-LT"/>
        </w:rPr>
        <w:t>);</w:t>
      </w:r>
    </w:p>
    <w:p w:rsidR="0075072F" w:rsidRPr="0075072F" w:rsidRDefault="0075072F" w:rsidP="0075072F">
      <w:pPr>
        <w:numPr>
          <w:ilvl w:val="0"/>
          <w:numId w:val="50"/>
        </w:numPr>
        <w:spacing w:after="0" w:line="240" w:lineRule="auto"/>
        <w:jc w:val="both"/>
        <w:rPr>
          <w:rFonts w:eastAsia="Times New Roman" w:cs="Times New Roman"/>
          <w:color w:val="000000"/>
          <w:szCs w:val="20"/>
          <w:lang w:eastAsia="lt-LT" w:bidi="lt-LT"/>
        </w:rPr>
      </w:pPr>
      <w:r w:rsidRPr="0075072F">
        <w:rPr>
          <w:rFonts w:eastAsia="Times New Roman" w:cs="Times New Roman"/>
          <w:color w:val="000000"/>
          <w:szCs w:val="20"/>
          <w:lang w:eastAsia="lt-LT" w:bidi="lt-LT"/>
        </w:rPr>
        <w:t xml:space="preserve">„InvestEU“ konsultacijų centras (angl. </w:t>
      </w:r>
      <w:r w:rsidRPr="0075072F">
        <w:rPr>
          <w:rFonts w:eastAsia="Times New Roman" w:cs="Times New Roman"/>
          <w:i/>
          <w:color w:val="000000"/>
          <w:szCs w:val="20"/>
          <w:lang w:eastAsia="lt-LT" w:bidi="lt-LT"/>
        </w:rPr>
        <w:t>InvestEU Advisory Hub</w:t>
      </w:r>
      <w:r w:rsidRPr="0075072F">
        <w:rPr>
          <w:rFonts w:eastAsia="Times New Roman" w:cs="Times New Roman"/>
          <w:color w:val="000000"/>
          <w:szCs w:val="20"/>
          <w:lang w:eastAsia="lt-LT" w:bidi="lt-LT"/>
        </w:rPr>
        <w:t>), kuris visų pirma teiks su projektų plėtojimu susijusią techninę paramą;</w:t>
      </w:r>
    </w:p>
    <w:p w:rsidR="0075072F" w:rsidRPr="0075072F" w:rsidRDefault="0075072F" w:rsidP="0075072F">
      <w:pPr>
        <w:numPr>
          <w:ilvl w:val="0"/>
          <w:numId w:val="50"/>
        </w:numPr>
        <w:spacing w:after="0" w:line="240" w:lineRule="auto"/>
        <w:jc w:val="both"/>
        <w:rPr>
          <w:rFonts w:eastAsia="Times New Roman" w:cs="Times New Roman"/>
          <w:color w:val="000000"/>
          <w:szCs w:val="20"/>
          <w:lang w:eastAsia="lt-LT" w:bidi="lt-LT"/>
        </w:rPr>
      </w:pPr>
      <w:r w:rsidRPr="0075072F">
        <w:rPr>
          <w:rFonts w:eastAsia="Times New Roman" w:cs="Times New Roman"/>
          <w:color w:val="000000"/>
          <w:szCs w:val="20"/>
          <w:lang w:eastAsia="lt-LT" w:bidi="lt-LT"/>
        </w:rPr>
        <w:t xml:space="preserve">portalas „InvestEU“, kuris užtikrins lengvai prieinamą duomenų bazę projektams, kuriems ieškoma finansavimo, viešinti; </w:t>
      </w:r>
    </w:p>
    <w:p w:rsidR="0075072F" w:rsidRDefault="0075072F" w:rsidP="0075072F">
      <w:pPr>
        <w:numPr>
          <w:ilvl w:val="0"/>
          <w:numId w:val="50"/>
        </w:numPr>
        <w:spacing w:after="0" w:line="240" w:lineRule="auto"/>
        <w:jc w:val="both"/>
        <w:rPr>
          <w:rFonts w:eastAsia="Times New Roman" w:cs="Times New Roman"/>
          <w:color w:val="000000"/>
          <w:szCs w:val="20"/>
          <w:lang w:eastAsia="lt-LT" w:bidi="lt-LT"/>
        </w:rPr>
      </w:pPr>
      <w:r w:rsidRPr="0075072F">
        <w:rPr>
          <w:rFonts w:eastAsia="Times New Roman" w:cs="Times New Roman"/>
          <w:color w:val="000000"/>
          <w:szCs w:val="20"/>
          <w:lang w:eastAsia="lt-LT" w:bidi="lt-LT"/>
        </w:rPr>
        <w:t xml:space="preserve">rinkos siūlomos mišraus finansavimo operacijos (angl. </w:t>
      </w:r>
      <w:r w:rsidRPr="0075072F">
        <w:rPr>
          <w:rFonts w:eastAsia="Times New Roman" w:cs="Times New Roman"/>
          <w:i/>
          <w:color w:val="000000"/>
          <w:szCs w:val="20"/>
          <w:lang w:eastAsia="lt-LT" w:bidi="lt-LT"/>
        </w:rPr>
        <w:t>blending operations</w:t>
      </w:r>
      <w:r w:rsidRPr="0075072F">
        <w:rPr>
          <w:rFonts w:eastAsia="Times New Roman" w:cs="Times New Roman"/>
          <w:color w:val="000000"/>
          <w:szCs w:val="20"/>
          <w:lang w:eastAsia="lt-LT" w:bidi="lt-LT"/>
        </w:rPr>
        <w:t>), kurios su dotacijų finansavimu užtikrins papildomumą kitoms išlaidų programoms, ypač rizikingiems inovacijų srities projektams, siekiant suteikti geresnes galimybes įmonėms gauti finansavimą visais plėtros etapais.</w:t>
      </w:r>
    </w:p>
    <w:p w:rsidR="000A17B8" w:rsidRDefault="000A17B8" w:rsidP="00AB5028">
      <w:pPr>
        <w:spacing w:after="0" w:line="240" w:lineRule="auto"/>
        <w:jc w:val="both"/>
        <w:rPr>
          <w:rFonts w:eastAsia="Times New Roman" w:cs="Times New Roman"/>
          <w:color w:val="000000"/>
          <w:szCs w:val="20"/>
          <w:lang w:eastAsia="lt-LT" w:bidi="lt-LT"/>
        </w:rPr>
      </w:pPr>
    </w:p>
    <w:p w:rsidR="000A17B8" w:rsidRPr="00AB5028" w:rsidRDefault="000A17B8" w:rsidP="00AB5028">
      <w:pPr>
        <w:tabs>
          <w:tab w:val="left" w:pos="0"/>
        </w:tabs>
        <w:spacing w:after="0" w:line="240" w:lineRule="auto"/>
        <w:jc w:val="both"/>
        <w:rPr>
          <w:rFonts w:eastAsia="Times New Roman" w:cs="Times New Roman"/>
          <w:b/>
          <w:color w:val="000000"/>
          <w:szCs w:val="20"/>
          <w:lang w:eastAsia="lt-LT" w:bidi="lt-LT"/>
        </w:rPr>
      </w:pPr>
      <w:r w:rsidRPr="00AB5028">
        <w:rPr>
          <w:rFonts w:eastAsia="Times New Roman" w:cs="Times New Roman"/>
          <w:b/>
          <w:color w:val="000000"/>
          <w:szCs w:val="20"/>
          <w:lang w:eastAsia="lt-LT" w:bidi="lt-LT"/>
        </w:rPr>
        <w:t xml:space="preserve">Mokumo </w:t>
      </w:r>
      <w:r w:rsidR="00AF01BF">
        <w:rPr>
          <w:rFonts w:eastAsia="Times New Roman" w:cs="Times New Roman"/>
          <w:b/>
          <w:color w:val="000000"/>
          <w:szCs w:val="20"/>
          <w:lang w:eastAsia="lt-LT" w:bidi="lt-LT"/>
        </w:rPr>
        <w:t xml:space="preserve">paramos </w:t>
      </w:r>
      <w:r w:rsidRPr="00AB5028">
        <w:rPr>
          <w:rFonts w:eastAsia="Times New Roman" w:cs="Times New Roman"/>
          <w:b/>
          <w:color w:val="000000"/>
          <w:szCs w:val="20"/>
          <w:lang w:eastAsia="lt-LT" w:bidi="lt-LT"/>
        </w:rPr>
        <w:t>instrumentas (Solvency Support Instrument)</w:t>
      </w:r>
    </w:p>
    <w:p w:rsidR="000A17B8" w:rsidRPr="000A17B8" w:rsidRDefault="000A17B8" w:rsidP="000A17B8">
      <w:pPr>
        <w:spacing w:after="0" w:line="240" w:lineRule="auto"/>
        <w:jc w:val="both"/>
        <w:rPr>
          <w:rFonts w:eastAsia="Times New Roman" w:cs="Times New Roman"/>
          <w:color w:val="000000"/>
          <w:szCs w:val="20"/>
          <w:lang w:eastAsia="lt-LT" w:bidi="lt-LT"/>
        </w:rPr>
      </w:pPr>
      <w:r w:rsidRPr="000A17B8">
        <w:rPr>
          <w:rFonts w:eastAsia="Times New Roman" w:cs="Times New Roman"/>
          <w:color w:val="000000"/>
          <w:szCs w:val="20"/>
          <w:lang w:eastAsia="lt-LT" w:bidi="lt-LT"/>
        </w:rPr>
        <w:t xml:space="preserve">2020 m. birželio 3 d. Europos Komisija (EK) pateikė pasiūlymą dėl Mokumo paramos instrumento (angl. </w:t>
      </w:r>
      <w:r w:rsidRPr="000A17B8">
        <w:rPr>
          <w:rFonts w:eastAsia="Times New Roman" w:cs="Times New Roman"/>
          <w:i/>
          <w:color w:val="000000"/>
          <w:szCs w:val="20"/>
          <w:lang w:eastAsia="lt-LT" w:bidi="lt-LT"/>
        </w:rPr>
        <w:t>Solvency Support Instrument</w:t>
      </w:r>
      <w:r w:rsidRPr="000A17B8">
        <w:rPr>
          <w:rFonts w:eastAsia="Times New Roman" w:cs="Times New Roman"/>
          <w:color w:val="000000"/>
          <w:szCs w:val="20"/>
          <w:lang w:eastAsia="lt-LT" w:bidi="lt-LT"/>
        </w:rPr>
        <w:t xml:space="preserve">) sukūrimo. Naujasis instrumentas padės mobilizuoti privačius išteklius ir skirti Europos įmonėms, kurios kitu atveju susidurtų mokumo problemomis, skubią paramą. Tam būtų skirta 5 mlrd. Eur dabartinės finansinės programos ir 26 mlrd. Eur Europos gaivinimo instrumento (,,Kitos kartos ES“) lėšų. Bendras ES garantijos dydis – 75 mlrd. Eur, numatoma mobilizuoti – 300 mlrd. Eur. </w:t>
      </w:r>
    </w:p>
    <w:p w:rsidR="000A17B8" w:rsidRPr="000A17B8" w:rsidRDefault="000A17B8" w:rsidP="000A17B8">
      <w:pPr>
        <w:spacing w:after="0" w:line="240" w:lineRule="auto"/>
        <w:jc w:val="both"/>
        <w:rPr>
          <w:rFonts w:eastAsia="Times New Roman" w:cs="Times New Roman"/>
          <w:color w:val="000000"/>
          <w:szCs w:val="20"/>
          <w:lang w:eastAsia="lt-LT" w:bidi="lt-LT"/>
        </w:rPr>
      </w:pPr>
      <w:r w:rsidRPr="000A17B8">
        <w:rPr>
          <w:rFonts w:eastAsia="Times New Roman" w:cs="Times New Roman"/>
          <w:color w:val="000000"/>
          <w:szCs w:val="20"/>
          <w:lang w:eastAsia="lt-LT" w:bidi="lt-LT"/>
        </w:rPr>
        <w:t>Atskira 100 mln. eurų suma yra numatyta išlaidoms, konsultavimo paslaugoms ir techninei pagalbai, susijusiai su fondų, specialiosios paskirties įmonių, investavimo platformų ir kitų priemonių įkūrimu ir valdymu, inicijuotu Mokumo paramos instrumento rėmimo tikslais. Taip bus remiama žalioji ir skaitmeninė įmonių, finansuojamų pagal Mokumo paramos instrumentą, pertvarka.</w:t>
      </w:r>
    </w:p>
    <w:p w:rsidR="000A17B8" w:rsidRDefault="000A17B8" w:rsidP="000A17B8">
      <w:pPr>
        <w:spacing w:after="0" w:line="240" w:lineRule="auto"/>
        <w:jc w:val="both"/>
        <w:rPr>
          <w:rFonts w:eastAsia="Times New Roman" w:cs="Times New Roman"/>
          <w:color w:val="000000"/>
          <w:szCs w:val="20"/>
          <w:lang w:eastAsia="lt-LT" w:bidi="lt-LT"/>
        </w:rPr>
      </w:pPr>
      <w:r w:rsidRPr="000A17B8">
        <w:rPr>
          <w:rFonts w:eastAsia="Times New Roman" w:cs="Times New Roman"/>
          <w:color w:val="000000"/>
          <w:szCs w:val="20"/>
          <w:lang w:eastAsia="lt-LT" w:bidi="lt-LT"/>
        </w:rPr>
        <w:t xml:space="preserve">Mokumo paramos instrumentas bus atviras visoms valstybėms narėms (VN) ir visiems sektoriams, kuriems taikomas Europos strateginių investicijų fondo (EFSI) reglamentas, daugiausia dėmesio skiriant toms VN, kurių ekonomiką labiausiai paveikė COVID-19 pandemija ir (arba) kuriose valstybės mokumo </w:t>
      </w:r>
      <w:r w:rsidRPr="000A17B8">
        <w:rPr>
          <w:rFonts w:eastAsia="Times New Roman" w:cs="Times New Roman"/>
          <w:color w:val="000000"/>
          <w:szCs w:val="20"/>
          <w:lang w:eastAsia="lt-LT" w:bidi="lt-LT"/>
        </w:rPr>
        <w:lastRenderedPageBreak/>
        <w:t xml:space="preserve">paramos priemonės yra ribotos. Instrumento investavimo laikotarpis truktų iki 2024 m. pabaigos (operacijų pasirašymas numatomas iki 2026 m. pabaigos). </w:t>
      </w:r>
    </w:p>
    <w:p w:rsidR="000A17B8" w:rsidRPr="000A17B8" w:rsidRDefault="000A17B8" w:rsidP="000A17B8">
      <w:pPr>
        <w:spacing w:after="0" w:line="240" w:lineRule="auto"/>
        <w:jc w:val="both"/>
        <w:rPr>
          <w:rFonts w:eastAsia="Times New Roman" w:cs="Times New Roman"/>
          <w:color w:val="000000"/>
          <w:szCs w:val="20"/>
          <w:lang w:eastAsia="lt-LT" w:bidi="lt-LT"/>
        </w:rPr>
      </w:pPr>
      <w:r w:rsidRPr="000A17B8">
        <w:rPr>
          <w:rFonts w:eastAsia="Times New Roman" w:cs="Times New Roman"/>
          <w:color w:val="000000"/>
          <w:szCs w:val="20"/>
          <w:lang w:eastAsia="lt-LT" w:bidi="lt-LT"/>
        </w:rPr>
        <w:t>Instrumento tikslas yra padėti atkurti įmonių gyvybingumą ir išlaisvinti jų augimo potencialą, kartu prisidedant prie Europos Sąjungos (ES) prioritetų, tokių kaip žaliasis ir skaitmeninis perėjimas ar parama tarpvalstybinei veiklai ES, taip pat ES socialinės dimensijos ir konvergencijos stiprinimas.</w:t>
      </w:r>
    </w:p>
    <w:p w:rsidR="0075072F" w:rsidRPr="000A3B2A" w:rsidRDefault="0075072F" w:rsidP="000A3B2A">
      <w:pPr>
        <w:spacing w:line="264" w:lineRule="auto"/>
        <w:ind w:left="786"/>
        <w:contextualSpacing/>
        <w:rPr>
          <w:rFonts w:cs="Times New Roman"/>
          <w:szCs w:val="24"/>
        </w:rPr>
      </w:pPr>
    </w:p>
    <w:p w:rsidR="000A3B2A" w:rsidRPr="000A3B2A" w:rsidRDefault="000A3B2A" w:rsidP="000A3B2A">
      <w:pPr>
        <w:contextualSpacing/>
        <w:jc w:val="both"/>
        <w:rPr>
          <w:rFonts w:cs="Times New Roman"/>
          <w:szCs w:val="24"/>
        </w:rPr>
      </w:pPr>
    </w:p>
    <w:p w:rsidR="0075072F" w:rsidRDefault="00AD6AE8" w:rsidP="0075072F">
      <w:pPr>
        <w:spacing w:after="0" w:line="240" w:lineRule="auto"/>
        <w:contextualSpacing/>
        <w:jc w:val="both"/>
        <w:rPr>
          <w:rFonts w:eastAsia="Times New Roman" w:cs="Times New Roman"/>
          <w:color w:val="000000"/>
          <w:szCs w:val="24"/>
          <w:lang w:eastAsia="lt-LT"/>
        </w:rPr>
      </w:pPr>
      <w:r w:rsidRPr="000A3B2A">
        <w:rPr>
          <w:rFonts w:eastAsia="Times New Roman" w:cs="Times New Roman"/>
          <w:b/>
          <w:color w:val="000000"/>
          <w:szCs w:val="24"/>
          <w:u w:val="single"/>
          <w:lang w:eastAsia="lt-LT"/>
        </w:rPr>
        <w:t>Lietuvos pozicija.</w:t>
      </w:r>
      <w:r w:rsidRPr="000A3B2A">
        <w:rPr>
          <w:rFonts w:eastAsia="Times New Roman" w:cs="Times New Roman"/>
          <w:color w:val="000000"/>
          <w:szCs w:val="24"/>
          <w:lang w:eastAsia="lt-LT"/>
        </w:rPr>
        <w:t xml:space="preserve"> </w:t>
      </w:r>
      <w:r w:rsidR="0075072F">
        <w:rPr>
          <w:rFonts w:eastAsia="Times New Roman" w:cs="Times New Roman"/>
          <w:color w:val="000000"/>
          <w:szCs w:val="24"/>
          <w:lang w:eastAsia="lt-LT"/>
        </w:rPr>
        <w:t>Manome, kad SURE ir EIB garantijų fondas turėtų pradėti veikti kuo greičiau, kad suinteresuotos VN galėtų pasinaudoti jų parama.</w:t>
      </w:r>
    </w:p>
    <w:p w:rsidR="00AF01BF" w:rsidRPr="00AF01BF" w:rsidRDefault="00AF01BF" w:rsidP="00AF01BF">
      <w:pPr>
        <w:spacing w:after="0" w:line="240" w:lineRule="auto"/>
        <w:contextualSpacing/>
        <w:jc w:val="both"/>
        <w:rPr>
          <w:rFonts w:eastAsia="Times New Roman" w:cs="Times New Roman"/>
          <w:color w:val="000000"/>
          <w:szCs w:val="24"/>
          <w:lang w:eastAsia="lt-LT"/>
        </w:rPr>
      </w:pPr>
      <w:r w:rsidRPr="00AF01BF">
        <w:rPr>
          <w:rFonts w:eastAsia="Times New Roman" w:cs="Times New Roman"/>
          <w:color w:val="000000"/>
          <w:szCs w:val="24"/>
          <w:lang w:eastAsia="lt-LT"/>
        </w:rPr>
        <w:t>Lietuva pritaria naujos Ekonomikos gaivinimo ir atsparumo didinimo priemonės sukūrimui, kuri paspartins ES valstybių atsigavimą. Teigiamai vertiname tai, kad priemone galės pasinaudoti visos VN. Ekonomikos gaivinimo ir atsparumo didinimo priemonė turi prisidėti prie tolesnio struktūrinių reformų įgyvendinimo bei žaliosios ir skaitmeninės pertvarkos, todėl sąsaja su Europos Semestru yra sveikintina. Vis dėlto, turime abejonių dėl pasiūlytų paramos skirstymo kriterijų. Manome, kad didesnis svoris turi būti suteiktas BVP gyventojui rodikliui, taip pat manome, kad nedarbo rodiklis galėtų būti pakeistas kitu, geriau socialinę padėtį VN perteikiančiu, rodikliu (</w:t>
      </w:r>
      <w:r>
        <w:rPr>
          <w:rFonts w:eastAsia="Times New Roman" w:cs="Times New Roman"/>
          <w:color w:val="000000"/>
          <w:szCs w:val="24"/>
          <w:lang w:eastAsia="lt-LT"/>
        </w:rPr>
        <w:t>pvz., skurdo rizikos rodiklis).</w:t>
      </w:r>
    </w:p>
    <w:p w:rsidR="00AF01BF" w:rsidRPr="00AF01BF" w:rsidRDefault="00AF01BF" w:rsidP="00AF01BF">
      <w:pPr>
        <w:spacing w:after="0" w:line="240" w:lineRule="auto"/>
        <w:contextualSpacing/>
        <w:jc w:val="both"/>
        <w:rPr>
          <w:rFonts w:eastAsia="Times New Roman" w:cs="Times New Roman"/>
          <w:color w:val="000000"/>
          <w:szCs w:val="24"/>
          <w:lang w:eastAsia="lt-LT"/>
        </w:rPr>
      </w:pPr>
      <w:r w:rsidRPr="00AF01BF">
        <w:rPr>
          <w:rFonts w:eastAsia="Times New Roman" w:cs="Times New Roman"/>
          <w:color w:val="000000"/>
          <w:szCs w:val="24"/>
          <w:lang w:eastAsia="lt-LT"/>
        </w:rPr>
        <w:t>Atsižvelgdami į tai, kad reformos yra ilgalaikiai projektai, siūlome atsisakyti privalomo 60 procentų dotacijų paskirstymo (committ</w:t>
      </w:r>
      <w:r>
        <w:rPr>
          <w:rFonts w:eastAsia="Times New Roman" w:cs="Times New Roman"/>
          <w:color w:val="000000"/>
          <w:szCs w:val="24"/>
          <w:lang w:eastAsia="lt-LT"/>
        </w:rPr>
        <w:t xml:space="preserve">ed) iki 2022 m. gruodžio 31 d. </w:t>
      </w:r>
    </w:p>
    <w:p w:rsidR="00AF01BF" w:rsidRDefault="00AF01BF" w:rsidP="00AF01BF">
      <w:pPr>
        <w:spacing w:after="0" w:line="240" w:lineRule="auto"/>
        <w:contextualSpacing/>
        <w:jc w:val="both"/>
        <w:rPr>
          <w:rFonts w:eastAsia="Times New Roman" w:cs="Times New Roman"/>
          <w:color w:val="000000"/>
          <w:szCs w:val="24"/>
          <w:lang w:eastAsia="lt-LT"/>
        </w:rPr>
      </w:pPr>
      <w:r w:rsidRPr="00AF01BF">
        <w:rPr>
          <w:rFonts w:eastAsia="Times New Roman" w:cs="Times New Roman"/>
          <w:color w:val="000000"/>
          <w:szCs w:val="24"/>
          <w:lang w:eastAsia="lt-LT"/>
        </w:rPr>
        <w:t>Taip pat manome, kad atsižvelgiant į krizines sąlygas, reikia siekti greito sutarimo dėl priemonės veikimo.</w:t>
      </w:r>
    </w:p>
    <w:p w:rsidR="0075072F" w:rsidRPr="0075072F" w:rsidRDefault="0075072F" w:rsidP="0075072F">
      <w:pPr>
        <w:spacing w:after="0" w:line="240" w:lineRule="auto"/>
        <w:jc w:val="both"/>
        <w:rPr>
          <w:rFonts w:eastAsia="Times New Roman" w:cs="Times New Roman"/>
          <w:color w:val="000000"/>
          <w:szCs w:val="20"/>
          <w:lang w:eastAsia="lt-LT" w:bidi="lt-LT"/>
        </w:rPr>
      </w:pPr>
      <w:r w:rsidRPr="0075072F">
        <w:rPr>
          <w:rFonts w:eastAsia="Times New Roman" w:cs="Times New Roman"/>
          <w:color w:val="000000"/>
          <w:szCs w:val="20"/>
          <w:lang w:eastAsia="lt-LT" w:bidi="lt-LT"/>
        </w:rPr>
        <w:t xml:space="preserve">Teigiamai vertiname </w:t>
      </w:r>
      <w:r w:rsidR="00AF01BF">
        <w:rPr>
          <w:rFonts w:eastAsia="Times New Roman" w:cs="Times New Roman"/>
          <w:color w:val="000000"/>
          <w:szCs w:val="20"/>
          <w:lang w:eastAsia="lt-LT" w:bidi="lt-LT"/>
        </w:rPr>
        <w:t xml:space="preserve">InvestEU iniciatyvą, kuria siekiama </w:t>
      </w:r>
      <w:r w:rsidRPr="0075072F">
        <w:rPr>
          <w:rFonts w:eastAsia="Times New Roman" w:cs="Times New Roman"/>
          <w:color w:val="000000"/>
          <w:szCs w:val="20"/>
          <w:lang w:eastAsia="lt-LT" w:bidi="lt-LT"/>
        </w:rPr>
        <w:t xml:space="preserve">mobilizuoti viešųjų ir privačių investicijų pritraukimą taip skatinant Europos ekonomikos atsigavimą po COVID-19 pandemijos. Sveikiname EK siekį konsoliduoti ir efektyvinti finansinius instrumentus. </w:t>
      </w:r>
    </w:p>
    <w:p w:rsidR="0075072F" w:rsidRPr="0075072F" w:rsidRDefault="0075072F" w:rsidP="0075072F">
      <w:pPr>
        <w:spacing w:after="0" w:line="240" w:lineRule="auto"/>
        <w:jc w:val="both"/>
        <w:rPr>
          <w:rFonts w:eastAsia="Times New Roman" w:cs="Times New Roman"/>
          <w:color w:val="000000"/>
          <w:szCs w:val="20"/>
          <w:lang w:eastAsia="lt-LT" w:bidi="lt-LT"/>
        </w:rPr>
      </w:pPr>
      <w:r w:rsidRPr="0075072F">
        <w:rPr>
          <w:rFonts w:eastAsia="Times New Roman" w:cs="Times New Roman"/>
          <w:color w:val="000000"/>
          <w:szCs w:val="20"/>
          <w:lang w:eastAsia="lt-LT" w:bidi="lt-LT"/>
        </w:rPr>
        <w:t xml:space="preserve">Manome, kad svarbu siekti užtikrinti geografinį </w:t>
      </w:r>
      <w:r w:rsidR="00AF01BF">
        <w:rPr>
          <w:rFonts w:eastAsia="Times New Roman" w:cs="Times New Roman"/>
          <w:color w:val="000000"/>
          <w:szCs w:val="20"/>
          <w:lang w:eastAsia="lt-LT" w:bidi="lt-LT"/>
        </w:rPr>
        <w:t xml:space="preserve">InvestEU programos </w:t>
      </w:r>
      <w:r w:rsidRPr="0075072F">
        <w:rPr>
          <w:rFonts w:eastAsia="Times New Roman" w:cs="Times New Roman"/>
          <w:color w:val="000000"/>
          <w:szCs w:val="20"/>
          <w:lang w:eastAsia="lt-LT" w:bidi="lt-LT"/>
        </w:rPr>
        <w:t>balansą t. y. vengti investicijų koncentracijos keliose šalyse ar regionuose.</w:t>
      </w:r>
    </w:p>
    <w:p w:rsidR="0075072F" w:rsidRPr="0075072F" w:rsidRDefault="0075072F" w:rsidP="0075072F">
      <w:pPr>
        <w:spacing w:after="0" w:line="240" w:lineRule="auto"/>
        <w:jc w:val="both"/>
        <w:rPr>
          <w:rFonts w:eastAsia="Times New Roman" w:cs="Times New Roman"/>
          <w:color w:val="000000"/>
          <w:szCs w:val="20"/>
          <w:lang w:eastAsia="lt-LT" w:bidi="lt-LT"/>
        </w:rPr>
      </w:pPr>
      <w:r w:rsidRPr="0075072F">
        <w:rPr>
          <w:rFonts w:eastAsia="Times New Roman" w:cs="Times New Roman"/>
          <w:color w:val="000000"/>
          <w:szCs w:val="20"/>
          <w:lang w:eastAsia="lt-LT" w:bidi="lt-LT"/>
        </w:rPr>
        <w:t xml:space="preserve">Pasisakome, kad kuo didesnė „InvestEU“ programos finansavimo dalis būtų skirta/ prieinama moksliniams tyrimams strategiškai svarbiose srityse ir MVĮ, kurios labiausia nukentėjo nuo COVID-19 pandemijos sukeltų pasekmių. Atitinkamai siūlytume remtis gerąja EIB Europos garantijų fondo (angl. </w:t>
      </w:r>
      <w:r w:rsidRPr="0075072F">
        <w:rPr>
          <w:rFonts w:eastAsia="Times New Roman" w:cs="Times New Roman"/>
          <w:i/>
          <w:color w:val="000000"/>
          <w:szCs w:val="20"/>
          <w:lang w:eastAsia="lt-LT" w:bidi="lt-LT"/>
        </w:rPr>
        <w:t>Pan-European Guarantee Fund</w:t>
      </w:r>
      <w:r w:rsidRPr="0075072F">
        <w:rPr>
          <w:rFonts w:eastAsia="Times New Roman" w:cs="Times New Roman"/>
          <w:color w:val="000000"/>
          <w:szCs w:val="20"/>
          <w:lang w:eastAsia="lt-LT" w:bidi="lt-LT"/>
        </w:rPr>
        <w:t xml:space="preserve">) patirtimi šioje srityje. </w:t>
      </w:r>
    </w:p>
    <w:p w:rsidR="0075072F" w:rsidRDefault="0075072F" w:rsidP="0075072F">
      <w:pPr>
        <w:spacing w:after="0" w:line="240" w:lineRule="auto"/>
        <w:jc w:val="both"/>
        <w:rPr>
          <w:rFonts w:eastAsia="Times New Roman" w:cs="Times New Roman"/>
          <w:color w:val="000000"/>
          <w:szCs w:val="20"/>
          <w:lang w:eastAsia="lt-LT" w:bidi="lt-LT"/>
        </w:rPr>
      </w:pPr>
      <w:r w:rsidRPr="0075072F">
        <w:rPr>
          <w:rFonts w:eastAsia="Times New Roman" w:cs="Times New Roman"/>
          <w:color w:val="000000"/>
          <w:szCs w:val="20"/>
          <w:lang w:eastAsia="lt-LT" w:bidi="lt-LT"/>
        </w:rPr>
        <w:t xml:space="preserve">Teigiamai vertiname, kad „InvestEU“ programos finansavimo sritys („langai“) yra plačios, ypatingai naudinga tai, jog yra numatyta galimybė aktyvių inovacijų ekosistemų dalyvių (pvz. gyvybės mokslų srityje) ir Bendriems Europos interesams svarbiems projektams (angl. </w:t>
      </w:r>
      <w:r w:rsidRPr="0075072F">
        <w:rPr>
          <w:rFonts w:eastAsia="Times New Roman" w:cs="Times New Roman"/>
          <w:i/>
          <w:color w:val="000000"/>
          <w:szCs w:val="20"/>
          <w:lang w:eastAsia="lt-LT" w:bidi="lt-LT"/>
        </w:rPr>
        <w:t>Important Projects of Common European Interest</w:t>
      </w:r>
      <w:r w:rsidRPr="0075072F">
        <w:rPr>
          <w:rFonts w:eastAsia="Times New Roman" w:cs="Times New Roman"/>
          <w:color w:val="000000"/>
          <w:szCs w:val="20"/>
          <w:lang w:eastAsia="lt-LT" w:bidi="lt-LT"/>
        </w:rPr>
        <w:t xml:space="preserve">, </w:t>
      </w:r>
      <w:r w:rsidRPr="0075072F">
        <w:rPr>
          <w:rFonts w:eastAsia="Times New Roman" w:cs="Times New Roman"/>
          <w:i/>
          <w:color w:val="000000"/>
          <w:szCs w:val="20"/>
          <w:lang w:eastAsia="lt-LT" w:bidi="lt-LT"/>
        </w:rPr>
        <w:t>IPCEI</w:t>
      </w:r>
      <w:r w:rsidRPr="0075072F">
        <w:rPr>
          <w:rFonts w:eastAsia="Times New Roman" w:cs="Times New Roman"/>
          <w:color w:val="000000"/>
          <w:szCs w:val="20"/>
          <w:lang w:eastAsia="lt-LT" w:bidi="lt-LT"/>
        </w:rPr>
        <w:t xml:space="preserve">) remti. </w:t>
      </w:r>
    </w:p>
    <w:p w:rsidR="000A17B8" w:rsidRPr="000A17B8" w:rsidRDefault="000A17B8" w:rsidP="000A17B8">
      <w:pPr>
        <w:spacing w:after="0" w:line="240" w:lineRule="auto"/>
        <w:jc w:val="both"/>
        <w:rPr>
          <w:rFonts w:eastAsia="Times New Roman" w:cs="Times New Roman"/>
          <w:color w:val="000000"/>
          <w:szCs w:val="20"/>
          <w:lang w:eastAsia="lt-LT" w:bidi="lt-LT"/>
        </w:rPr>
      </w:pPr>
      <w:r w:rsidRPr="000A17B8">
        <w:rPr>
          <w:rFonts w:eastAsia="Times New Roman" w:cs="Times New Roman"/>
          <w:color w:val="000000"/>
          <w:szCs w:val="20"/>
          <w:lang w:eastAsia="lt-LT" w:bidi="lt-LT"/>
        </w:rPr>
        <w:t>Teigiamai vertiname EK pateiktą pasiūlymą dėl Mokumo paramos instrumento sukūrimo ir siekį skubiai sutelkti privačius išteklius, kad jie kiek įmanoma labiau palaikytų</w:t>
      </w:r>
      <w:r>
        <w:rPr>
          <w:rFonts w:eastAsia="Times New Roman" w:cs="Times New Roman"/>
          <w:color w:val="000000"/>
          <w:szCs w:val="20"/>
          <w:lang w:eastAsia="lt-LT" w:bidi="lt-LT"/>
        </w:rPr>
        <w:t xml:space="preserve"> perspektyvių ES įmonių mokumą.</w:t>
      </w:r>
    </w:p>
    <w:p w:rsidR="000A17B8" w:rsidRPr="000A17B8" w:rsidRDefault="000A17B8" w:rsidP="000A17B8">
      <w:pPr>
        <w:spacing w:after="0" w:line="240" w:lineRule="auto"/>
        <w:jc w:val="both"/>
        <w:rPr>
          <w:rFonts w:eastAsia="Times New Roman" w:cs="Times New Roman"/>
          <w:color w:val="000000"/>
          <w:szCs w:val="20"/>
          <w:lang w:eastAsia="lt-LT" w:bidi="lt-LT"/>
        </w:rPr>
      </w:pPr>
      <w:r w:rsidRPr="000A17B8">
        <w:rPr>
          <w:rFonts w:eastAsia="Times New Roman" w:cs="Times New Roman"/>
          <w:color w:val="000000"/>
          <w:szCs w:val="20"/>
          <w:lang w:eastAsia="lt-LT" w:bidi="lt-LT"/>
        </w:rPr>
        <w:t>Svarbu, kad būtų užtikrintas geografinis balansas tarp visų VN ir kad šiuo instrumentu kuo daugiau galėtų pasinaudoti tos šalys, kurios neturi tiek erdvės nacionaliniuose biudžetu</w:t>
      </w:r>
      <w:r>
        <w:rPr>
          <w:rFonts w:eastAsia="Times New Roman" w:cs="Times New Roman"/>
          <w:color w:val="000000"/>
          <w:szCs w:val="20"/>
          <w:lang w:eastAsia="lt-LT" w:bidi="lt-LT"/>
        </w:rPr>
        <w:t>ose teikiant valstybės pagalbą.</w:t>
      </w:r>
    </w:p>
    <w:p w:rsidR="000A17B8" w:rsidRPr="000A17B8" w:rsidRDefault="000A17B8" w:rsidP="000A17B8">
      <w:pPr>
        <w:spacing w:after="0" w:line="240" w:lineRule="auto"/>
        <w:jc w:val="both"/>
        <w:rPr>
          <w:rFonts w:eastAsia="Times New Roman" w:cs="Times New Roman"/>
          <w:color w:val="000000"/>
          <w:szCs w:val="20"/>
          <w:lang w:eastAsia="lt-LT" w:bidi="lt-LT"/>
        </w:rPr>
      </w:pPr>
      <w:r w:rsidRPr="000A17B8">
        <w:rPr>
          <w:rFonts w:eastAsia="Times New Roman" w:cs="Times New Roman"/>
          <w:color w:val="000000"/>
          <w:szCs w:val="20"/>
          <w:lang w:eastAsia="lt-LT" w:bidi="lt-LT"/>
        </w:rPr>
        <w:t>Pabrėžtina, kad svarbu užtikrinti instrumento  pridėtinę vertę ir vengti dubliavimosi su kitais instrumentais pvz. „InvestEU“ programa</w:t>
      </w:r>
      <w:r>
        <w:rPr>
          <w:rFonts w:eastAsia="Times New Roman" w:cs="Times New Roman"/>
          <w:color w:val="000000"/>
          <w:szCs w:val="20"/>
          <w:lang w:eastAsia="lt-LT" w:bidi="lt-LT"/>
        </w:rPr>
        <w:t xml:space="preserve">, EIB Europos garantijų fondu. </w:t>
      </w:r>
    </w:p>
    <w:p w:rsidR="000A17B8" w:rsidRPr="0075072F" w:rsidRDefault="000A17B8" w:rsidP="000A17B8">
      <w:pPr>
        <w:spacing w:after="0" w:line="240" w:lineRule="auto"/>
        <w:jc w:val="both"/>
        <w:rPr>
          <w:rFonts w:eastAsia="Times New Roman" w:cs="Times New Roman"/>
          <w:color w:val="000000"/>
          <w:szCs w:val="20"/>
          <w:lang w:eastAsia="lt-LT" w:bidi="lt-LT"/>
        </w:rPr>
      </w:pPr>
      <w:r w:rsidRPr="000A17B8">
        <w:rPr>
          <w:rFonts w:eastAsia="Times New Roman" w:cs="Times New Roman"/>
          <w:color w:val="000000"/>
          <w:szCs w:val="20"/>
          <w:lang w:eastAsia="lt-LT" w:bidi="lt-LT"/>
        </w:rPr>
        <w:t>Kadangi Mokumo paramos instrumentas papildo paramą mažoms ir vidutinėms įmonėms (MVĮ), svarbu užtikrinti, kad instrumentu galėtų pasinaudoti kuo daugiau MVĮ, ypač startuolių.</w:t>
      </w:r>
    </w:p>
    <w:p w:rsidR="00705ACA" w:rsidRPr="000A3B2A" w:rsidRDefault="00705ACA" w:rsidP="000A17B8">
      <w:pPr>
        <w:spacing w:after="0" w:line="240" w:lineRule="auto"/>
        <w:contextualSpacing/>
        <w:jc w:val="both"/>
        <w:rPr>
          <w:rFonts w:eastAsia="Times New Roman" w:cs="Times New Roman"/>
          <w:color w:val="000000"/>
          <w:szCs w:val="24"/>
          <w:lang w:eastAsia="lt-LT"/>
        </w:rPr>
      </w:pPr>
    </w:p>
    <w:p w:rsidR="000A3B2A" w:rsidRPr="000A3B2A" w:rsidRDefault="000A3B2A" w:rsidP="000A3B2A">
      <w:pPr>
        <w:spacing w:after="0" w:line="240" w:lineRule="auto"/>
        <w:contextualSpacing/>
        <w:jc w:val="both"/>
        <w:rPr>
          <w:rFonts w:eastAsia="Times New Roman" w:cs="Times New Roman"/>
          <w:color w:val="000000"/>
          <w:szCs w:val="24"/>
          <w:lang w:eastAsia="lt-LT"/>
        </w:rPr>
      </w:pPr>
    </w:p>
    <w:p w:rsidR="000A3B2A" w:rsidRPr="000A3B2A" w:rsidRDefault="000A3B2A" w:rsidP="000A3B2A">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0A3B2A">
        <w:rPr>
          <w:rFonts w:eastAsia="Calibri" w:cs="Times New Roman"/>
          <w:b/>
          <w:szCs w:val="24"/>
        </w:rPr>
        <w:t>Europos Komisijos ir Europos centrinio banko konvergencijos ataskaitos</w:t>
      </w:r>
    </w:p>
    <w:p w:rsidR="000A3B2A" w:rsidRPr="000A3B2A" w:rsidRDefault="000A3B2A" w:rsidP="000A3B2A">
      <w:pPr>
        <w:spacing w:after="0" w:line="240" w:lineRule="auto"/>
        <w:jc w:val="both"/>
        <w:rPr>
          <w:rFonts w:eastAsia="Calibri" w:cs="Times New Roman"/>
          <w:szCs w:val="24"/>
        </w:rPr>
      </w:pPr>
    </w:p>
    <w:p w:rsidR="000A3B2A" w:rsidRPr="000A3B2A" w:rsidRDefault="000A3B2A" w:rsidP="000A3B2A">
      <w:pPr>
        <w:jc w:val="both"/>
        <w:rPr>
          <w:rFonts w:eastAsia="Times New Roman" w:cs="Times New Roman"/>
          <w:color w:val="000000"/>
          <w:szCs w:val="20"/>
          <w:lang w:eastAsia="lt-LT" w:bidi="lt-LT"/>
        </w:rPr>
      </w:pPr>
      <w:r w:rsidRPr="000A3B2A">
        <w:rPr>
          <w:rFonts w:eastAsia="Times New Roman" w:cs="Times New Roman"/>
          <w:b/>
          <w:szCs w:val="24"/>
          <w:u w:val="single"/>
          <w:lang w:eastAsia="fr-BE"/>
        </w:rPr>
        <w:t>Klausimo esmė.</w:t>
      </w:r>
      <w:r>
        <w:rPr>
          <w:rFonts w:eastAsia="Times New Roman" w:cs="Times New Roman"/>
          <w:b/>
          <w:szCs w:val="24"/>
          <w:u w:val="single"/>
          <w:lang w:eastAsia="fr-BE"/>
        </w:rPr>
        <w:t xml:space="preserve"> </w:t>
      </w:r>
      <w:r w:rsidRPr="000A3B2A">
        <w:rPr>
          <w:rFonts w:eastAsia="Times New Roman" w:cs="Times New Roman"/>
          <w:color w:val="000000"/>
          <w:szCs w:val="20"/>
          <w:lang w:eastAsia="lt-LT" w:bidi="lt-LT"/>
        </w:rPr>
        <w:t>Konvergencijos raportai analizuoja, ar VN atitinka būtinus kriterijus, siekiant įsivesti eurą. Sutartis dėl ES veikimo įpareigoja Komisiją ir ECB pateikti Tarybai šiuos raportus bent kas dvejus metus arba VN, kuri nori prisijungti prie euro zonos, prašymu. Raportuose analizuojama ar VN atitinka:</w:t>
      </w:r>
    </w:p>
    <w:p w:rsidR="000A3B2A" w:rsidRPr="000A3B2A" w:rsidRDefault="000A3B2A" w:rsidP="000A3B2A">
      <w:pPr>
        <w:numPr>
          <w:ilvl w:val="0"/>
          <w:numId w:val="47"/>
        </w:numPr>
        <w:spacing w:after="0" w:line="240" w:lineRule="auto"/>
        <w:rPr>
          <w:rFonts w:eastAsia="Times New Roman" w:cs="Times New Roman"/>
          <w:color w:val="000000"/>
          <w:szCs w:val="20"/>
          <w:lang w:eastAsia="lt-LT" w:bidi="lt-LT"/>
        </w:rPr>
      </w:pPr>
      <w:r w:rsidRPr="000A3B2A">
        <w:rPr>
          <w:rFonts w:eastAsia="Times New Roman" w:cs="Times New Roman"/>
          <w:color w:val="000000"/>
          <w:szCs w:val="20"/>
          <w:lang w:eastAsia="lt-LT" w:bidi="lt-LT"/>
        </w:rPr>
        <w:t>Konvergencijos kriterijus (kainų stabilumas, tvarūs viešieji finansai, valiutos kurso stabilumas</w:t>
      </w:r>
      <w:bookmarkStart w:id="0" w:name="_ftnref1"/>
      <w:r w:rsidR="00EC447A">
        <w:rPr>
          <w:rFonts w:eastAsia="Times New Roman" w:cs="Times New Roman"/>
          <w:color w:val="000000"/>
          <w:szCs w:val="20"/>
          <w:lang w:eastAsia="lt-LT" w:bidi="lt-LT"/>
        </w:rPr>
        <w:t xml:space="preserve"> (dalyvavimas ERM II)</w:t>
      </w:r>
      <w:bookmarkEnd w:id="0"/>
      <w:r w:rsidRPr="000A3B2A">
        <w:rPr>
          <w:rFonts w:eastAsia="Times New Roman" w:cs="Times New Roman"/>
          <w:color w:val="000000"/>
          <w:szCs w:val="20"/>
          <w:lang w:eastAsia="lt-LT" w:bidi="lt-LT"/>
        </w:rPr>
        <w:t>, ilgojo laikotarpio palūkanų normų konvergencija.)</w:t>
      </w:r>
    </w:p>
    <w:p w:rsidR="000A3B2A" w:rsidRPr="000A3B2A" w:rsidRDefault="000A3B2A" w:rsidP="000A3B2A">
      <w:pPr>
        <w:numPr>
          <w:ilvl w:val="0"/>
          <w:numId w:val="47"/>
        </w:numPr>
        <w:spacing w:after="0" w:line="240" w:lineRule="auto"/>
        <w:rPr>
          <w:rFonts w:eastAsia="Times New Roman" w:cs="Times New Roman"/>
          <w:color w:val="000000"/>
          <w:szCs w:val="20"/>
          <w:lang w:eastAsia="lt-LT" w:bidi="lt-LT"/>
        </w:rPr>
      </w:pPr>
      <w:r w:rsidRPr="000A3B2A">
        <w:rPr>
          <w:rFonts w:eastAsia="Times New Roman" w:cs="Times New Roman"/>
          <w:color w:val="000000"/>
          <w:szCs w:val="20"/>
          <w:lang w:eastAsia="lt-LT" w:bidi="lt-LT"/>
        </w:rPr>
        <w:t>Nacionalinės teisės atitikimas ES teisei dėl nacionalinio centrinio banko, ypač dėl jo nepriklausomybės, tikslų ir integracijos į Europos centrinių bankų sistemą.</w:t>
      </w:r>
    </w:p>
    <w:p w:rsidR="000A3B2A" w:rsidRPr="000A3B2A" w:rsidRDefault="000A3B2A" w:rsidP="000A3B2A">
      <w:pPr>
        <w:spacing w:after="0" w:line="240" w:lineRule="auto"/>
        <w:jc w:val="both"/>
        <w:rPr>
          <w:rFonts w:eastAsia="Times New Roman" w:cs="Times New Roman"/>
          <w:color w:val="000000"/>
          <w:szCs w:val="20"/>
          <w:lang w:eastAsia="lt-LT" w:bidi="lt-LT"/>
        </w:rPr>
      </w:pPr>
      <w:r w:rsidRPr="000A3B2A">
        <w:rPr>
          <w:rFonts w:eastAsia="Times New Roman" w:cs="Times New Roman"/>
          <w:color w:val="000000"/>
          <w:szCs w:val="20"/>
          <w:lang w:eastAsia="lt-LT" w:bidi="lt-LT"/>
        </w:rPr>
        <w:lastRenderedPageBreak/>
        <w:t> </w:t>
      </w:r>
    </w:p>
    <w:p w:rsidR="000A3B2A" w:rsidRPr="000A3B2A" w:rsidRDefault="000A3B2A" w:rsidP="000A3B2A">
      <w:pPr>
        <w:spacing w:after="0" w:line="240" w:lineRule="auto"/>
        <w:jc w:val="both"/>
        <w:rPr>
          <w:rFonts w:eastAsia="Times New Roman" w:cs="Times New Roman"/>
          <w:color w:val="000000"/>
          <w:szCs w:val="20"/>
          <w:lang w:eastAsia="lt-LT" w:bidi="lt-LT"/>
        </w:rPr>
      </w:pPr>
      <w:r w:rsidRPr="000A3B2A">
        <w:rPr>
          <w:rFonts w:eastAsia="Times New Roman" w:cs="Times New Roman"/>
          <w:b/>
          <w:color w:val="000000"/>
          <w:szCs w:val="20"/>
          <w:lang w:eastAsia="lt-LT" w:bidi="lt-LT"/>
        </w:rPr>
        <w:t>Bulgarija</w:t>
      </w:r>
      <w:r w:rsidRPr="000A3B2A">
        <w:rPr>
          <w:rFonts w:eastAsia="Times New Roman" w:cs="Times New Roman"/>
          <w:color w:val="000000"/>
          <w:szCs w:val="20"/>
          <w:lang w:eastAsia="lt-LT" w:bidi="lt-LT"/>
        </w:rPr>
        <w:t xml:space="preserve"> Komisijos nuomone </w:t>
      </w:r>
      <w:r w:rsidRPr="000A3B2A">
        <w:rPr>
          <w:rFonts w:eastAsia="Times New Roman" w:cs="Times New Roman"/>
          <w:b/>
          <w:color w:val="000000"/>
          <w:szCs w:val="20"/>
          <w:lang w:eastAsia="lt-LT" w:bidi="lt-LT"/>
        </w:rPr>
        <w:t>neatitinka kriterijų,</w:t>
      </w:r>
      <w:r w:rsidRPr="000A3B2A">
        <w:rPr>
          <w:rFonts w:eastAsia="Times New Roman" w:cs="Times New Roman"/>
          <w:color w:val="000000"/>
          <w:szCs w:val="20"/>
          <w:lang w:eastAsia="lt-LT" w:bidi="lt-LT"/>
        </w:rPr>
        <w:t xml:space="preserve"> reikalingų euro įvedimui, konkrečiai: nacionalinės teisės atitikimo, kainų stabilumo, dalyvavimo ERM II. BG valiuta dvejų metų laikotarpiu buvo visiškai stabili euro atžvilgiu. BG siekia dalyvavimo ERM II.</w:t>
      </w:r>
    </w:p>
    <w:p w:rsidR="000A3B2A" w:rsidRPr="000A3B2A" w:rsidRDefault="000A3B2A" w:rsidP="000A3B2A">
      <w:pPr>
        <w:spacing w:after="0" w:line="240" w:lineRule="auto"/>
        <w:jc w:val="both"/>
        <w:rPr>
          <w:rFonts w:eastAsia="Times New Roman" w:cs="Times New Roman"/>
          <w:color w:val="000000"/>
          <w:szCs w:val="20"/>
          <w:lang w:eastAsia="lt-LT" w:bidi="lt-LT"/>
        </w:rPr>
      </w:pPr>
      <w:r w:rsidRPr="000A3B2A">
        <w:rPr>
          <w:rFonts w:eastAsia="Times New Roman" w:cs="Times New Roman"/>
          <w:b/>
          <w:color w:val="000000"/>
          <w:szCs w:val="20"/>
          <w:lang w:eastAsia="lt-LT" w:bidi="lt-LT"/>
        </w:rPr>
        <w:t>Čekija</w:t>
      </w:r>
      <w:r w:rsidRPr="000A3B2A">
        <w:rPr>
          <w:rFonts w:eastAsia="Times New Roman" w:cs="Times New Roman"/>
          <w:color w:val="000000"/>
          <w:szCs w:val="20"/>
          <w:lang w:eastAsia="lt-LT" w:bidi="lt-LT"/>
        </w:rPr>
        <w:t xml:space="preserve"> Komisijos nuomone </w:t>
      </w:r>
      <w:r w:rsidRPr="000A3B2A">
        <w:rPr>
          <w:rFonts w:eastAsia="Times New Roman" w:cs="Times New Roman"/>
          <w:b/>
          <w:color w:val="000000"/>
          <w:szCs w:val="20"/>
          <w:lang w:eastAsia="lt-LT" w:bidi="lt-LT"/>
        </w:rPr>
        <w:t>neatitinka kriterijų,</w:t>
      </w:r>
      <w:r w:rsidRPr="000A3B2A">
        <w:rPr>
          <w:rFonts w:eastAsia="Times New Roman" w:cs="Times New Roman"/>
          <w:color w:val="000000"/>
          <w:szCs w:val="20"/>
          <w:lang w:eastAsia="lt-LT" w:bidi="lt-LT"/>
        </w:rPr>
        <w:t xml:space="preserve"> reikalingų euro įvedimui, konkrečiai: nacionalinės teisės atitikimo, kainų stabilumo, dalyvavimo ERM II.</w:t>
      </w:r>
    </w:p>
    <w:p w:rsidR="000A3B2A" w:rsidRPr="000A3B2A" w:rsidRDefault="000A3B2A" w:rsidP="000A3B2A">
      <w:pPr>
        <w:spacing w:after="0" w:line="240" w:lineRule="auto"/>
        <w:jc w:val="both"/>
        <w:rPr>
          <w:rFonts w:eastAsia="Times New Roman" w:cs="Times New Roman"/>
          <w:color w:val="000000"/>
          <w:szCs w:val="20"/>
          <w:lang w:eastAsia="lt-LT" w:bidi="lt-LT"/>
        </w:rPr>
      </w:pPr>
      <w:r w:rsidRPr="000A3B2A">
        <w:rPr>
          <w:rFonts w:eastAsia="Times New Roman" w:cs="Times New Roman"/>
          <w:b/>
          <w:color w:val="000000"/>
          <w:szCs w:val="20"/>
          <w:lang w:eastAsia="lt-LT" w:bidi="lt-LT"/>
        </w:rPr>
        <w:t>Kroatija</w:t>
      </w:r>
      <w:r w:rsidRPr="000A3B2A">
        <w:rPr>
          <w:rFonts w:eastAsia="Times New Roman" w:cs="Times New Roman"/>
          <w:color w:val="000000"/>
          <w:szCs w:val="20"/>
          <w:lang w:eastAsia="lt-LT" w:bidi="lt-LT"/>
        </w:rPr>
        <w:t xml:space="preserve"> Komisijos nuomone </w:t>
      </w:r>
      <w:r w:rsidRPr="000A3B2A">
        <w:rPr>
          <w:rFonts w:eastAsia="Times New Roman" w:cs="Times New Roman"/>
          <w:b/>
          <w:color w:val="000000"/>
          <w:szCs w:val="20"/>
          <w:lang w:eastAsia="lt-LT" w:bidi="lt-LT"/>
        </w:rPr>
        <w:t>neatitinka kriterijų,</w:t>
      </w:r>
      <w:r w:rsidRPr="000A3B2A">
        <w:rPr>
          <w:rFonts w:eastAsia="Times New Roman" w:cs="Times New Roman"/>
          <w:color w:val="000000"/>
          <w:szCs w:val="20"/>
          <w:lang w:eastAsia="lt-LT" w:bidi="lt-LT"/>
        </w:rPr>
        <w:t xml:space="preserve"> reikalingų euro įvedimui, konkrečiai: dalyvavimo ERM II. HR valiuta dvejų metų laikotarpiu buvo iš esmės stabili euro atžvilgiu. HR siekia dalyvavimo ERM II. </w:t>
      </w:r>
      <w:r w:rsidRPr="000A3B2A">
        <w:rPr>
          <w:rFonts w:eastAsia="Times New Roman" w:cs="Times New Roman"/>
          <w:b/>
          <w:color w:val="000000"/>
          <w:szCs w:val="20"/>
          <w:lang w:eastAsia="lt-LT" w:bidi="lt-LT"/>
        </w:rPr>
        <w:t>ECB nuomone HR neatitinka nacionalinės teisės atitikimo kriterijaus.</w:t>
      </w:r>
      <w:r w:rsidRPr="000A3B2A">
        <w:rPr>
          <w:rFonts w:eastAsia="Times New Roman" w:cs="Times New Roman"/>
          <w:color w:val="000000"/>
          <w:szCs w:val="20"/>
          <w:lang w:eastAsia="lt-LT" w:bidi="lt-LT"/>
        </w:rPr>
        <w:t> </w:t>
      </w:r>
    </w:p>
    <w:p w:rsidR="000A3B2A" w:rsidRPr="000A3B2A" w:rsidRDefault="000A3B2A" w:rsidP="000A3B2A">
      <w:pPr>
        <w:spacing w:after="0" w:line="240" w:lineRule="auto"/>
        <w:jc w:val="both"/>
        <w:rPr>
          <w:rFonts w:eastAsia="Times New Roman" w:cs="Times New Roman"/>
          <w:color w:val="000000"/>
          <w:szCs w:val="20"/>
          <w:lang w:eastAsia="lt-LT" w:bidi="lt-LT"/>
        </w:rPr>
      </w:pPr>
      <w:r w:rsidRPr="000A3B2A">
        <w:rPr>
          <w:rFonts w:eastAsia="Times New Roman" w:cs="Times New Roman"/>
          <w:b/>
          <w:color w:val="000000"/>
          <w:szCs w:val="20"/>
          <w:lang w:eastAsia="lt-LT" w:bidi="lt-LT"/>
        </w:rPr>
        <w:t>Vengrija</w:t>
      </w:r>
      <w:r w:rsidRPr="000A3B2A">
        <w:rPr>
          <w:rFonts w:eastAsia="Times New Roman" w:cs="Times New Roman"/>
          <w:color w:val="000000"/>
          <w:szCs w:val="20"/>
          <w:lang w:eastAsia="lt-LT" w:bidi="lt-LT"/>
        </w:rPr>
        <w:t xml:space="preserve"> Komisijos nuomone </w:t>
      </w:r>
      <w:r w:rsidRPr="000A3B2A">
        <w:rPr>
          <w:rFonts w:eastAsia="Times New Roman" w:cs="Times New Roman"/>
          <w:b/>
          <w:color w:val="000000"/>
          <w:szCs w:val="20"/>
          <w:lang w:eastAsia="lt-LT" w:bidi="lt-LT"/>
        </w:rPr>
        <w:t>neatitinka kriterijų,</w:t>
      </w:r>
      <w:r w:rsidRPr="000A3B2A">
        <w:rPr>
          <w:rFonts w:eastAsia="Times New Roman" w:cs="Times New Roman"/>
          <w:color w:val="000000"/>
          <w:szCs w:val="20"/>
          <w:lang w:eastAsia="lt-LT" w:bidi="lt-LT"/>
        </w:rPr>
        <w:t xml:space="preserve"> reikalingų euro įvedimui, konkrečiai: nacionalinės teisės atitikimo, kainų stabilumo, dalyvavimo ERM II.</w:t>
      </w:r>
    </w:p>
    <w:p w:rsidR="000A3B2A" w:rsidRPr="000A3B2A" w:rsidRDefault="000A3B2A" w:rsidP="000A3B2A">
      <w:pPr>
        <w:spacing w:after="0" w:line="240" w:lineRule="auto"/>
        <w:jc w:val="both"/>
        <w:rPr>
          <w:rFonts w:eastAsia="Times New Roman" w:cs="Times New Roman"/>
          <w:color w:val="000000"/>
          <w:szCs w:val="20"/>
          <w:lang w:eastAsia="lt-LT" w:bidi="lt-LT"/>
        </w:rPr>
      </w:pPr>
      <w:r w:rsidRPr="000A3B2A">
        <w:rPr>
          <w:rFonts w:eastAsia="Times New Roman" w:cs="Times New Roman"/>
          <w:b/>
          <w:color w:val="000000"/>
          <w:szCs w:val="20"/>
          <w:lang w:eastAsia="lt-LT" w:bidi="lt-LT"/>
        </w:rPr>
        <w:t>Lenkija</w:t>
      </w:r>
      <w:r w:rsidRPr="000A3B2A">
        <w:rPr>
          <w:rFonts w:eastAsia="Times New Roman" w:cs="Times New Roman"/>
          <w:color w:val="000000"/>
          <w:szCs w:val="20"/>
          <w:lang w:eastAsia="lt-LT" w:bidi="lt-LT"/>
        </w:rPr>
        <w:t xml:space="preserve"> Komisijos nuomone </w:t>
      </w:r>
      <w:r w:rsidRPr="000A3B2A">
        <w:rPr>
          <w:rFonts w:eastAsia="Times New Roman" w:cs="Times New Roman"/>
          <w:b/>
          <w:color w:val="000000"/>
          <w:szCs w:val="20"/>
          <w:lang w:eastAsia="lt-LT" w:bidi="lt-LT"/>
        </w:rPr>
        <w:t>neatitinka kriterijų,</w:t>
      </w:r>
      <w:r w:rsidRPr="000A3B2A">
        <w:rPr>
          <w:rFonts w:eastAsia="Times New Roman" w:cs="Times New Roman"/>
          <w:color w:val="000000"/>
          <w:szCs w:val="20"/>
          <w:lang w:eastAsia="lt-LT" w:bidi="lt-LT"/>
        </w:rPr>
        <w:t xml:space="preserve"> reikalingų euro įvedimui, konkrečiai: nacionalinės teisės atitikimo, kainų stabilumo, dalyvavimo ERM II.</w:t>
      </w:r>
    </w:p>
    <w:p w:rsidR="000A3B2A" w:rsidRPr="000A3B2A" w:rsidRDefault="000A3B2A" w:rsidP="000A3B2A">
      <w:pPr>
        <w:spacing w:after="0" w:line="240" w:lineRule="auto"/>
        <w:jc w:val="both"/>
        <w:rPr>
          <w:rFonts w:eastAsia="Times New Roman" w:cs="Times New Roman"/>
          <w:color w:val="000000"/>
          <w:szCs w:val="20"/>
          <w:lang w:eastAsia="lt-LT" w:bidi="lt-LT"/>
        </w:rPr>
      </w:pPr>
      <w:r w:rsidRPr="000A3B2A">
        <w:rPr>
          <w:rFonts w:eastAsia="Times New Roman" w:cs="Times New Roman"/>
          <w:b/>
          <w:color w:val="000000"/>
          <w:szCs w:val="20"/>
          <w:lang w:eastAsia="lt-LT" w:bidi="lt-LT"/>
        </w:rPr>
        <w:t>Rumunija</w:t>
      </w:r>
      <w:r w:rsidRPr="000A3B2A">
        <w:rPr>
          <w:rFonts w:eastAsia="Times New Roman" w:cs="Times New Roman"/>
          <w:color w:val="000000"/>
          <w:szCs w:val="20"/>
          <w:lang w:eastAsia="lt-LT" w:bidi="lt-LT"/>
        </w:rPr>
        <w:t xml:space="preserve"> Komisijos nuomone </w:t>
      </w:r>
      <w:r w:rsidRPr="000A3B2A">
        <w:rPr>
          <w:rFonts w:eastAsia="Times New Roman" w:cs="Times New Roman"/>
          <w:b/>
          <w:color w:val="000000"/>
          <w:szCs w:val="20"/>
          <w:lang w:eastAsia="lt-LT" w:bidi="lt-LT"/>
        </w:rPr>
        <w:t>neatitinka kriterijų,</w:t>
      </w:r>
      <w:r w:rsidRPr="000A3B2A">
        <w:rPr>
          <w:rFonts w:eastAsia="Times New Roman" w:cs="Times New Roman"/>
          <w:color w:val="000000"/>
          <w:szCs w:val="20"/>
          <w:lang w:eastAsia="lt-LT" w:bidi="lt-LT"/>
        </w:rPr>
        <w:t xml:space="preserve"> reikalingų euro įvedimui, konkrečiai: nacionalinės teisės atitikimo, kainų stabilumo, viešųjų finansų tvarumo, dalyvavimo ERM II, ilgojo laikotarpio palūkanų normų konvergencijos.</w:t>
      </w:r>
    </w:p>
    <w:p w:rsidR="000A3B2A" w:rsidRPr="000A3B2A" w:rsidRDefault="000A3B2A" w:rsidP="000A3B2A">
      <w:pPr>
        <w:spacing w:after="0" w:line="240" w:lineRule="auto"/>
        <w:contextualSpacing/>
        <w:jc w:val="both"/>
        <w:rPr>
          <w:rFonts w:eastAsia="Times New Roman" w:cs="Times New Roman"/>
          <w:color w:val="000000"/>
          <w:szCs w:val="24"/>
          <w:lang w:eastAsia="lt-LT"/>
        </w:rPr>
      </w:pPr>
      <w:r w:rsidRPr="000A3B2A">
        <w:rPr>
          <w:rFonts w:eastAsia="Times New Roman" w:cs="Times New Roman"/>
          <w:b/>
          <w:color w:val="000000"/>
          <w:szCs w:val="20"/>
          <w:lang w:eastAsia="lt-LT" w:bidi="lt-LT"/>
        </w:rPr>
        <w:t>Švedija</w:t>
      </w:r>
      <w:r w:rsidRPr="000A3B2A">
        <w:rPr>
          <w:rFonts w:eastAsia="Times New Roman" w:cs="Times New Roman"/>
          <w:color w:val="000000"/>
          <w:szCs w:val="20"/>
          <w:lang w:eastAsia="lt-LT" w:bidi="lt-LT"/>
        </w:rPr>
        <w:t xml:space="preserve"> Komisijos nuomone </w:t>
      </w:r>
      <w:r w:rsidRPr="000A3B2A">
        <w:rPr>
          <w:rFonts w:eastAsia="Times New Roman" w:cs="Times New Roman"/>
          <w:b/>
          <w:color w:val="000000"/>
          <w:szCs w:val="20"/>
          <w:lang w:eastAsia="lt-LT" w:bidi="lt-LT"/>
        </w:rPr>
        <w:t>neatitinka kriterijų,</w:t>
      </w:r>
      <w:r w:rsidRPr="000A3B2A">
        <w:rPr>
          <w:rFonts w:eastAsia="Times New Roman" w:cs="Times New Roman"/>
          <w:color w:val="000000"/>
          <w:szCs w:val="20"/>
          <w:lang w:eastAsia="lt-LT" w:bidi="lt-LT"/>
        </w:rPr>
        <w:t xml:space="preserve"> reikalingų euro įvedimui, konkrečiai: nacionalinės teisės atitikimo, dalyvavimo ERM II.</w:t>
      </w:r>
    </w:p>
    <w:p w:rsidR="009E0F69" w:rsidRPr="000A3B2A" w:rsidRDefault="009E0F69" w:rsidP="004F5635">
      <w:pPr>
        <w:spacing w:after="0" w:line="240" w:lineRule="auto"/>
        <w:jc w:val="both"/>
        <w:rPr>
          <w:rFonts w:cs="Times New Roman"/>
          <w:b/>
          <w:szCs w:val="24"/>
          <w:u w:val="single"/>
          <w:lang w:eastAsia="lt-LT" w:bidi="lt-LT"/>
        </w:rPr>
      </w:pPr>
    </w:p>
    <w:p w:rsidR="000A3B2A" w:rsidRPr="000A3B2A" w:rsidRDefault="000A3B2A" w:rsidP="004F5635">
      <w:pPr>
        <w:spacing w:after="0" w:line="240" w:lineRule="auto"/>
        <w:jc w:val="both"/>
        <w:rPr>
          <w:rFonts w:cs="Times New Roman"/>
          <w:b/>
          <w:szCs w:val="24"/>
          <w:u w:val="single"/>
          <w:lang w:eastAsia="lt-LT" w:bidi="lt-LT"/>
        </w:rPr>
      </w:pPr>
      <w:r w:rsidRPr="000A3B2A">
        <w:rPr>
          <w:rFonts w:eastAsia="Times New Roman" w:cs="Times New Roman"/>
          <w:b/>
          <w:color w:val="000000"/>
          <w:szCs w:val="24"/>
          <w:u w:val="single"/>
          <w:lang w:eastAsia="lt-LT"/>
        </w:rPr>
        <w:t>Lietuvos pozicija.</w:t>
      </w:r>
      <w:r w:rsidRPr="000A3B2A">
        <w:t xml:space="preserve"> </w:t>
      </w:r>
      <w:r>
        <w:t>Neprieštaraujame Komisijos ir ECB vertinimui. </w:t>
      </w:r>
    </w:p>
    <w:p w:rsidR="000A3B2A" w:rsidRDefault="000A3B2A" w:rsidP="004F5635">
      <w:pPr>
        <w:spacing w:after="0" w:line="240" w:lineRule="auto"/>
        <w:jc w:val="both"/>
        <w:rPr>
          <w:rFonts w:cs="Times New Roman"/>
          <w:b/>
          <w:szCs w:val="24"/>
          <w:u w:val="single"/>
          <w:lang w:eastAsia="lt-LT" w:bidi="lt-LT"/>
        </w:rPr>
      </w:pPr>
    </w:p>
    <w:p w:rsidR="00DB79E7" w:rsidRPr="000A3B2A" w:rsidRDefault="00DB79E7" w:rsidP="004F5635">
      <w:pPr>
        <w:spacing w:after="0" w:line="240" w:lineRule="auto"/>
        <w:jc w:val="both"/>
        <w:rPr>
          <w:rFonts w:cs="Times New Roman"/>
          <w:b/>
          <w:szCs w:val="24"/>
          <w:u w:val="single"/>
          <w:lang w:eastAsia="lt-LT" w:bidi="lt-LT"/>
        </w:rPr>
      </w:pPr>
    </w:p>
    <w:p w:rsidR="000A3B2A" w:rsidRPr="000A3B2A" w:rsidRDefault="000A3B2A" w:rsidP="000A3B2A">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0A3B2A">
        <w:rPr>
          <w:rFonts w:eastAsia="Calibri" w:cs="Times New Roman"/>
          <w:b/>
          <w:szCs w:val="24"/>
        </w:rPr>
        <w:t>Tarptautiniai susitikimai</w:t>
      </w:r>
    </w:p>
    <w:p w:rsidR="000A3B2A" w:rsidRPr="000A3B2A" w:rsidRDefault="000A3B2A" w:rsidP="000A3B2A">
      <w:pPr>
        <w:spacing w:after="0" w:line="240" w:lineRule="auto"/>
        <w:jc w:val="both"/>
        <w:rPr>
          <w:rFonts w:eastAsia="Calibri" w:cs="Times New Roman"/>
          <w:szCs w:val="24"/>
        </w:rPr>
      </w:pPr>
    </w:p>
    <w:p w:rsidR="000A3B2A" w:rsidRPr="0047419C" w:rsidRDefault="000A3B2A" w:rsidP="0047419C">
      <w:pPr>
        <w:jc w:val="both"/>
        <w:rPr>
          <w:rFonts w:eastAsia="Times New Roman" w:cs="Times New Roman"/>
          <w:iCs/>
          <w:szCs w:val="20"/>
          <w:u w:val="single"/>
          <w:lang w:eastAsia="lt-LT"/>
        </w:rPr>
      </w:pPr>
      <w:r w:rsidRPr="000A3B2A">
        <w:rPr>
          <w:rFonts w:eastAsia="Times New Roman" w:cs="Times New Roman"/>
          <w:b/>
          <w:szCs w:val="24"/>
          <w:u w:val="single"/>
          <w:lang w:eastAsia="fr-BE"/>
        </w:rPr>
        <w:t>Klausimo esmė.</w:t>
      </w:r>
      <w:r w:rsidRPr="000A3B2A">
        <w:rPr>
          <w:rFonts w:eastAsia="Times New Roman" w:cs="Times New Roman"/>
          <w:iCs/>
          <w:szCs w:val="20"/>
          <w:lang w:eastAsia="lt-LT"/>
        </w:rPr>
        <w:t xml:space="preserve"> Tvirtinamos pozicijų gairės, skirtos virtualiam G20 finansų ministrų ir centrinių bankų valdytojų susitikimui, vyksiančiam š. m. liepos 18 d. </w:t>
      </w:r>
    </w:p>
    <w:p w:rsidR="000A3B2A" w:rsidRPr="000A3B2A" w:rsidRDefault="000A3B2A" w:rsidP="000A3B2A">
      <w:pPr>
        <w:spacing w:after="0" w:line="240" w:lineRule="auto"/>
        <w:jc w:val="both"/>
        <w:rPr>
          <w:rFonts w:eastAsia="Times New Roman" w:cs="Times New Roman"/>
          <w:iCs/>
          <w:szCs w:val="20"/>
          <w:lang w:eastAsia="lt-LT"/>
        </w:rPr>
      </w:pPr>
      <w:r w:rsidRPr="000A3B2A">
        <w:rPr>
          <w:rFonts w:eastAsia="Times New Roman" w:cs="Times New Roman"/>
          <w:b/>
          <w:iCs/>
          <w:szCs w:val="20"/>
          <w:u w:val="single"/>
          <w:lang w:eastAsia="lt-LT"/>
        </w:rPr>
        <w:t>Pagrindiniai G20 finansų ministrų ir centrinių bankų valdytojų pozicijų gairių aspektai:</w:t>
      </w:r>
      <w:r w:rsidRPr="000A3B2A">
        <w:rPr>
          <w:rFonts w:eastAsia="Times New Roman" w:cs="Times New Roman"/>
          <w:iCs/>
          <w:szCs w:val="20"/>
          <w:lang w:eastAsia="lt-LT"/>
        </w:rPr>
        <w:t xml:space="preserve"> </w:t>
      </w:r>
    </w:p>
    <w:p w:rsidR="000A3B2A" w:rsidRPr="000A3B2A" w:rsidRDefault="000A3B2A" w:rsidP="000A3B2A">
      <w:pPr>
        <w:tabs>
          <w:tab w:val="left" w:pos="567"/>
        </w:tabs>
        <w:spacing w:after="0" w:line="240" w:lineRule="auto"/>
        <w:jc w:val="both"/>
        <w:rPr>
          <w:rFonts w:eastAsia="Times New Roman" w:cs="Times New Roman"/>
          <w:iCs/>
          <w:szCs w:val="20"/>
          <w:lang w:eastAsia="lt-LT"/>
        </w:rPr>
      </w:pPr>
      <w:r w:rsidRPr="000A3B2A">
        <w:rPr>
          <w:rFonts w:eastAsia="Times New Roman" w:cs="Times New Roman"/>
          <w:iCs/>
          <w:szCs w:val="20"/>
          <w:lang w:eastAsia="lt-LT"/>
        </w:rPr>
        <w:t>•</w:t>
      </w:r>
      <w:r w:rsidRPr="000A3B2A">
        <w:rPr>
          <w:rFonts w:eastAsia="Times New Roman" w:cs="Times New Roman"/>
          <w:iCs/>
          <w:szCs w:val="20"/>
          <w:lang w:eastAsia="lt-LT"/>
        </w:rPr>
        <w:tab/>
        <w:t>Aptariamas ES atsakas į COVID-19 pandemiją, G20 skatinama atnaujinti ir toliau įgyvendinti G20 atsako į COVID-19 veiksmų planą. Prioritetas teikiamas investicijoms į vakcinos kūrimą. G20 turėtų remti stipresnį tarptautinį bendradarbiavimą dėl monetarinių, fiskalinių ir struktūrinių reformų priemonių, reikalingų siekiant saugiai išeiti iš krizės ir nukreipti ekonomiką stipraus, tvaraus, subalansuoto ir įtraukaus augimo keliu pagal iki krizės keltus tikslus, ir užtvirtinti centrinių bankų nepriklausomumo principą. Atsigavimo etape svarbu stiprinti atsparumą ir pasinaudoti žalios ir skaitmeninės plėtros galimybėmis. Šalys turėtų imtis visų reikalingų priemonių atsakui į pandemiją ir ekonomikos atsigavimui. Kai ekonominės galimybės leis, turi būti siekiama atsargios fiskalinės pozicijos vidutiniu laikotarpiu ir skolos tvarumo, tuo pačiu didinant investicijas.</w:t>
      </w:r>
    </w:p>
    <w:p w:rsidR="000A3B2A" w:rsidRPr="000A3B2A" w:rsidRDefault="000A3B2A" w:rsidP="000A3B2A">
      <w:pPr>
        <w:tabs>
          <w:tab w:val="left" w:pos="567"/>
        </w:tabs>
        <w:spacing w:after="0" w:line="240" w:lineRule="auto"/>
        <w:jc w:val="both"/>
        <w:rPr>
          <w:rFonts w:eastAsia="Times New Roman" w:cs="Times New Roman"/>
          <w:szCs w:val="24"/>
          <w:lang w:eastAsia="lt-LT"/>
        </w:rPr>
      </w:pPr>
      <w:r w:rsidRPr="000A3B2A">
        <w:rPr>
          <w:rFonts w:eastAsia="Times New Roman" w:cs="Times New Roman"/>
          <w:iCs/>
          <w:szCs w:val="20"/>
          <w:lang w:eastAsia="lt-LT"/>
        </w:rPr>
        <w:t>•</w:t>
      </w:r>
      <w:r w:rsidRPr="000A3B2A">
        <w:rPr>
          <w:rFonts w:eastAsia="Times New Roman" w:cs="Times New Roman"/>
          <w:iCs/>
          <w:szCs w:val="20"/>
          <w:lang w:eastAsia="lt-LT"/>
        </w:rPr>
        <w:tab/>
      </w:r>
      <w:r w:rsidRPr="000A3B2A">
        <w:rPr>
          <w:rFonts w:eastAsia="Times New Roman" w:cs="Times New Roman"/>
          <w:szCs w:val="24"/>
          <w:lang w:eastAsia="lt-LT"/>
        </w:rPr>
        <w:t xml:space="preserve">Sveikinamas G20 atsakas į krizę, ypatingai Skolos aptarnavimo mokėjimų sustabdymo iniciatyva (angl. </w:t>
      </w:r>
      <w:r w:rsidRPr="000A3B2A">
        <w:rPr>
          <w:rFonts w:eastAsia="Times New Roman" w:cs="Times New Roman"/>
          <w:i/>
          <w:szCs w:val="24"/>
          <w:lang w:eastAsia="lt-LT"/>
        </w:rPr>
        <w:t xml:space="preserve">Debt Service Suspension Initiative, </w:t>
      </w:r>
      <w:r w:rsidRPr="000A3B2A">
        <w:rPr>
          <w:rFonts w:eastAsia="Times New Roman" w:cs="Times New Roman"/>
          <w:szCs w:val="24"/>
          <w:lang w:eastAsia="lt-LT"/>
        </w:rPr>
        <w:t>DSSI), pabrėžiama skolos skaidrumo svarba šiame kontekste. Privatūs kreditoriai skatinami dalyvauti iniciatyvoje savanoriškai. Daugiašaliai plėtros bankai skatinami įvertinti, kaip jie galėtų prisidėti prie iniciatyvos tikslų išlaikydami savo kreditingumo reitingus ir žemą finansavimo kainą. Remiamos TVF ir PB pastangos stebėti kreditorių dalyvavimą iniciatyvoje, didinti viešosios skolos skaidrumą ir informuoti apie tarptautinio atsako į krizę dėka atsiradusios fiskalinės erdvės panaudojimą. Tarptautinių finansų institucijų prašoma toliau vertinti papildomas priemones, įskaitant naują specialiųjų skolinimosi teisių (SDR) paskirstymą.</w:t>
      </w:r>
    </w:p>
    <w:p w:rsidR="000A3B2A" w:rsidRPr="000A3B2A" w:rsidRDefault="000A3B2A" w:rsidP="000A3B2A">
      <w:pPr>
        <w:tabs>
          <w:tab w:val="left" w:pos="567"/>
        </w:tabs>
        <w:spacing w:after="0" w:line="240" w:lineRule="auto"/>
        <w:jc w:val="both"/>
        <w:rPr>
          <w:rFonts w:eastAsia="Times New Roman" w:cs="Times New Roman"/>
          <w:iCs/>
          <w:szCs w:val="20"/>
          <w:lang w:eastAsia="lt-LT"/>
        </w:rPr>
      </w:pPr>
      <w:r w:rsidRPr="000A3B2A">
        <w:rPr>
          <w:rFonts w:eastAsia="Times New Roman" w:cs="Times New Roman"/>
          <w:iCs/>
          <w:szCs w:val="20"/>
          <w:lang w:eastAsia="lt-LT"/>
        </w:rPr>
        <w:t>•</w:t>
      </w:r>
      <w:r w:rsidRPr="000A3B2A">
        <w:rPr>
          <w:rFonts w:eastAsia="Times New Roman" w:cs="Times New Roman"/>
          <w:iCs/>
          <w:szCs w:val="20"/>
          <w:lang w:eastAsia="lt-LT"/>
        </w:rPr>
        <w:tab/>
        <w:t>Sveikinamos G20 pirmininkaujančios Saudo Arabijos pastangos tęsti G20 darbus kokybiškų investicijų į infrastruktūrą srityje, pritaikyti darbotvarkes atsižvelgiant COVID-19. ES prioritetai šioje srityje yra valdysena bei aplinkosauginis bei socialinis tvarumas, laukiama tolesnio darbo dėl privataus sektoriaus dalyvavimo investicijose į infrastruktūrą ir neapibrėžtųjų įsipareigojimų, prašoma konkrečių rezultatų 2020 m.</w:t>
      </w:r>
    </w:p>
    <w:p w:rsidR="0047419C" w:rsidRDefault="000A3B2A" w:rsidP="0047419C">
      <w:pPr>
        <w:tabs>
          <w:tab w:val="left" w:pos="567"/>
        </w:tabs>
        <w:spacing w:after="0" w:line="240" w:lineRule="auto"/>
        <w:jc w:val="both"/>
        <w:rPr>
          <w:rFonts w:eastAsia="Times New Roman" w:cs="Times New Roman"/>
          <w:iCs/>
          <w:szCs w:val="20"/>
          <w:lang w:eastAsia="lt-LT"/>
        </w:rPr>
      </w:pPr>
      <w:r w:rsidRPr="000A3B2A">
        <w:rPr>
          <w:rFonts w:eastAsia="Times New Roman" w:cs="Times New Roman"/>
          <w:iCs/>
          <w:szCs w:val="20"/>
          <w:lang w:eastAsia="lt-LT"/>
        </w:rPr>
        <w:t>•</w:t>
      </w:r>
      <w:r w:rsidRPr="000A3B2A">
        <w:rPr>
          <w:rFonts w:eastAsia="Times New Roman" w:cs="Times New Roman"/>
          <w:iCs/>
          <w:szCs w:val="20"/>
          <w:lang w:eastAsia="lt-LT"/>
        </w:rPr>
        <w:tab/>
        <w:t xml:space="preserve"> Mokesčių srityje prioritetas skiriamas pasauliniams sprendimams skaitmeninės ekonomikos apmokestinimui ir likusiems BEPS klausimams spręsti. Laukiama ambicingų, teisingų, efektyvių, nediskriminuojančių ir įvykdomų pasaulinių sprendimų, pasižadama dvigubinti pastangas siekiant </w:t>
      </w:r>
      <w:r w:rsidRPr="000A3B2A">
        <w:rPr>
          <w:rFonts w:eastAsia="Times New Roman" w:cs="Times New Roman"/>
          <w:iCs/>
          <w:szCs w:val="20"/>
          <w:lang w:eastAsia="lt-LT"/>
        </w:rPr>
        <w:lastRenderedPageBreak/>
        <w:t>konsensusu pagrįsto pasaulinio sprendimo 2020 m. Siūloma intensyviau dirbti ties apmokestinimo skaidrumu ir siekti tarptautinių standartų dėl skaidrumo ir tikrųjų savininkų efektyvaus įgyvendinimo arba peržiūros.</w:t>
      </w:r>
    </w:p>
    <w:p w:rsidR="000A3B2A" w:rsidRPr="0047419C" w:rsidRDefault="000A3B2A" w:rsidP="0047419C">
      <w:pPr>
        <w:pStyle w:val="Sraopastraipa"/>
        <w:numPr>
          <w:ilvl w:val="0"/>
          <w:numId w:val="48"/>
        </w:numPr>
        <w:tabs>
          <w:tab w:val="left" w:pos="567"/>
        </w:tabs>
        <w:spacing w:after="0" w:line="240" w:lineRule="auto"/>
        <w:ind w:left="0" w:firstLine="0"/>
        <w:jc w:val="both"/>
        <w:rPr>
          <w:rFonts w:eastAsia="Times New Roman" w:cs="Times New Roman"/>
          <w:iCs/>
          <w:szCs w:val="20"/>
          <w:lang w:eastAsia="lt-LT"/>
        </w:rPr>
      </w:pPr>
      <w:r w:rsidRPr="0047419C">
        <w:rPr>
          <w:rFonts w:eastAsia="Times New Roman" w:cs="Times New Roman"/>
          <w:iCs/>
          <w:szCs w:val="20"/>
          <w:lang w:eastAsia="lt-LT"/>
        </w:rPr>
        <w:t xml:space="preserve">Finansų reguliavimo srityje Finansų stabilumo tarybos prašoma remti tarptautinį bendradarbiavimą ir koordinuoti atsaką į COVID-19. G20 šalių prašoma elgtis pagal tarptautinius standartus ir nenusigręžti nuo reformų. Reikia įgyvendinti G20 veiksmų planą ir finansų reguliavimo darbotvarkę, užtikrinti, kad skaitmenizacijos, įskaitant </w:t>
      </w:r>
      <w:r w:rsidRPr="0047419C">
        <w:rPr>
          <w:rFonts w:eastAsia="Times New Roman" w:cs="Times New Roman"/>
          <w:i/>
          <w:iCs/>
          <w:szCs w:val="20"/>
          <w:lang w:eastAsia="lt-LT"/>
        </w:rPr>
        <w:t>stablecoins</w:t>
      </w:r>
      <w:r w:rsidRPr="0047419C">
        <w:rPr>
          <w:rFonts w:eastAsia="Times New Roman" w:cs="Times New Roman"/>
          <w:iCs/>
          <w:szCs w:val="20"/>
          <w:lang w:eastAsia="lt-LT"/>
        </w:rPr>
        <w:t>, tarpvalstybinių mokėjimų plėtros ir perėjimo nuo LIBOR klausimai išliktų G20 darbotvarkėje, įtraukti tvarių finansų klausimą, tęsti darbus pinigų plovimo ir terorizmo finansavimo srityje.</w:t>
      </w:r>
    </w:p>
    <w:p w:rsidR="000A3B2A" w:rsidRPr="000A3B2A" w:rsidRDefault="000A3B2A" w:rsidP="000A3B2A">
      <w:pPr>
        <w:spacing w:after="0" w:line="240" w:lineRule="auto"/>
        <w:contextualSpacing/>
        <w:jc w:val="both"/>
        <w:rPr>
          <w:rFonts w:eastAsia="Times New Roman" w:cs="Times New Roman"/>
          <w:b/>
          <w:szCs w:val="24"/>
          <w:u w:val="single"/>
          <w:lang w:eastAsia="fr-BE"/>
        </w:rPr>
      </w:pPr>
    </w:p>
    <w:p w:rsidR="000A3B2A" w:rsidRPr="000A3B2A" w:rsidRDefault="000A3B2A" w:rsidP="000A3B2A">
      <w:pPr>
        <w:spacing w:after="0" w:line="240" w:lineRule="auto"/>
        <w:contextualSpacing/>
        <w:jc w:val="both"/>
        <w:rPr>
          <w:rFonts w:eastAsia="Times New Roman" w:cs="Times New Roman"/>
          <w:color w:val="000000"/>
          <w:szCs w:val="24"/>
          <w:lang w:eastAsia="lt-LT"/>
        </w:rPr>
      </w:pPr>
      <w:r w:rsidRPr="000A3B2A">
        <w:rPr>
          <w:rFonts w:eastAsia="Times New Roman" w:cs="Times New Roman"/>
          <w:b/>
          <w:color w:val="000000"/>
          <w:szCs w:val="24"/>
          <w:u w:val="single"/>
          <w:lang w:eastAsia="lt-LT"/>
        </w:rPr>
        <w:t>Lietuvos pozicija.</w:t>
      </w:r>
      <w:r w:rsidRPr="000A3B2A">
        <w:t xml:space="preserve"> </w:t>
      </w:r>
      <w:r w:rsidRPr="000A3B2A">
        <w:rPr>
          <w:rFonts w:eastAsia="Times New Roman" w:cs="Times New Roman"/>
          <w:color w:val="000000"/>
          <w:szCs w:val="24"/>
          <w:lang w:eastAsia="lt-LT"/>
        </w:rPr>
        <w:t>Be pastabų pritariame G20 pozicijų gairėms.</w:t>
      </w:r>
    </w:p>
    <w:p w:rsidR="000A3B2A" w:rsidRPr="002764C2" w:rsidRDefault="000A3B2A" w:rsidP="004F5635">
      <w:pPr>
        <w:spacing w:after="0" w:line="240" w:lineRule="auto"/>
        <w:jc w:val="both"/>
        <w:rPr>
          <w:rFonts w:cs="Times New Roman"/>
          <w:b/>
          <w:szCs w:val="24"/>
          <w:u w:val="single"/>
          <w:lang w:val="en-US" w:eastAsia="lt-LT" w:bidi="lt-LT"/>
        </w:rPr>
      </w:pPr>
    </w:p>
    <w:p w:rsidR="00A207C8" w:rsidRPr="000A3B2A" w:rsidRDefault="00A207C8" w:rsidP="004F5635">
      <w:pPr>
        <w:spacing w:after="0" w:line="240" w:lineRule="auto"/>
        <w:jc w:val="both"/>
        <w:rPr>
          <w:rFonts w:cs="Times New Roman"/>
          <w:b/>
          <w:szCs w:val="24"/>
          <w:u w:val="single"/>
          <w:lang w:eastAsia="lt-LT" w:bidi="lt-LT"/>
        </w:rPr>
      </w:pPr>
    </w:p>
    <w:p w:rsidR="000A3B2A" w:rsidRPr="000A3B2A" w:rsidRDefault="000A3B2A" w:rsidP="000A3B2A">
      <w:pPr>
        <w:pBdr>
          <w:top w:val="single" w:sz="4" w:space="1"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iCs/>
          <w:szCs w:val="24"/>
        </w:rPr>
      </w:pPr>
      <w:r w:rsidRPr="000A3B2A">
        <w:rPr>
          <w:rFonts w:eastAsia="Calibri" w:cs="Times New Roman"/>
          <w:b/>
          <w:szCs w:val="24"/>
        </w:rPr>
        <w:t>Kapitalo rinkų sąjunga: Aukšto lygio forumo galutinė ataskaita</w:t>
      </w:r>
    </w:p>
    <w:p w:rsidR="000A3B2A" w:rsidRPr="000A3B2A" w:rsidRDefault="000A3B2A" w:rsidP="000A3B2A">
      <w:pPr>
        <w:spacing w:after="0" w:line="240" w:lineRule="auto"/>
        <w:jc w:val="both"/>
        <w:rPr>
          <w:rFonts w:eastAsia="Calibri" w:cs="Times New Roman"/>
          <w:szCs w:val="24"/>
        </w:rPr>
      </w:pPr>
    </w:p>
    <w:p w:rsidR="002764C2" w:rsidRPr="00AB5028" w:rsidRDefault="000A3B2A" w:rsidP="002764C2">
      <w:pPr>
        <w:spacing w:after="0" w:line="240" w:lineRule="auto"/>
        <w:jc w:val="both"/>
        <w:rPr>
          <w:rFonts w:cs="Times New Roman"/>
          <w:color w:val="000000"/>
          <w:szCs w:val="24"/>
        </w:rPr>
      </w:pPr>
      <w:r w:rsidRPr="00DF5308">
        <w:rPr>
          <w:rFonts w:eastAsia="Times New Roman" w:cs="Times New Roman"/>
          <w:b/>
          <w:szCs w:val="24"/>
          <w:u w:val="single"/>
          <w:lang w:eastAsia="fr-BE"/>
        </w:rPr>
        <w:t>Klausimo esmė.</w:t>
      </w:r>
      <w:r w:rsidR="002764C2" w:rsidRPr="00AB5028">
        <w:rPr>
          <w:rFonts w:cs="Times New Roman"/>
          <w:color w:val="000000"/>
          <w:szCs w:val="24"/>
        </w:rPr>
        <w:t xml:space="preserve"> </w:t>
      </w:r>
      <w:r w:rsidR="002764C2" w:rsidRPr="00AB5028">
        <w:rPr>
          <w:rFonts w:eastAsia="Calibri" w:cs="Times New Roman"/>
          <w:szCs w:val="24"/>
        </w:rPr>
        <w:t xml:space="preserve">2019 m. EK įsteigė CMU aukšto lygio forumą, kurio tikslas – pasiūlymų dėl naujų veiksmų toliau gilinant CMU pateikimas. Galutinėje HLF ataskaitoje išdėstytos </w:t>
      </w:r>
      <w:r w:rsidR="002764C2" w:rsidRPr="00AB5028">
        <w:rPr>
          <w:rFonts w:eastAsia="Calibri" w:cs="Times New Roman"/>
          <w:b/>
          <w:szCs w:val="24"/>
        </w:rPr>
        <w:t>17</w:t>
      </w:r>
      <w:r w:rsidR="002764C2" w:rsidRPr="00AB5028">
        <w:rPr>
          <w:rFonts w:eastAsia="Calibri" w:cs="Times New Roman"/>
          <w:szCs w:val="24"/>
        </w:rPr>
        <w:t xml:space="preserve"> tikslių ir aiškių politikos </w:t>
      </w:r>
      <w:r w:rsidR="002764C2" w:rsidRPr="00AB5028">
        <w:rPr>
          <w:rFonts w:eastAsia="Calibri" w:cs="Times New Roman"/>
          <w:b/>
          <w:szCs w:val="24"/>
        </w:rPr>
        <w:t>rekomendacijų dėl konkrečių priemonių,</w:t>
      </w:r>
      <w:r w:rsidR="002764C2" w:rsidRPr="00AB5028">
        <w:rPr>
          <w:rFonts w:eastAsia="Calibri" w:cs="Times New Roman"/>
          <w:szCs w:val="24"/>
        </w:rPr>
        <w:t xml:space="preserve"> kurios turės reikšmingą poveikį, reikalauja skubių veiksmų, gali būti pasiektos per nustatytą terminą ir kurių pažangą galima aiškiai stebėti.</w:t>
      </w:r>
    </w:p>
    <w:p w:rsidR="002764C2" w:rsidRPr="00AB5028" w:rsidRDefault="002764C2" w:rsidP="002764C2">
      <w:pPr>
        <w:spacing w:after="0" w:line="240" w:lineRule="auto"/>
        <w:contextualSpacing/>
        <w:jc w:val="both"/>
        <w:rPr>
          <w:rFonts w:eastAsia="Calibri" w:cs="Times New Roman"/>
          <w:szCs w:val="24"/>
        </w:rPr>
      </w:pPr>
      <w:r w:rsidRPr="00AB5028">
        <w:rPr>
          <w:rFonts w:eastAsia="Calibri" w:cs="Times New Roman"/>
          <w:b/>
          <w:szCs w:val="24"/>
          <w:u w:val="single"/>
        </w:rPr>
        <w:t>HLF rekomendacijos dėl CMU gilinimo:</w:t>
      </w:r>
    </w:p>
    <w:p w:rsidR="002764C2" w:rsidRPr="00AB5028" w:rsidRDefault="002764C2" w:rsidP="002764C2">
      <w:pPr>
        <w:numPr>
          <w:ilvl w:val="0"/>
          <w:numId w:val="18"/>
        </w:numPr>
        <w:spacing w:after="0" w:line="240" w:lineRule="auto"/>
        <w:ind w:left="644"/>
        <w:contextualSpacing/>
        <w:jc w:val="both"/>
        <w:rPr>
          <w:rFonts w:eastAsia="Calibri" w:cs="Times New Roman"/>
          <w:szCs w:val="24"/>
        </w:rPr>
      </w:pPr>
      <w:r w:rsidRPr="00AB5028">
        <w:rPr>
          <w:rFonts w:eastAsia="Calibri" w:cs="Times New Roman"/>
          <w:i/>
          <w:szCs w:val="24"/>
        </w:rPr>
        <w:t>verslo finansavimas</w:t>
      </w:r>
      <w:r w:rsidRPr="00AB5028">
        <w:rPr>
          <w:rFonts w:eastAsia="Calibri" w:cs="Times New Roman"/>
          <w:szCs w:val="24"/>
        </w:rPr>
        <w:t xml:space="preserve"> – </w:t>
      </w:r>
    </w:p>
    <w:p w:rsidR="002764C2" w:rsidRPr="00AB5028" w:rsidRDefault="002764C2" w:rsidP="002764C2">
      <w:pPr>
        <w:numPr>
          <w:ilvl w:val="0"/>
          <w:numId w:val="19"/>
        </w:numPr>
        <w:spacing w:after="0" w:line="240" w:lineRule="auto"/>
        <w:contextualSpacing/>
        <w:jc w:val="both"/>
        <w:rPr>
          <w:rFonts w:eastAsia="Calibri" w:cs="Times New Roman"/>
          <w:szCs w:val="24"/>
        </w:rPr>
      </w:pPr>
      <w:r w:rsidRPr="00AB5028">
        <w:rPr>
          <w:rFonts w:eastAsia="Calibri" w:cs="Times New Roman"/>
          <w:b/>
          <w:szCs w:val="24"/>
        </w:rPr>
        <w:t>Bendro Europos prieigos taško</w:t>
      </w:r>
      <w:r w:rsidRPr="00AB5028">
        <w:rPr>
          <w:rFonts w:eastAsia="Calibri" w:cs="Times New Roman"/>
          <w:szCs w:val="24"/>
        </w:rPr>
        <w:t xml:space="preserve"> (ESAP) sukūrimas;</w:t>
      </w:r>
      <w:r w:rsidRPr="00AB5028">
        <w:rPr>
          <w:rFonts w:cs="Times New Roman"/>
          <w:szCs w:val="24"/>
        </w:rPr>
        <w:t xml:space="preserve"> </w:t>
      </w:r>
    </w:p>
    <w:p w:rsidR="002764C2" w:rsidRPr="00AB5028" w:rsidRDefault="002764C2" w:rsidP="002764C2">
      <w:pPr>
        <w:numPr>
          <w:ilvl w:val="0"/>
          <w:numId w:val="19"/>
        </w:numPr>
        <w:spacing w:after="0" w:line="240" w:lineRule="auto"/>
        <w:contextualSpacing/>
        <w:jc w:val="both"/>
        <w:rPr>
          <w:rFonts w:eastAsia="Calibri" w:cs="Times New Roman"/>
          <w:szCs w:val="24"/>
        </w:rPr>
      </w:pPr>
      <w:r w:rsidRPr="00AB5028">
        <w:rPr>
          <w:rFonts w:eastAsia="Calibri" w:cs="Times New Roman"/>
          <w:b/>
          <w:szCs w:val="24"/>
        </w:rPr>
        <w:t>Tikslinė ELTIF</w:t>
      </w:r>
      <w:r w:rsidRPr="00AB5028">
        <w:rPr>
          <w:rFonts w:eastAsia="Calibri" w:cs="Times New Roman"/>
          <w:szCs w:val="24"/>
        </w:rPr>
        <w:t xml:space="preserve"> (angl. </w:t>
      </w:r>
      <w:r w:rsidRPr="00AB5028">
        <w:rPr>
          <w:rFonts w:eastAsia="Calibri" w:cs="Times New Roman"/>
          <w:i/>
          <w:szCs w:val="24"/>
        </w:rPr>
        <w:t>European Long Term Investment Fund</w:t>
      </w:r>
      <w:r w:rsidRPr="00AB5028">
        <w:rPr>
          <w:rFonts w:eastAsia="Calibri" w:cs="Times New Roman"/>
          <w:szCs w:val="24"/>
        </w:rPr>
        <w:t xml:space="preserve">) </w:t>
      </w:r>
      <w:r w:rsidRPr="00AB5028">
        <w:rPr>
          <w:rFonts w:eastAsia="Calibri" w:cs="Times New Roman"/>
          <w:b/>
          <w:szCs w:val="24"/>
        </w:rPr>
        <w:t>reguliavimo peržiūra</w:t>
      </w:r>
      <w:r w:rsidRPr="00AB5028">
        <w:rPr>
          <w:rFonts w:eastAsia="Calibri" w:cs="Times New Roman"/>
          <w:szCs w:val="24"/>
        </w:rPr>
        <w:t>, įskaitant mokestinių lengvatų įvedimą;</w:t>
      </w:r>
    </w:p>
    <w:p w:rsidR="002764C2" w:rsidRPr="00AB5028" w:rsidRDefault="002764C2" w:rsidP="002764C2">
      <w:pPr>
        <w:numPr>
          <w:ilvl w:val="0"/>
          <w:numId w:val="19"/>
        </w:numPr>
        <w:spacing w:after="0" w:line="240" w:lineRule="auto"/>
        <w:contextualSpacing/>
        <w:jc w:val="both"/>
        <w:rPr>
          <w:rFonts w:eastAsia="Calibri" w:cs="Times New Roman"/>
          <w:szCs w:val="24"/>
        </w:rPr>
      </w:pPr>
      <w:r w:rsidRPr="00AB5028">
        <w:rPr>
          <w:rFonts w:eastAsia="Calibri" w:cs="Times New Roman"/>
          <w:b/>
          <w:szCs w:val="24"/>
        </w:rPr>
        <w:t>Tikslinė Solvency II peržiūra</w:t>
      </w:r>
      <w:r w:rsidRPr="00AB5028">
        <w:rPr>
          <w:rFonts w:eastAsia="Calibri" w:cs="Times New Roman"/>
          <w:szCs w:val="24"/>
        </w:rPr>
        <w:t xml:space="preserve"> ir tolesnis darbas su Tarptautine apskaitos standartų valdyba (IASB);</w:t>
      </w:r>
    </w:p>
    <w:p w:rsidR="002764C2" w:rsidRPr="00AB5028" w:rsidRDefault="002764C2" w:rsidP="002764C2">
      <w:pPr>
        <w:numPr>
          <w:ilvl w:val="0"/>
          <w:numId w:val="19"/>
        </w:numPr>
        <w:spacing w:after="0" w:line="240" w:lineRule="auto"/>
        <w:contextualSpacing/>
        <w:jc w:val="both"/>
        <w:rPr>
          <w:rFonts w:eastAsia="Calibri" w:cs="Times New Roman"/>
          <w:szCs w:val="24"/>
        </w:rPr>
      </w:pPr>
      <w:r w:rsidRPr="00AB5028">
        <w:rPr>
          <w:rFonts w:eastAsia="Calibri" w:cs="Times New Roman"/>
          <w:b/>
          <w:szCs w:val="24"/>
        </w:rPr>
        <w:t>Bazelio III įgyvendinimas</w:t>
      </w:r>
      <w:r w:rsidRPr="00AB5028">
        <w:rPr>
          <w:rFonts w:eastAsia="Calibri" w:cs="Times New Roman"/>
          <w:szCs w:val="24"/>
        </w:rPr>
        <w:t>;</w:t>
      </w:r>
    </w:p>
    <w:p w:rsidR="002764C2" w:rsidRPr="00DB79E7" w:rsidRDefault="002764C2" w:rsidP="002764C2">
      <w:pPr>
        <w:numPr>
          <w:ilvl w:val="0"/>
          <w:numId w:val="19"/>
        </w:numPr>
        <w:spacing w:after="0" w:line="240" w:lineRule="auto"/>
        <w:contextualSpacing/>
        <w:jc w:val="both"/>
        <w:rPr>
          <w:rFonts w:eastAsia="Calibri" w:cs="Times New Roman"/>
          <w:szCs w:val="24"/>
        </w:rPr>
      </w:pPr>
      <w:r w:rsidRPr="00AB5028">
        <w:rPr>
          <w:rFonts w:eastAsia="Calibri" w:cs="Times New Roman"/>
          <w:szCs w:val="24"/>
        </w:rPr>
        <w:t>Įtraukimo į prekybos sąrašą taisyklių supaprastinimas.</w:t>
      </w:r>
    </w:p>
    <w:p w:rsidR="002764C2" w:rsidRPr="00AB5028" w:rsidRDefault="002764C2" w:rsidP="002764C2">
      <w:pPr>
        <w:numPr>
          <w:ilvl w:val="0"/>
          <w:numId w:val="18"/>
        </w:numPr>
        <w:spacing w:after="0" w:line="240" w:lineRule="auto"/>
        <w:ind w:left="644"/>
        <w:contextualSpacing/>
        <w:jc w:val="both"/>
        <w:rPr>
          <w:rFonts w:eastAsia="Calibri" w:cs="Times New Roman"/>
          <w:szCs w:val="24"/>
        </w:rPr>
      </w:pPr>
      <w:r w:rsidRPr="00AB5028">
        <w:rPr>
          <w:rFonts w:eastAsia="Calibri" w:cs="Times New Roman"/>
          <w:i/>
          <w:szCs w:val="24"/>
        </w:rPr>
        <w:t>rinkos infrastruktū</w:t>
      </w:r>
      <w:r w:rsidRPr="00AB5028">
        <w:rPr>
          <w:rFonts w:eastAsia="Calibri" w:cs="Times New Roman"/>
          <w:szCs w:val="24"/>
        </w:rPr>
        <w:t>ra –</w:t>
      </w:r>
    </w:p>
    <w:p w:rsidR="002764C2" w:rsidRPr="00AB5028" w:rsidRDefault="002764C2" w:rsidP="002764C2">
      <w:pPr>
        <w:numPr>
          <w:ilvl w:val="0"/>
          <w:numId w:val="19"/>
        </w:numPr>
        <w:spacing w:after="0" w:line="240" w:lineRule="auto"/>
        <w:contextualSpacing/>
        <w:jc w:val="both"/>
        <w:rPr>
          <w:rFonts w:eastAsia="Calibri" w:cs="Times New Roman"/>
          <w:szCs w:val="24"/>
        </w:rPr>
      </w:pPr>
      <w:r w:rsidRPr="00AB5028">
        <w:rPr>
          <w:rFonts w:eastAsia="Calibri" w:cs="Times New Roman"/>
          <w:szCs w:val="24"/>
        </w:rPr>
        <w:t xml:space="preserve">Teisinis tikrumo ir aiškių taisyklių </w:t>
      </w:r>
      <w:r w:rsidRPr="00AB5028">
        <w:rPr>
          <w:rFonts w:eastAsia="Calibri" w:cs="Times New Roman"/>
          <w:b/>
          <w:szCs w:val="24"/>
        </w:rPr>
        <w:t>kripto ir skaitmeninio turto</w:t>
      </w:r>
      <w:r w:rsidRPr="00AB5028">
        <w:rPr>
          <w:rFonts w:eastAsia="Calibri" w:cs="Times New Roman"/>
          <w:szCs w:val="24"/>
        </w:rPr>
        <w:t xml:space="preserve"> naudojimui užtikrinimas;</w:t>
      </w:r>
    </w:p>
    <w:p w:rsidR="002764C2" w:rsidRPr="00AB5028" w:rsidRDefault="002764C2" w:rsidP="002764C2">
      <w:pPr>
        <w:numPr>
          <w:ilvl w:val="0"/>
          <w:numId w:val="19"/>
        </w:numPr>
        <w:spacing w:after="0" w:line="240" w:lineRule="auto"/>
        <w:contextualSpacing/>
        <w:jc w:val="both"/>
        <w:rPr>
          <w:rFonts w:eastAsia="Calibri" w:cs="Times New Roman"/>
          <w:szCs w:val="24"/>
        </w:rPr>
      </w:pPr>
      <w:r w:rsidRPr="00AB5028">
        <w:rPr>
          <w:rFonts w:eastAsia="Calibri" w:cs="Times New Roman"/>
          <w:szCs w:val="24"/>
        </w:rPr>
        <w:t xml:space="preserve">Tiksliniai </w:t>
      </w:r>
      <w:r w:rsidRPr="00AB5028">
        <w:rPr>
          <w:rFonts w:eastAsia="Calibri" w:cs="Times New Roman"/>
          <w:b/>
          <w:szCs w:val="24"/>
        </w:rPr>
        <w:t>CSDR</w:t>
      </w:r>
      <w:r w:rsidRPr="00AB5028">
        <w:rPr>
          <w:rFonts w:eastAsia="Calibri" w:cs="Times New Roman"/>
          <w:szCs w:val="24"/>
        </w:rPr>
        <w:t xml:space="preserve"> pakeitimai įskaitant </w:t>
      </w:r>
      <w:r w:rsidRPr="00AB5028">
        <w:rPr>
          <w:rFonts w:eastAsia="Calibri" w:cs="Times New Roman"/>
          <w:b/>
          <w:szCs w:val="24"/>
        </w:rPr>
        <w:t>depozitoriumų paso</w:t>
      </w:r>
      <w:r w:rsidRPr="00AB5028">
        <w:rPr>
          <w:rFonts w:eastAsia="Calibri" w:cs="Times New Roman"/>
          <w:szCs w:val="24"/>
        </w:rPr>
        <w:t>, priežiūrą ir skirtingų valiutų taisykles;</w:t>
      </w:r>
    </w:p>
    <w:p w:rsidR="002764C2" w:rsidRPr="00AB5028" w:rsidRDefault="002764C2" w:rsidP="002764C2">
      <w:pPr>
        <w:numPr>
          <w:ilvl w:val="0"/>
          <w:numId w:val="19"/>
        </w:numPr>
        <w:spacing w:after="0" w:line="240" w:lineRule="auto"/>
        <w:contextualSpacing/>
        <w:jc w:val="both"/>
        <w:rPr>
          <w:rFonts w:eastAsia="Calibri" w:cs="Times New Roman"/>
          <w:szCs w:val="24"/>
        </w:rPr>
      </w:pPr>
      <w:r w:rsidRPr="00AB5028">
        <w:rPr>
          <w:rFonts w:eastAsia="Calibri" w:cs="Times New Roman"/>
          <w:szCs w:val="24"/>
        </w:rPr>
        <w:t xml:space="preserve">Tikslinė </w:t>
      </w:r>
      <w:r w:rsidRPr="00AB5028">
        <w:rPr>
          <w:rFonts w:eastAsia="Calibri" w:cs="Times New Roman"/>
          <w:b/>
          <w:szCs w:val="24"/>
        </w:rPr>
        <w:t>CRD 2</w:t>
      </w:r>
      <w:r w:rsidRPr="00AB5028">
        <w:rPr>
          <w:rFonts w:eastAsia="Calibri" w:cs="Times New Roman"/>
          <w:szCs w:val="24"/>
        </w:rPr>
        <w:t xml:space="preserve"> peržiūra;</w:t>
      </w:r>
    </w:p>
    <w:p w:rsidR="002764C2" w:rsidRPr="00DB79E7" w:rsidRDefault="002764C2" w:rsidP="002764C2">
      <w:pPr>
        <w:numPr>
          <w:ilvl w:val="0"/>
          <w:numId w:val="19"/>
        </w:numPr>
        <w:spacing w:after="0" w:line="240" w:lineRule="auto"/>
        <w:contextualSpacing/>
        <w:jc w:val="both"/>
        <w:rPr>
          <w:rFonts w:eastAsia="Calibri" w:cs="Times New Roman"/>
          <w:szCs w:val="24"/>
        </w:rPr>
      </w:pPr>
      <w:r w:rsidRPr="00AB5028">
        <w:rPr>
          <w:rFonts w:eastAsia="Calibri" w:cs="Times New Roman"/>
          <w:szCs w:val="24"/>
        </w:rPr>
        <w:t>Sutartinių sąlygų standartizavimas debesų kompiuterijos paslaugoms, kurias teikia ES finansų operatoriai.</w:t>
      </w:r>
    </w:p>
    <w:p w:rsidR="002764C2" w:rsidRPr="00AB5028" w:rsidRDefault="002764C2" w:rsidP="002764C2">
      <w:pPr>
        <w:numPr>
          <w:ilvl w:val="0"/>
          <w:numId w:val="18"/>
        </w:numPr>
        <w:spacing w:after="0" w:line="240" w:lineRule="auto"/>
        <w:ind w:left="644"/>
        <w:contextualSpacing/>
        <w:jc w:val="both"/>
        <w:rPr>
          <w:rFonts w:eastAsia="Calibri" w:cs="Times New Roman"/>
          <w:szCs w:val="24"/>
        </w:rPr>
      </w:pPr>
      <w:r w:rsidRPr="00AB5028">
        <w:rPr>
          <w:rFonts w:eastAsia="Calibri" w:cs="Times New Roman"/>
          <w:i/>
          <w:szCs w:val="24"/>
        </w:rPr>
        <w:t xml:space="preserve">mažmeniniai investuotojai </w:t>
      </w:r>
      <w:r w:rsidRPr="00AB5028">
        <w:rPr>
          <w:rFonts w:eastAsia="Calibri" w:cs="Times New Roman"/>
          <w:szCs w:val="24"/>
        </w:rPr>
        <w:t>–</w:t>
      </w:r>
    </w:p>
    <w:p w:rsidR="002764C2" w:rsidRPr="00AB5028" w:rsidRDefault="002764C2" w:rsidP="002764C2">
      <w:pPr>
        <w:numPr>
          <w:ilvl w:val="0"/>
          <w:numId w:val="19"/>
        </w:numPr>
        <w:spacing w:after="0" w:line="240" w:lineRule="auto"/>
        <w:contextualSpacing/>
        <w:jc w:val="both"/>
        <w:rPr>
          <w:rFonts w:eastAsia="Calibri" w:cs="Times New Roman"/>
          <w:szCs w:val="24"/>
        </w:rPr>
      </w:pPr>
      <w:r w:rsidRPr="00AB5028">
        <w:rPr>
          <w:rFonts w:eastAsia="Calibri" w:cs="Times New Roman"/>
          <w:b/>
          <w:szCs w:val="24"/>
        </w:rPr>
        <w:t>Pensijų stebėjimo sistemos</w:t>
      </w:r>
      <w:r w:rsidRPr="00AB5028">
        <w:rPr>
          <w:rFonts w:eastAsia="Calibri" w:cs="Times New Roman"/>
          <w:szCs w:val="24"/>
        </w:rPr>
        <w:t xml:space="preserve"> (</w:t>
      </w:r>
      <w:r w:rsidRPr="00AB5028">
        <w:rPr>
          <w:rFonts w:eastAsia="Calibri" w:cs="Times New Roman"/>
          <w:i/>
          <w:szCs w:val="24"/>
        </w:rPr>
        <w:t>pension dashboar</w:t>
      </w:r>
      <w:r w:rsidRPr="00AB5028">
        <w:rPr>
          <w:rFonts w:eastAsia="Calibri" w:cs="Times New Roman"/>
          <w:szCs w:val="24"/>
        </w:rPr>
        <w:t>d) asmenims ir automatinio įtraukimo į profesinį pensijų kaupimą įtvirtinimas;</w:t>
      </w:r>
    </w:p>
    <w:p w:rsidR="002764C2" w:rsidRPr="00AB5028" w:rsidRDefault="002764C2" w:rsidP="002764C2">
      <w:pPr>
        <w:numPr>
          <w:ilvl w:val="0"/>
          <w:numId w:val="19"/>
        </w:numPr>
        <w:spacing w:after="0" w:line="240" w:lineRule="auto"/>
        <w:contextualSpacing/>
        <w:jc w:val="both"/>
        <w:rPr>
          <w:rFonts w:eastAsia="Calibri" w:cs="Times New Roman"/>
          <w:szCs w:val="24"/>
        </w:rPr>
      </w:pPr>
      <w:r w:rsidRPr="00AB5028">
        <w:rPr>
          <w:rFonts w:eastAsia="Calibri" w:cs="Times New Roman"/>
          <w:b/>
          <w:szCs w:val="24"/>
        </w:rPr>
        <w:t>Finansinio raštingumo</w:t>
      </w:r>
      <w:r w:rsidRPr="00AB5028">
        <w:rPr>
          <w:rFonts w:eastAsia="Calibri" w:cs="Times New Roman"/>
          <w:szCs w:val="24"/>
        </w:rPr>
        <w:t xml:space="preserve"> ir asmenų įsitraukimo didinimas teisėkūros ir ne teisėkūros priemonėmis;</w:t>
      </w:r>
    </w:p>
    <w:p w:rsidR="002764C2" w:rsidRPr="00AB5028" w:rsidRDefault="002764C2" w:rsidP="002764C2">
      <w:pPr>
        <w:numPr>
          <w:ilvl w:val="0"/>
          <w:numId w:val="19"/>
        </w:numPr>
        <w:spacing w:after="0" w:line="240" w:lineRule="auto"/>
        <w:contextualSpacing/>
        <w:jc w:val="both"/>
        <w:rPr>
          <w:rFonts w:eastAsia="Calibri" w:cs="Times New Roman"/>
          <w:szCs w:val="24"/>
        </w:rPr>
      </w:pPr>
      <w:r w:rsidRPr="00AB5028">
        <w:rPr>
          <w:rFonts w:eastAsia="Calibri" w:cs="Times New Roman"/>
          <w:b/>
          <w:szCs w:val="24"/>
        </w:rPr>
        <w:t xml:space="preserve">IDD, MiFID II </w:t>
      </w:r>
      <w:r w:rsidRPr="00AB5028">
        <w:rPr>
          <w:rFonts w:eastAsia="Calibri" w:cs="Times New Roman"/>
          <w:szCs w:val="24"/>
        </w:rPr>
        <w:t>tobulinimas didinant skaidrumą, savanoriško pan-europinio finansų patarėjų kokybės ženklo sukūrimas;</w:t>
      </w:r>
    </w:p>
    <w:p w:rsidR="002764C2" w:rsidRPr="00DB79E7" w:rsidRDefault="002764C2" w:rsidP="002764C2">
      <w:pPr>
        <w:numPr>
          <w:ilvl w:val="0"/>
          <w:numId w:val="19"/>
        </w:numPr>
        <w:spacing w:after="0" w:line="240" w:lineRule="auto"/>
        <w:contextualSpacing/>
        <w:jc w:val="both"/>
        <w:rPr>
          <w:rFonts w:eastAsia="Calibri" w:cs="Times New Roman"/>
          <w:szCs w:val="24"/>
        </w:rPr>
      </w:pPr>
      <w:r w:rsidRPr="00AB5028">
        <w:rPr>
          <w:rFonts w:eastAsia="Calibri" w:cs="Times New Roman"/>
          <w:b/>
          <w:szCs w:val="24"/>
        </w:rPr>
        <w:t>Atvirojo finansavimo</w:t>
      </w:r>
      <w:r w:rsidRPr="00AB5028">
        <w:rPr>
          <w:rFonts w:eastAsia="Calibri" w:cs="Times New Roman"/>
          <w:szCs w:val="24"/>
        </w:rPr>
        <w:t xml:space="preserve"> reguliavimo sistemos, apimančios finansinę ir tik nefinansinę informaciją, reikalingą finansiniam planavimui, investicijų skatinimui (pvz. ESG lengvatos, tinkamumo vertinimas), siekiant skatinti geresnę konkurenciją tarp paslaugų teikėjų.</w:t>
      </w:r>
    </w:p>
    <w:p w:rsidR="002764C2" w:rsidRPr="00AB5028" w:rsidRDefault="002764C2" w:rsidP="002764C2">
      <w:pPr>
        <w:numPr>
          <w:ilvl w:val="0"/>
          <w:numId w:val="18"/>
        </w:numPr>
        <w:spacing w:after="0" w:line="240" w:lineRule="auto"/>
        <w:ind w:left="644"/>
        <w:contextualSpacing/>
        <w:jc w:val="both"/>
        <w:rPr>
          <w:rFonts w:eastAsia="Calibri" w:cs="Times New Roman"/>
          <w:i/>
          <w:szCs w:val="24"/>
        </w:rPr>
      </w:pPr>
      <w:r w:rsidRPr="00AB5028">
        <w:rPr>
          <w:rFonts w:eastAsia="Calibri" w:cs="Times New Roman"/>
          <w:i/>
          <w:szCs w:val="24"/>
        </w:rPr>
        <w:t xml:space="preserve">Tarpvalstybinio investavimo palengvinimas – </w:t>
      </w:r>
    </w:p>
    <w:p w:rsidR="002764C2" w:rsidRPr="00AB5028" w:rsidRDefault="002764C2" w:rsidP="002764C2">
      <w:pPr>
        <w:numPr>
          <w:ilvl w:val="0"/>
          <w:numId w:val="19"/>
        </w:numPr>
        <w:spacing w:after="0" w:line="240" w:lineRule="auto"/>
        <w:contextualSpacing/>
        <w:jc w:val="both"/>
        <w:rPr>
          <w:rFonts w:eastAsia="Calibri" w:cs="Times New Roman"/>
          <w:szCs w:val="24"/>
        </w:rPr>
      </w:pPr>
      <w:r w:rsidRPr="00AB5028">
        <w:rPr>
          <w:rFonts w:eastAsia="Calibri" w:cs="Times New Roman"/>
          <w:b/>
          <w:szCs w:val="24"/>
        </w:rPr>
        <w:t>Mokestinių sąvokų</w:t>
      </w:r>
      <w:r w:rsidRPr="00AB5028">
        <w:rPr>
          <w:rFonts w:eastAsia="Calibri" w:cs="Times New Roman"/>
          <w:szCs w:val="24"/>
        </w:rPr>
        <w:t xml:space="preserve">, procesų ir formų suderinimas ir standartizuotos pelno mokesčio prie pajamų šaltinio lengvatos įtvirtinimas; </w:t>
      </w:r>
    </w:p>
    <w:p w:rsidR="002764C2" w:rsidRPr="00AB5028" w:rsidRDefault="002764C2" w:rsidP="002764C2">
      <w:pPr>
        <w:numPr>
          <w:ilvl w:val="0"/>
          <w:numId w:val="19"/>
        </w:numPr>
        <w:spacing w:after="0" w:line="240" w:lineRule="auto"/>
        <w:contextualSpacing/>
        <w:jc w:val="both"/>
        <w:rPr>
          <w:rFonts w:eastAsia="Calibri" w:cs="Times New Roman"/>
          <w:szCs w:val="24"/>
        </w:rPr>
      </w:pPr>
      <w:r w:rsidRPr="00AB5028">
        <w:rPr>
          <w:rFonts w:eastAsia="Calibri" w:cs="Times New Roman"/>
          <w:szCs w:val="24"/>
        </w:rPr>
        <w:t>Tikslinis pagrindinių bendrovių nemokumo teisės elementų suderinimas;</w:t>
      </w:r>
    </w:p>
    <w:p w:rsidR="002764C2" w:rsidRPr="00AB5028" w:rsidRDefault="002764C2" w:rsidP="002764C2">
      <w:pPr>
        <w:numPr>
          <w:ilvl w:val="0"/>
          <w:numId w:val="19"/>
        </w:numPr>
        <w:spacing w:after="0" w:line="240" w:lineRule="auto"/>
        <w:contextualSpacing/>
        <w:jc w:val="both"/>
        <w:rPr>
          <w:rFonts w:eastAsia="Calibri" w:cs="Times New Roman"/>
          <w:szCs w:val="24"/>
        </w:rPr>
      </w:pPr>
      <w:r w:rsidRPr="00AB5028">
        <w:rPr>
          <w:rFonts w:eastAsia="Calibri" w:cs="Times New Roman"/>
          <w:b/>
          <w:szCs w:val="24"/>
        </w:rPr>
        <w:t>Teisėkūros pakeitimai</w:t>
      </w:r>
      <w:r w:rsidRPr="00AB5028">
        <w:rPr>
          <w:rFonts w:eastAsia="Calibri" w:cs="Times New Roman"/>
          <w:szCs w:val="24"/>
        </w:rPr>
        <w:t>, skirti sustiprinti ESMA ir EIOPA valdymą, įgaliojimus ir priemones.</w:t>
      </w:r>
    </w:p>
    <w:p w:rsidR="000A3B2A" w:rsidRPr="00DF5308" w:rsidRDefault="000A3B2A" w:rsidP="000A3B2A">
      <w:pPr>
        <w:spacing w:after="0" w:line="240" w:lineRule="auto"/>
        <w:contextualSpacing/>
        <w:jc w:val="both"/>
        <w:rPr>
          <w:rFonts w:eastAsia="Times New Roman" w:cs="Times New Roman"/>
          <w:b/>
          <w:szCs w:val="24"/>
          <w:u w:val="single"/>
          <w:lang w:eastAsia="fr-BE"/>
        </w:rPr>
      </w:pPr>
    </w:p>
    <w:p w:rsidR="002764C2" w:rsidRPr="00DF5308" w:rsidRDefault="000A3B2A" w:rsidP="002764C2">
      <w:pPr>
        <w:spacing w:after="0" w:line="240" w:lineRule="auto"/>
        <w:contextualSpacing/>
        <w:jc w:val="both"/>
        <w:rPr>
          <w:rFonts w:eastAsia="Times New Roman" w:cs="Times New Roman"/>
          <w:color w:val="000000"/>
          <w:szCs w:val="24"/>
          <w:lang w:eastAsia="lt-LT"/>
        </w:rPr>
      </w:pPr>
      <w:r w:rsidRPr="00DF5308">
        <w:rPr>
          <w:rFonts w:eastAsia="Times New Roman" w:cs="Times New Roman"/>
          <w:b/>
          <w:color w:val="000000"/>
          <w:szCs w:val="24"/>
          <w:u w:val="single"/>
          <w:lang w:eastAsia="lt-LT"/>
        </w:rPr>
        <w:lastRenderedPageBreak/>
        <w:t>Lietuvos pozicija.</w:t>
      </w:r>
      <w:r w:rsidR="002764C2" w:rsidRPr="00AB5028">
        <w:rPr>
          <w:szCs w:val="24"/>
        </w:rPr>
        <w:t xml:space="preserve"> </w:t>
      </w:r>
      <w:r w:rsidR="002764C2" w:rsidRPr="00DF5308">
        <w:rPr>
          <w:rFonts w:eastAsia="Times New Roman" w:cs="Times New Roman"/>
          <w:color w:val="000000"/>
          <w:szCs w:val="24"/>
          <w:lang w:eastAsia="lt-LT"/>
        </w:rPr>
        <w:t>Pritariame Aukšto lygio forumo veiklai ir sveikiname pateiktas išsamias rekomendacijas dėl veiksmingų konkrečių priemonių tolesniam CMU gilinimui.</w:t>
      </w:r>
    </w:p>
    <w:p w:rsidR="002764C2" w:rsidRPr="00DF5308" w:rsidRDefault="002764C2" w:rsidP="002764C2">
      <w:pPr>
        <w:spacing w:after="0" w:line="240" w:lineRule="auto"/>
        <w:contextualSpacing/>
        <w:jc w:val="both"/>
        <w:rPr>
          <w:rFonts w:eastAsia="Times New Roman" w:cs="Times New Roman"/>
          <w:color w:val="000000"/>
          <w:szCs w:val="24"/>
          <w:lang w:eastAsia="lt-LT"/>
        </w:rPr>
      </w:pPr>
      <w:r w:rsidRPr="00DF5308">
        <w:rPr>
          <w:rFonts w:eastAsia="Times New Roman" w:cs="Times New Roman"/>
          <w:color w:val="000000"/>
          <w:szCs w:val="24"/>
          <w:lang w:eastAsia="lt-LT"/>
        </w:rPr>
        <w:t>Pritariame, kad aiškesnės suderintos taisyklės dėl kripto ir skaitmeninio turto užkirs kelią valstybių narių rinkų fragmentacijai ir prisidės įgyvendinant CMU tikslus.</w:t>
      </w:r>
    </w:p>
    <w:p w:rsidR="002764C2" w:rsidRPr="00DF5308" w:rsidRDefault="002764C2" w:rsidP="002764C2">
      <w:pPr>
        <w:spacing w:after="0" w:line="240" w:lineRule="auto"/>
        <w:contextualSpacing/>
        <w:jc w:val="both"/>
        <w:rPr>
          <w:rFonts w:eastAsia="Times New Roman" w:cs="Times New Roman"/>
          <w:color w:val="000000"/>
          <w:szCs w:val="24"/>
          <w:lang w:eastAsia="lt-LT"/>
        </w:rPr>
      </w:pPr>
      <w:r w:rsidRPr="00DF5308">
        <w:rPr>
          <w:rFonts w:eastAsia="Times New Roman" w:cs="Times New Roman"/>
          <w:color w:val="000000"/>
          <w:szCs w:val="24"/>
          <w:lang w:eastAsia="lt-LT"/>
        </w:rPr>
        <w:t>Manome, kad tiek Brexit, tiek klimato kaitos ir tvaraus vystymosi iššūkių kontekste svarbu didelį dėmesį skirti palankios aplinkos, kuri leistų vystytis inovacijoms, technologijoms ir skaitmeninimui finansų sektoriuje, užtikrinimui ir būtinybei sukurti technologiškai neutralią finansų rinkų reguliavimo sistemą. Taip pat labai svarbu ir toliau ieškoti būdų skatinti tvarų finansavimą, užtikrinti kuo didesnę SVV prieigą prie kapitalo rinkos bei didinti piliečių finansinį švietimą.</w:t>
      </w:r>
    </w:p>
    <w:p w:rsidR="000A3B2A" w:rsidRPr="00DF5308" w:rsidRDefault="002764C2" w:rsidP="002764C2">
      <w:pPr>
        <w:spacing w:after="0" w:line="240" w:lineRule="auto"/>
        <w:contextualSpacing/>
        <w:jc w:val="both"/>
        <w:rPr>
          <w:rFonts w:eastAsia="Times New Roman" w:cs="Times New Roman"/>
          <w:szCs w:val="24"/>
          <w:lang w:eastAsia="fr-BE"/>
        </w:rPr>
      </w:pPr>
      <w:r w:rsidRPr="00DF5308">
        <w:rPr>
          <w:rFonts w:eastAsia="Times New Roman" w:cs="Times New Roman"/>
          <w:color w:val="000000"/>
          <w:szCs w:val="24"/>
          <w:lang w:eastAsia="lt-LT"/>
        </w:rPr>
        <w:t>Lietuva ne kartą yra pasisakiusi, kad Europos priežiūros institucijų klausimas neturėtų būti atvertas. Europos priežiūros institucijos turi užtikrinti vienodas priežiūros praktikas valstybėse narėse.</w:t>
      </w:r>
    </w:p>
    <w:p w:rsidR="000A3B2A" w:rsidRPr="000A3B2A" w:rsidRDefault="000A3B2A" w:rsidP="000A3B2A">
      <w:pPr>
        <w:spacing w:after="0" w:line="240" w:lineRule="auto"/>
        <w:contextualSpacing/>
        <w:jc w:val="both"/>
        <w:rPr>
          <w:rFonts w:eastAsia="Times New Roman" w:cs="Times New Roman"/>
          <w:color w:val="000000"/>
          <w:szCs w:val="24"/>
          <w:lang w:eastAsia="lt-LT"/>
        </w:rPr>
      </w:pPr>
    </w:p>
    <w:p w:rsidR="000A3B2A" w:rsidRPr="000A3B2A" w:rsidRDefault="000A3B2A" w:rsidP="00A207C8">
      <w:pPr>
        <w:spacing w:after="0" w:line="240" w:lineRule="auto"/>
        <w:jc w:val="center"/>
        <w:rPr>
          <w:rFonts w:eastAsia="Calibri" w:cs="Times New Roman"/>
          <w:b/>
          <w:szCs w:val="24"/>
        </w:rPr>
      </w:pPr>
    </w:p>
    <w:p w:rsidR="000A3B2A" w:rsidRPr="000A3B2A" w:rsidRDefault="000A3B2A" w:rsidP="00A207C8">
      <w:pPr>
        <w:spacing w:after="0" w:line="240" w:lineRule="auto"/>
        <w:jc w:val="center"/>
        <w:rPr>
          <w:rFonts w:eastAsia="Calibri" w:cs="Times New Roman"/>
          <w:b/>
          <w:szCs w:val="24"/>
        </w:rPr>
      </w:pPr>
    </w:p>
    <w:p w:rsidR="00A207C8" w:rsidRPr="000A3B2A" w:rsidRDefault="00A207C8" w:rsidP="00A207C8">
      <w:pPr>
        <w:spacing w:after="0" w:line="240" w:lineRule="auto"/>
        <w:jc w:val="center"/>
        <w:rPr>
          <w:rFonts w:eastAsia="Calibri" w:cs="Times New Roman"/>
          <w:b/>
          <w:szCs w:val="24"/>
        </w:rPr>
      </w:pPr>
      <w:r w:rsidRPr="000A3B2A">
        <w:rPr>
          <w:rFonts w:eastAsia="Calibri" w:cs="Times New Roman"/>
          <w:b/>
          <w:szCs w:val="24"/>
        </w:rPr>
        <w:t xml:space="preserve">PAŽYMA </w:t>
      </w:r>
    </w:p>
    <w:p w:rsidR="00A207C8" w:rsidRPr="000A3B2A" w:rsidRDefault="00A207C8" w:rsidP="00A207C8">
      <w:pPr>
        <w:spacing w:after="0" w:line="240" w:lineRule="auto"/>
        <w:jc w:val="center"/>
        <w:rPr>
          <w:rFonts w:eastAsia="Calibri" w:cs="Times New Roman"/>
          <w:b/>
          <w:szCs w:val="24"/>
        </w:rPr>
      </w:pPr>
      <w:r w:rsidRPr="000A3B2A">
        <w:rPr>
          <w:rFonts w:eastAsia="Calibri" w:cs="Times New Roman"/>
          <w:b/>
          <w:szCs w:val="24"/>
        </w:rPr>
        <w:t>Dėl š. m. liepos 9 d. EURO grupės vaizdo konferencijoje svarstomų klausimų</w:t>
      </w:r>
    </w:p>
    <w:p w:rsidR="00FE5B40" w:rsidRPr="000A3B2A" w:rsidRDefault="00FE5B40" w:rsidP="00FE5B40">
      <w:pPr>
        <w:spacing w:after="0" w:line="240" w:lineRule="auto"/>
        <w:jc w:val="center"/>
        <w:rPr>
          <w:rFonts w:eastAsia="Calibri" w:cs="Times New Roman"/>
          <w:szCs w:val="24"/>
        </w:rPr>
      </w:pPr>
    </w:p>
    <w:p w:rsidR="00FE5B40" w:rsidRPr="000A3B2A" w:rsidRDefault="00FE5B40" w:rsidP="00FE5B40">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Pr>
          <w:rFonts w:cs="Times New Roman"/>
          <w:b/>
          <w:szCs w:val="24"/>
        </w:rPr>
        <w:t>Komisijos tarpinių vasaros prognozių pristatymas</w:t>
      </w:r>
    </w:p>
    <w:p w:rsidR="00FE5B40" w:rsidRPr="000A3B2A" w:rsidRDefault="00FE5B40" w:rsidP="00FE5B40">
      <w:pPr>
        <w:spacing w:after="0" w:line="240" w:lineRule="auto"/>
        <w:jc w:val="both"/>
        <w:rPr>
          <w:rFonts w:cs="Times New Roman"/>
          <w:b/>
          <w:szCs w:val="24"/>
          <w:u w:val="single"/>
          <w:lang w:eastAsia="lt-LT" w:bidi="lt-LT"/>
        </w:rPr>
      </w:pPr>
    </w:p>
    <w:p w:rsidR="00FE5B40" w:rsidRPr="000A3014" w:rsidRDefault="00FE5B40" w:rsidP="00FE5B40">
      <w:pPr>
        <w:spacing w:after="0" w:line="240" w:lineRule="auto"/>
        <w:contextualSpacing/>
        <w:jc w:val="both"/>
        <w:rPr>
          <w:rFonts w:cs="Times New Roman"/>
          <w:szCs w:val="24"/>
          <w:lang w:eastAsia="lt-LT" w:bidi="lt-LT"/>
        </w:rPr>
      </w:pPr>
      <w:r w:rsidRPr="000A3B2A">
        <w:rPr>
          <w:rFonts w:cs="Times New Roman"/>
          <w:b/>
          <w:szCs w:val="24"/>
          <w:u w:val="single"/>
          <w:lang w:eastAsia="lt-LT" w:bidi="lt-LT"/>
        </w:rPr>
        <w:t>Klausimo esmė.</w:t>
      </w:r>
      <w:r w:rsidRPr="000A3B2A">
        <w:rPr>
          <w:rFonts w:cs="Times New Roman"/>
          <w:b/>
          <w:szCs w:val="24"/>
          <w:lang w:eastAsia="lt-LT" w:bidi="lt-LT"/>
        </w:rPr>
        <w:t xml:space="preserve"> </w:t>
      </w:r>
      <w:r>
        <w:rPr>
          <w:rFonts w:cs="Times New Roman"/>
          <w:szCs w:val="24"/>
          <w:lang w:eastAsia="lt-LT" w:bidi="lt-LT"/>
        </w:rPr>
        <w:t>Komisija pristatys savo tarpines vasaros prognozes, kurios dar nėra paskelbtos.</w:t>
      </w:r>
    </w:p>
    <w:p w:rsidR="00FE5B40" w:rsidRPr="000A3B2A" w:rsidRDefault="00FE5B40" w:rsidP="00FE5B40">
      <w:pPr>
        <w:spacing w:after="0" w:line="240" w:lineRule="auto"/>
        <w:contextualSpacing/>
        <w:jc w:val="both"/>
        <w:rPr>
          <w:rFonts w:cs="Times New Roman"/>
          <w:szCs w:val="24"/>
          <w:lang w:eastAsia="lt-LT" w:bidi="lt-LT"/>
        </w:rPr>
      </w:pPr>
    </w:p>
    <w:p w:rsidR="00FE5B40" w:rsidRDefault="00FE5B40" w:rsidP="00FE5B40">
      <w:pPr>
        <w:spacing w:after="0" w:line="240" w:lineRule="auto"/>
        <w:jc w:val="both"/>
        <w:rPr>
          <w:rFonts w:cs="Times New Roman"/>
          <w:b/>
          <w:szCs w:val="24"/>
          <w:u w:val="single"/>
          <w:lang w:eastAsia="lt-LT" w:bidi="lt-LT"/>
        </w:rPr>
      </w:pPr>
    </w:p>
    <w:p w:rsidR="0047419C" w:rsidRDefault="0047419C" w:rsidP="00FE5B40">
      <w:pPr>
        <w:spacing w:after="0" w:line="240" w:lineRule="auto"/>
        <w:jc w:val="both"/>
        <w:rPr>
          <w:rFonts w:cs="Times New Roman"/>
          <w:b/>
          <w:szCs w:val="24"/>
          <w:u w:val="single"/>
          <w:lang w:eastAsia="lt-LT" w:bidi="lt-LT"/>
        </w:rPr>
      </w:pPr>
    </w:p>
    <w:p w:rsidR="00FE5B40" w:rsidRPr="000A3B2A" w:rsidRDefault="00FE5B40" w:rsidP="00FE5B40">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Pr>
          <w:rFonts w:cs="Times New Roman"/>
          <w:b/>
          <w:szCs w:val="24"/>
        </w:rPr>
        <w:t xml:space="preserve">Euro zonos biudžetų situacija ir fiskalinė padėtis </w:t>
      </w:r>
    </w:p>
    <w:p w:rsidR="00FE5B40" w:rsidRPr="000A3B2A" w:rsidRDefault="00FE5B40" w:rsidP="00FE5B40">
      <w:pPr>
        <w:spacing w:after="0" w:line="240" w:lineRule="auto"/>
        <w:jc w:val="both"/>
        <w:rPr>
          <w:rFonts w:cs="Times New Roman"/>
          <w:b/>
          <w:szCs w:val="24"/>
          <w:u w:val="single"/>
          <w:lang w:eastAsia="lt-LT" w:bidi="lt-LT"/>
        </w:rPr>
      </w:pPr>
    </w:p>
    <w:p w:rsidR="00AB5028" w:rsidRDefault="00FE5B40" w:rsidP="00FE5B40">
      <w:pPr>
        <w:spacing w:after="0" w:line="240" w:lineRule="auto"/>
        <w:contextualSpacing/>
        <w:jc w:val="both"/>
        <w:rPr>
          <w:rFonts w:cs="Times New Roman"/>
          <w:szCs w:val="24"/>
        </w:rPr>
      </w:pPr>
      <w:r w:rsidRPr="000A3B2A">
        <w:rPr>
          <w:rFonts w:cs="Times New Roman"/>
          <w:b/>
          <w:szCs w:val="24"/>
          <w:u w:val="single"/>
          <w:lang w:eastAsia="lt-LT" w:bidi="lt-LT"/>
        </w:rPr>
        <w:t>Klausimo esmė.</w:t>
      </w:r>
      <w:r w:rsidRPr="000A3B2A">
        <w:rPr>
          <w:rFonts w:cs="Times New Roman"/>
          <w:b/>
          <w:szCs w:val="24"/>
          <w:lang w:eastAsia="lt-LT" w:bidi="lt-LT"/>
        </w:rPr>
        <w:t xml:space="preserve"> </w:t>
      </w:r>
      <w:r w:rsidRPr="000A3014">
        <w:rPr>
          <w:rFonts w:cs="Times New Roman"/>
          <w:szCs w:val="24"/>
        </w:rPr>
        <w:t>2021 m. Europos fiskalinė valdyba</w:t>
      </w:r>
      <w:r w:rsidR="00C4696A">
        <w:rPr>
          <w:rFonts w:cs="Times New Roman"/>
          <w:szCs w:val="24"/>
        </w:rPr>
        <w:t xml:space="preserve"> (toliau - EFV)</w:t>
      </w:r>
      <w:r w:rsidRPr="000A3014">
        <w:rPr>
          <w:rFonts w:cs="Times New Roman"/>
          <w:szCs w:val="24"/>
        </w:rPr>
        <w:t xml:space="preserve"> </w:t>
      </w:r>
      <w:r w:rsidR="00C4696A">
        <w:rPr>
          <w:rFonts w:cs="Times New Roman"/>
          <w:szCs w:val="24"/>
        </w:rPr>
        <w:t xml:space="preserve">pristatys Euro zonos fiskalinės padėties 2021 m. vertinimą. EFV </w:t>
      </w:r>
      <w:r w:rsidRPr="000A3014">
        <w:rPr>
          <w:rFonts w:cs="Times New Roman"/>
          <w:szCs w:val="24"/>
        </w:rPr>
        <w:t xml:space="preserve">rekomenduoja ir toliau teikti fiskalinę paramą ekonomikai. </w:t>
      </w:r>
    </w:p>
    <w:p w:rsidR="00FE5B40" w:rsidRPr="000A3014" w:rsidRDefault="00AB5028" w:rsidP="00FE5B40">
      <w:pPr>
        <w:spacing w:after="0" w:line="240" w:lineRule="auto"/>
        <w:contextualSpacing/>
        <w:jc w:val="both"/>
        <w:rPr>
          <w:rFonts w:cs="Times New Roman"/>
          <w:szCs w:val="24"/>
        </w:rPr>
      </w:pPr>
      <w:r w:rsidRPr="00DB79E7">
        <w:rPr>
          <w:rFonts w:cs="Times New Roman"/>
          <w:b/>
          <w:szCs w:val="24"/>
        </w:rPr>
        <w:t>EFV vertinimas</w:t>
      </w:r>
      <w:r>
        <w:rPr>
          <w:rFonts w:cs="Times New Roman"/>
          <w:b/>
          <w:szCs w:val="24"/>
        </w:rPr>
        <w:t>.</w:t>
      </w:r>
      <w:r>
        <w:rPr>
          <w:rFonts w:cs="Times New Roman"/>
          <w:szCs w:val="24"/>
        </w:rPr>
        <w:t xml:space="preserve"> </w:t>
      </w:r>
      <w:r w:rsidR="00FE5B40" w:rsidRPr="000A3014">
        <w:rPr>
          <w:rFonts w:cs="Times New Roman"/>
          <w:szCs w:val="24"/>
        </w:rPr>
        <w:t>Šiuo metu Vyriausybės jau priėmė diskrecin</w:t>
      </w:r>
      <w:r w:rsidR="00AF01BF">
        <w:rPr>
          <w:rFonts w:cs="Times New Roman"/>
          <w:szCs w:val="24"/>
        </w:rPr>
        <w:t>ių</w:t>
      </w:r>
      <w:r w:rsidR="00FE5B40" w:rsidRPr="000A3014">
        <w:rPr>
          <w:rFonts w:cs="Times New Roman"/>
          <w:szCs w:val="24"/>
        </w:rPr>
        <w:t xml:space="preserve"> fiskalin</w:t>
      </w:r>
      <w:r w:rsidR="00AF01BF">
        <w:rPr>
          <w:rFonts w:cs="Times New Roman"/>
          <w:szCs w:val="24"/>
        </w:rPr>
        <w:t>ių</w:t>
      </w:r>
      <w:r w:rsidR="00FE5B40" w:rsidRPr="000A3014">
        <w:rPr>
          <w:rFonts w:cs="Times New Roman"/>
          <w:szCs w:val="24"/>
        </w:rPr>
        <w:t xml:space="preserve"> priemon</w:t>
      </w:r>
      <w:r w:rsidR="00AF01BF">
        <w:rPr>
          <w:rFonts w:cs="Times New Roman"/>
          <w:szCs w:val="24"/>
        </w:rPr>
        <w:t>ių, kurios sudaro</w:t>
      </w:r>
      <w:r w:rsidR="00FE5B40" w:rsidRPr="000A3014">
        <w:rPr>
          <w:rFonts w:cs="Times New Roman"/>
          <w:szCs w:val="24"/>
        </w:rPr>
        <w:t xml:space="preserve"> apytiksliai 3,25</w:t>
      </w:r>
      <w:r w:rsidR="00FE5B40" w:rsidRPr="000A3014">
        <w:rPr>
          <w:rFonts w:cs="Times New Roman"/>
          <w:szCs w:val="24"/>
          <w:lang w:val="en-US"/>
        </w:rPr>
        <w:t>%</w:t>
      </w:r>
      <w:r w:rsidR="00FE5B40" w:rsidRPr="000A3014">
        <w:rPr>
          <w:rFonts w:cs="Times New Roman"/>
          <w:szCs w:val="24"/>
        </w:rPr>
        <w:t xml:space="preserve"> BVP, papildomai prie automatinių stabilizatorių, kurie sudaro </w:t>
      </w:r>
      <w:r w:rsidR="00AF01BF">
        <w:rPr>
          <w:rFonts w:cs="Times New Roman"/>
          <w:szCs w:val="24"/>
        </w:rPr>
        <w:t>apie</w:t>
      </w:r>
      <w:r w:rsidR="00DB79E7">
        <w:rPr>
          <w:rFonts w:cs="Times New Roman"/>
          <w:szCs w:val="24"/>
        </w:rPr>
        <w:t xml:space="preserve"> </w:t>
      </w:r>
      <w:r w:rsidR="00FE5B40" w:rsidRPr="000A3014">
        <w:rPr>
          <w:rFonts w:cs="Times New Roman"/>
          <w:szCs w:val="24"/>
        </w:rPr>
        <w:t>5</w:t>
      </w:r>
      <w:r w:rsidR="00FE5B40" w:rsidRPr="000A3014">
        <w:rPr>
          <w:rFonts w:cs="Times New Roman"/>
          <w:szCs w:val="24"/>
          <w:lang w:val="en-US"/>
        </w:rPr>
        <w:t>%</w:t>
      </w:r>
      <w:r w:rsidR="00FE5B40" w:rsidRPr="000A3014">
        <w:rPr>
          <w:rFonts w:cs="Times New Roman"/>
          <w:szCs w:val="24"/>
        </w:rPr>
        <w:t xml:space="preserve"> BVP. Neseniai paskelbti FR ir DE planai gali 2020 m. diskrecinių priemonių mastą pastūmėti iki 4</w:t>
      </w:r>
      <w:r w:rsidR="00FE5B40" w:rsidRPr="000A3014">
        <w:rPr>
          <w:rFonts w:cs="Times New Roman"/>
          <w:szCs w:val="24"/>
          <w:lang w:val="en-US"/>
        </w:rPr>
        <w:t xml:space="preserve">% </w:t>
      </w:r>
      <w:r w:rsidR="00FE5B40" w:rsidRPr="000A3014">
        <w:rPr>
          <w:rFonts w:cs="Times New Roman"/>
          <w:szCs w:val="24"/>
        </w:rPr>
        <w:t>EZ BVP ar daugiau.</w:t>
      </w:r>
    </w:p>
    <w:p w:rsidR="00FE5B40" w:rsidRPr="000A3014" w:rsidRDefault="00FE5B40" w:rsidP="00FE5B40">
      <w:pPr>
        <w:spacing w:after="0" w:line="240" w:lineRule="auto"/>
        <w:contextualSpacing/>
        <w:jc w:val="both"/>
        <w:rPr>
          <w:rFonts w:cs="Times New Roman"/>
          <w:szCs w:val="24"/>
        </w:rPr>
      </w:pPr>
      <w:r w:rsidRPr="000A3014">
        <w:rPr>
          <w:rFonts w:cs="Times New Roman"/>
          <w:szCs w:val="24"/>
        </w:rPr>
        <w:t>Didžiąją dalį diskrecinių paramos priemonių planuojama panaikinti 2021 m., o t</w:t>
      </w:r>
      <w:r w:rsidRPr="00DB79E7">
        <w:rPr>
          <w:rFonts w:cs="Times New Roman"/>
          <w:szCs w:val="24"/>
        </w:rPr>
        <w:t>ai paliks reikšmingą atotrūkį tarp</w:t>
      </w:r>
      <w:r w:rsidR="00AB5028" w:rsidRPr="00DB79E7">
        <w:rPr>
          <w:rFonts w:cs="Times New Roman"/>
          <w:szCs w:val="24"/>
        </w:rPr>
        <w:t xml:space="preserve"> BVP</w:t>
      </w:r>
      <w:r w:rsidRPr="00DB79E7">
        <w:rPr>
          <w:rFonts w:cs="Times New Roman"/>
          <w:szCs w:val="24"/>
        </w:rPr>
        <w:t xml:space="preserve"> augimo trajektorijos, kurios buvo tikėtasi 2020 m. pradžioje</w:t>
      </w:r>
      <w:r w:rsidR="00DB79E7" w:rsidRPr="00DB79E7">
        <w:rPr>
          <w:rFonts w:cs="Times New Roman"/>
          <w:szCs w:val="24"/>
        </w:rPr>
        <w:t>,</w:t>
      </w:r>
      <w:r w:rsidRPr="00DB79E7">
        <w:rPr>
          <w:rFonts w:cs="Times New Roman"/>
          <w:szCs w:val="24"/>
        </w:rPr>
        <w:t xml:space="preserve"> ir tos</w:t>
      </w:r>
      <w:r w:rsidR="00AB5028" w:rsidRPr="00DB79E7">
        <w:rPr>
          <w:rFonts w:cs="Times New Roman"/>
          <w:szCs w:val="24"/>
        </w:rPr>
        <w:t xml:space="preserve"> BVP augimo trajektorijos</w:t>
      </w:r>
      <w:r w:rsidR="00DB79E7" w:rsidRPr="00DB79E7">
        <w:rPr>
          <w:rFonts w:cs="Times New Roman"/>
          <w:szCs w:val="24"/>
        </w:rPr>
        <w:t>,</w:t>
      </w:r>
      <w:r w:rsidRPr="00DB79E7">
        <w:rPr>
          <w:rFonts w:cs="Times New Roman"/>
          <w:szCs w:val="24"/>
        </w:rPr>
        <w:t xml:space="preserve"> kokia tikėtina </w:t>
      </w:r>
      <w:r w:rsidR="00AB5028" w:rsidRPr="00DB79E7">
        <w:rPr>
          <w:rFonts w:cs="Times New Roman"/>
          <w:szCs w:val="24"/>
        </w:rPr>
        <w:t>nutraukus diskrecines paramos priemones</w:t>
      </w:r>
      <w:r w:rsidRPr="00DB79E7">
        <w:rPr>
          <w:rFonts w:cs="Times New Roman"/>
          <w:szCs w:val="24"/>
        </w:rPr>
        <w:t>.</w:t>
      </w:r>
      <w:r w:rsidRPr="000A3014">
        <w:rPr>
          <w:rFonts w:cs="Times New Roman"/>
          <w:szCs w:val="24"/>
        </w:rPr>
        <w:t xml:space="preserve"> Dėl to</w:t>
      </w:r>
      <w:r w:rsidR="00AF01BF">
        <w:rPr>
          <w:rFonts w:cs="Times New Roman"/>
          <w:szCs w:val="24"/>
        </w:rPr>
        <w:t xml:space="preserve">, </w:t>
      </w:r>
      <w:r w:rsidR="00AB5028">
        <w:rPr>
          <w:rFonts w:cs="Times New Roman"/>
          <w:szCs w:val="24"/>
        </w:rPr>
        <w:t>EFV</w:t>
      </w:r>
      <w:r w:rsidR="00AF01BF">
        <w:rPr>
          <w:rFonts w:cs="Times New Roman"/>
          <w:szCs w:val="24"/>
        </w:rPr>
        <w:t xml:space="preserve"> vertinimu,</w:t>
      </w:r>
      <w:r w:rsidRPr="000A3014">
        <w:rPr>
          <w:rFonts w:cs="Times New Roman"/>
          <w:szCs w:val="24"/>
        </w:rPr>
        <w:t xml:space="preserve"> yra poreikis kitais metais pratęsti diskrecinę fiskalinę paramą nacionaliniu lygmeniu, kurios pagrindas ar papildas galėtų būti paskelbtos iniciatyvos ES lygmeniu.</w:t>
      </w:r>
    </w:p>
    <w:p w:rsidR="000A7ECC" w:rsidRPr="00DB79E7" w:rsidRDefault="00C4696A" w:rsidP="00FE5B40">
      <w:pPr>
        <w:spacing w:after="0" w:line="240" w:lineRule="auto"/>
        <w:contextualSpacing/>
        <w:jc w:val="both"/>
        <w:rPr>
          <w:rFonts w:cs="Times New Roman"/>
          <w:szCs w:val="24"/>
        </w:rPr>
      </w:pPr>
      <w:r>
        <w:rPr>
          <w:rFonts w:cs="Times New Roman"/>
          <w:szCs w:val="24"/>
        </w:rPr>
        <w:t xml:space="preserve">EFV vertinimu, </w:t>
      </w:r>
      <w:r w:rsidR="00FE5B40" w:rsidRPr="000A3014">
        <w:rPr>
          <w:rFonts w:cs="Times New Roman"/>
          <w:szCs w:val="24"/>
        </w:rPr>
        <w:t xml:space="preserve">Stabilumo ir augimo pakto </w:t>
      </w:r>
      <w:r>
        <w:rPr>
          <w:rFonts w:cs="Times New Roman"/>
          <w:szCs w:val="24"/>
        </w:rPr>
        <w:t xml:space="preserve">bendrosios </w:t>
      </w:r>
      <w:r w:rsidR="00FE5B40" w:rsidRPr="000A3014">
        <w:rPr>
          <w:rFonts w:cs="Times New Roman"/>
          <w:szCs w:val="24"/>
        </w:rPr>
        <w:t xml:space="preserve">išlygos (GEC) aktyvavimas buvo visiškai </w:t>
      </w:r>
      <w:r w:rsidR="00FE5B40" w:rsidRPr="00DB79E7">
        <w:rPr>
          <w:rFonts w:cs="Times New Roman"/>
          <w:szCs w:val="24"/>
        </w:rPr>
        <w:t xml:space="preserve">pateisinamas. Nepaisant to, siekiant </w:t>
      </w:r>
      <w:r w:rsidR="00AB5028" w:rsidRPr="00DB79E7">
        <w:rPr>
          <w:rFonts w:cs="Times New Roman"/>
          <w:szCs w:val="24"/>
        </w:rPr>
        <w:t xml:space="preserve">didesnio užtikrintumo ir </w:t>
      </w:r>
      <w:r w:rsidR="00FE5B40" w:rsidRPr="00DB79E7">
        <w:rPr>
          <w:rFonts w:cs="Times New Roman"/>
          <w:szCs w:val="24"/>
        </w:rPr>
        <w:t>efektyvumo, aktyvuojant</w:t>
      </w:r>
      <w:r w:rsidR="00AB5028" w:rsidRPr="00DB79E7">
        <w:rPr>
          <w:rFonts w:cs="Times New Roman"/>
          <w:szCs w:val="24"/>
        </w:rPr>
        <w:t xml:space="preserve"> GEC</w:t>
      </w:r>
      <w:r w:rsidR="00FE5B40" w:rsidRPr="00DB79E7">
        <w:rPr>
          <w:rFonts w:cs="Times New Roman"/>
          <w:szCs w:val="24"/>
        </w:rPr>
        <w:t xml:space="preserve"> turėjo būti geriau paaiškinta, kad</w:t>
      </w:r>
      <w:r w:rsidR="000A7ECC" w:rsidRPr="00DB79E7">
        <w:rPr>
          <w:rFonts w:cs="Times New Roman"/>
          <w:szCs w:val="24"/>
        </w:rPr>
        <w:t>a ir kokiomis sąlygomis</w:t>
      </w:r>
      <w:r w:rsidR="00FE5B40" w:rsidRPr="00DB79E7">
        <w:rPr>
          <w:rFonts w:cs="Times New Roman"/>
          <w:szCs w:val="24"/>
        </w:rPr>
        <w:t xml:space="preserve"> planuojamas GEC išjungimas arba galiojimo peržiūra. Paaiškinimas turėtų būti pateiktas vėliausiai 2021 m. pavasarį. </w:t>
      </w:r>
    </w:p>
    <w:p w:rsidR="00FE5B40" w:rsidRPr="000A3014" w:rsidRDefault="000A7ECC" w:rsidP="00FE5B40">
      <w:pPr>
        <w:spacing w:after="0" w:line="240" w:lineRule="auto"/>
        <w:contextualSpacing/>
        <w:jc w:val="both"/>
        <w:rPr>
          <w:rFonts w:cs="Times New Roman"/>
          <w:szCs w:val="24"/>
        </w:rPr>
      </w:pPr>
      <w:r w:rsidRPr="00DB79E7">
        <w:rPr>
          <w:rFonts w:cs="Times New Roman"/>
          <w:szCs w:val="24"/>
        </w:rPr>
        <w:t>Šiandieniniame kontekste, v</w:t>
      </w:r>
      <w:r w:rsidR="00FE5B40" w:rsidRPr="00DB79E7">
        <w:rPr>
          <w:rFonts w:cs="Times New Roman"/>
          <w:szCs w:val="24"/>
        </w:rPr>
        <w:t>ertinant ekonominio nuosmukio pasibaigimą nereikėtų vadovautis</w:t>
      </w:r>
      <w:r w:rsidRPr="00DB79E7">
        <w:rPr>
          <w:rFonts w:cs="Times New Roman"/>
          <w:szCs w:val="24"/>
        </w:rPr>
        <w:t xml:space="preserve"> realaus</w:t>
      </w:r>
      <w:r w:rsidR="00FE5B40" w:rsidRPr="00DB79E7">
        <w:rPr>
          <w:rFonts w:cs="Times New Roman"/>
          <w:szCs w:val="24"/>
        </w:rPr>
        <w:t xml:space="preserve"> BVP augim</w:t>
      </w:r>
      <w:r w:rsidRPr="00DB79E7">
        <w:rPr>
          <w:rFonts w:cs="Times New Roman"/>
          <w:szCs w:val="24"/>
        </w:rPr>
        <w:t>o procentu</w:t>
      </w:r>
      <w:r w:rsidR="00FE5B40" w:rsidRPr="00DB79E7">
        <w:rPr>
          <w:rFonts w:cs="Times New Roman"/>
          <w:szCs w:val="24"/>
        </w:rPr>
        <w:t>, geriau naudoti prieš krizę buvusį</w:t>
      </w:r>
      <w:r w:rsidRPr="00DB79E7">
        <w:rPr>
          <w:rFonts w:cs="Times New Roman"/>
          <w:szCs w:val="24"/>
        </w:rPr>
        <w:t xml:space="preserve"> realaus</w:t>
      </w:r>
      <w:r w:rsidR="00FE5B40" w:rsidRPr="00DB79E7">
        <w:rPr>
          <w:rFonts w:cs="Times New Roman"/>
          <w:szCs w:val="24"/>
        </w:rPr>
        <w:t xml:space="preserve"> BVP </w:t>
      </w:r>
      <w:r w:rsidRPr="00DB79E7">
        <w:rPr>
          <w:rFonts w:cs="Times New Roman"/>
          <w:szCs w:val="24"/>
        </w:rPr>
        <w:t>dydį</w:t>
      </w:r>
      <w:r w:rsidR="00DB79E7" w:rsidRPr="00DB79E7">
        <w:rPr>
          <w:rFonts w:cs="Times New Roman"/>
          <w:szCs w:val="24"/>
        </w:rPr>
        <w:t>, nes kitais</w:t>
      </w:r>
      <w:r w:rsidR="00FE5B40" w:rsidRPr="00DB79E7">
        <w:rPr>
          <w:rFonts w:cs="Times New Roman"/>
          <w:szCs w:val="24"/>
        </w:rPr>
        <w:t xml:space="preserve"> metais</w:t>
      </w:r>
      <w:r w:rsidRPr="00DB79E7">
        <w:rPr>
          <w:rFonts w:cs="Times New Roman"/>
          <w:szCs w:val="24"/>
        </w:rPr>
        <w:t xml:space="preserve"> realaus</w:t>
      </w:r>
      <w:r w:rsidR="00FE5B40" w:rsidRPr="00DB79E7">
        <w:rPr>
          <w:rFonts w:cs="Times New Roman"/>
          <w:szCs w:val="24"/>
        </w:rPr>
        <w:t xml:space="preserve"> BVP augimo </w:t>
      </w:r>
      <w:r w:rsidRPr="00DB79E7">
        <w:rPr>
          <w:rFonts w:cs="Times New Roman"/>
          <w:szCs w:val="24"/>
        </w:rPr>
        <w:t>procentas bus aukštas dėl įvykusio didelio nuosmukio</w:t>
      </w:r>
      <w:r w:rsidR="00DB79E7" w:rsidRPr="00DB79E7">
        <w:rPr>
          <w:rFonts w:cs="Times New Roman"/>
          <w:szCs w:val="24"/>
        </w:rPr>
        <w:t xml:space="preserve"> šiais metais.</w:t>
      </w:r>
      <w:r w:rsidRPr="00DB79E7">
        <w:rPr>
          <w:rFonts w:cs="Times New Roman"/>
          <w:szCs w:val="24"/>
        </w:rPr>
        <w:t xml:space="preserve"> </w:t>
      </w:r>
      <w:r w:rsidR="00DB79E7" w:rsidRPr="00DB79E7">
        <w:rPr>
          <w:rFonts w:cs="Times New Roman"/>
          <w:szCs w:val="24"/>
        </w:rPr>
        <w:t>T</w:t>
      </w:r>
      <w:r w:rsidRPr="00DB79E7">
        <w:rPr>
          <w:rFonts w:cs="Times New Roman"/>
          <w:szCs w:val="24"/>
        </w:rPr>
        <w:t xml:space="preserve">ai nereiškia, kad </w:t>
      </w:r>
      <w:r w:rsidR="002D4A2E" w:rsidRPr="00DB79E7">
        <w:rPr>
          <w:rFonts w:cs="Times New Roman"/>
          <w:szCs w:val="24"/>
        </w:rPr>
        <w:t>įvyks pilnas atsigavimas ir bus sugrįžta į tą pačią BVP augimo trajektoriją kaip iki krizės.</w:t>
      </w:r>
      <w:r w:rsidRPr="00DB79E7">
        <w:rPr>
          <w:rFonts w:cs="Times New Roman"/>
          <w:szCs w:val="24"/>
        </w:rPr>
        <w:t xml:space="preserve"> </w:t>
      </w:r>
    </w:p>
    <w:p w:rsidR="00FE5B40" w:rsidRPr="000A3014" w:rsidRDefault="00C4696A" w:rsidP="00FE5B40">
      <w:pPr>
        <w:spacing w:after="0" w:line="240" w:lineRule="auto"/>
        <w:contextualSpacing/>
        <w:jc w:val="both"/>
        <w:rPr>
          <w:rFonts w:cs="Times New Roman"/>
          <w:szCs w:val="24"/>
        </w:rPr>
      </w:pPr>
      <w:r>
        <w:rPr>
          <w:rFonts w:cs="Times New Roman"/>
          <w:szCs w:val="24"/>
        </w:rPr>
        <w:t xml:space="preserve">Rengiant </w:t>
      </w:r>
      <w:r w:rsidR="00FE5B40" w:rsidRPr="000A3014">
        <w:rPr>
          <w:rFonts w:cs="Times New Roman"/>
          <w:szCs w:val="24"/>
        </w:rPr>
        <w:t>2021 m. Biudžetų plan</w:t>
      </w:r>
      <w:r w:rsidR="00DB79E7">
        <w:rPr>
          <w:rFonts w:cs="Times New Roman"/>
          <w:szCs w:val="24"/>
        </w:rPr>
        <w:t xml:space="preserve">us, </w:t>
      </w:r>
      <w:r>
        <w:rPr>
          <w:rFonts w:cs="Times New Roman"/>
          <w:szCs w:val="24"/>
        </w:rPr>
        <w:t>prioritetas turėtų būti teikiamas</w:t>
      </w:r>
      <w:r w:rsidR="00AB5028">
        <w:rPr>
          <w:rFonts w:cs="Times New Roman"/>
          <w:szCs w:val="24"/>
        </w:rPr>
        <w:t xml:space="preserve"> </w:t>
      </w:r>
      <w:r w:rsidR="00FE5B40" w:rsidRPr="000A3014">
        <w:rPr>
          <w:rFonts w:cs="Times New Roman"/>
          <w:szCs w:val="24"/>
        </w:rPr>
        <w:t>valstybės investicijoms ir augimą skatinančioms valstybės išlaidoms</w:t>
      </w:r>
      <w:r>
        <w:rPr>
          <w:rFonts w:cs="Times New Roman"/>
          <w:szCs w:val="24"/>
        </w:rPr>
        <w:t>,</w:t>
      </w:r>
      <w:r w:rsidR="00DB79E7">
        <w:rPr>
          <w:rFonts w:cs="Times New Roman"/>
          <w:szCs w:val="24"/>
        </w:rPr>
        <w:t xml:space="preserve"> </w:t>
      </w:r>
      <w:r>
        <w:rPr>
          <w:rFonts w:cs="Times New Roman"/>
          <w:szCs w:val="24"/>
        </w:rPr>
        <w:t>t</w:t>
      </w:r>
      <w:r w:rsidR="00FE5B40" w:rsidRPr="000A3014">
        <w:rPr>
          <w:rFonts w:cs="Times New Roman"/>
          <w:szCs w:val="24"/>
        </w:rPr>
        <w:t xml:space="preserve">ačiau </w:t>
      </w:r>
      <w:r>
        <w:rPr>
          <w:rFonts w:cs="Times New Roman"/>
          <w:szCs w:val="24"/>
        </w:rPr>
        <w:t xml:space="preserve">kiekviena šalis turėtų atsižvelgti į savo </w:t>
      </w:r>
      <w:r w:rsidR="00FE5B40" w:rsidRPr="000A3014">
        <w:rPr>
          <w:rFonts w:cs="Times New Roman"/>
          <w:szCs w:val="24"/>
        </w:rPr>
        <w:t xml:space="preserve"> situacij</w:t>
      </w:r>
      <w:r>
        <w:rPr>
          <w:rFonts w:cs="Times New Roman"/>
          <w:szCs w:val="24"/>
        </w:rPr>
        <w:t>ą</w:t>
      </w:r>
      <w:r w:rsidR="00FE5B40" w:rsidRPr="000A3014">
        <w:rPr>
          <w:rFonts w:cs="Times New Roman"/>
          <w:szCs w:val="24"/>
        </w:rPr>
        <w:t>. Taip pat turi būti pasinaudota egzis</w:t>
      </w:r>
      <w:r w:rsidR="00DB79E7">
        <w:rPr>
          <w:rFonts w:cs="Times New Roman"/>
          <w:szCs w:val="24"/>
        </w:rPr>
        <w:t xml:space="preserve">tuojančiais ir būsimais ES ir Euro zonos </w:t>
      </w:r>
      <w:r w:rsidR="00FE5B40" w:rsidRPr="000A3014">
        <w:rPr>
          <w:rFonts w:cs="Times New Roman"/>
          <w:szCs w:val="24"/>
        </w:rPr>
        <w:t>lygmens instrumentais.</w:t>
      </w:r>
    </w:p>
    <w:p w:rsidR="00FE5B40" w:rsidRPr="000A3014" w:rsidRDefault="00FE5B40" w:rsidP="00FE5B40">
      <w:pPr>
        <w:spacing w:after="0" w:line="240" w:lineRule="auto"/>
        <w:contextualSpacing/>
        <w:jc w:val="both"/>
        <w:rPr>
          <w:rFonts w:cs="Times New Roman"/>
          <w:szCs w:val="24"/>
          <w:lang w:eastAsia="lt-LT" w:bidi="lt-LT"/>
        </w:rPr>
      </w:pPr>
      <w:r w:rsidRPr="000A3014">
        <w:rPr>
          <w:rFonts w:cs="Times New Roman"/>
          <w:szCs w:val="24"/>
        </w:rPr>
        <w:t xml:space="preserve">Ši pandemija dar kartą </w:t>
      </w:r>
      <w:r w:rsidR="00DB79E7">
        <w:rPr>
          <w:rFonts w:cs="Times New Roman"/>
          <w:szCs w:val="24"/>
        </w:rPr>
        <w:t>atskleidė, kad</w:t>
      </w:r>
      <w:r w:rsidR="00114907">
        <w:rPr>
          <w:rFonts w:cs="Times New Roman"/>
          <w:szCs w:val="24"/>
        </w:rPr>
        <w:t xml:space="preserve"> </w:t>
      </w:r>
      <w:r w:rsidRPr="000A3014">
        <w:rPr>
          <w:rFonts w:cs="Times New Roman"/>
          <w:szCs w:val="24"/>
        </w:rPr>
        <w:t>dideli</w:t>
      </w:r>
      <w:r w:rsidR="00114907">
        <w:rPr>
          <w:rFonts w:cs="Times New Roman"/>
          <w:szCs w:val="24"/>
        </w:rPr>
        <w:t>ų</w:t>
      </w:r>
      <w:r w:rsidRPr="000A3014">
        <w:rPr>
          <w:rFonts w:cs="Times New Roman"/>
          <w:szCs w:val="24"/>
        </w:rPr>
        <w:t xml:space="preserve"> ekonomini</w:t>
      </w:r>
      <w:r w:rsidR="00114907">
        <w:rPr>
          <w:rFonts w:cs="Times New Roman"/>
          <w:szCs w:val="24"/>
        </w:rPr>
        <w:t>ų</w:t>
      </w:r>
      <w:r w:rsidR="00AB5028">
        <w:rPr>
          <w:rFonts w:cs="Times New Roman"/>
          <w:szCs w:val="24"/>
        </w:rPr>
        <w:t xml:space="preserve"> </w:t>
      </w:r>
      <w:r w:rsidRPr="000A3014">
        <w:rPr>
          <w:rFonts w:cs="Times New Roman"/>
          <w:szCs w:val="24"/>
        </w:rPr>
        <w:t>sukrėtim</w:t>
      </w:r>
      <w:r w:rsidR="00114907">
        <w:rPr>
          <w:rFonts w:cs="Times New Roman"/>
          <w:szCs w:val="24"/>
        </w:rPr>
        <w:t>ų</w:t>
      </w:r>
      <w:r w:rsidRPr="000A3014">
        <w:rPr>
          <w:rFonts w:cs="Times New Roman"/>
          <w:szCs w:val="24"/>
        </w:rPr>
        <w:t xml:space="preserve"> </w:t>
      </w:r>
      <w:r w:rsidR="00114907">
        <w:rPr>
          <w:rFonts w:cs="Times New Roman"/>
          <w:szCs w:val="24"/>
        </w:rPr>
        <w:t xml:space="preserve">situacijose trūksta </w:t>
      </w:r>
      <w:r w:rsidRPr="000A3014">
        <w:rPr>
          <w:rFonts w:cs="Times New Roman"/>
          <w:szCs w:val="24"/>
        </w:rPr>
        <w:t>bendrų instrumentų</w:t>
      </w:r>
      <w:r w:rsidR="00114907">
        <w:rPr>
          <w:rFonts w:cs="Times New Roman"/>
          <w:szCs w:val="24"/>
        </w:rPr>
        <w:t xml:space="preserve"> ir </w:t>
      </w:r>
      <w:r w:rsidRPr="000A3014">
        <w:rPr>
          <w:rFonts w:cs="Times New Roman"/>
          <w:szCs w:val="24"/>
        </w:rPr>
        <w:t>centrinių fiskalinių pajėgumų</w:t>
      </w:r>
      <w:r w:rsidR="00114907">
        <w:rPr>
          <w:rFonts w:cs="Times New Roman"/>
          <w:szCs w:val="24"/>
        </w:rPr>
        <w:t>,</w:t>
      </w:r>
      <w:r w:rsidRPr="000A3014">
        <w:rPr>
          <w:rFonts w:cs="Times New Roman"/>
          <w:szCs w:val="24"/>
        </w:rPr>
        <w:t xml:space="preserve"> suteikiančių </w:t>
      </w:r>
      <w:r w:rsidR="00114907">
        <w:rPr>
          <w:rFonts w:cs="Times New Roman"/>
          <w:szCs w:val="24"/>
        </w:rPr>
        <w:t>ES g</w:t>
      </w:r>
      <w:r w:rsidR="00114907" w:rsidRPr="000A3014">
        <w:rPr>
          <w:rFonts w:cs="Times New Roman"/>
          <w:szCs w:val="24"/>
        </w:rPr>
        <w:t xml:space="preserve">alimybę </w:t>
      </w:r>
      <w:r w:rsidRPr="000A3014">
        <w:rPr>
          <w:rFonts w:cs="Times New Roman"/>
          <w:szCs w:val="24"/>
        </w:rPr>
        <w:t>skolintis reikšmingas sumas rinko</w:t>
      </w:r>
      <w:r w:rsidR="00114907">
        <w:rPr>
          <w:rFonts w:cs="Times New Roman"/>
          <w:szCs w:val="24"/>
        </w:rPr>
        <w:t>s</w:t>
      </w:r>
      <w:r w:rsidRPr="000A3014">
        <w:rPr>
          <w:rFonts w:cs="Times New Roman"/>
          <w:szCs w:val="24"/>
        </w:rPr>
        <w:t xml:space="preserve">e. </w:t>
      </w:r>
      <w:r w:rsidRPr="00AB5028">
        <w:rPr>
          <w:rFonts w:cs="Times New Roman"/>
          <w:szCs w:val="24"/>
        </w:rPr>
        <w:t>Pastarojo laikotarpio iniciatyvos (SURE,</w:t>
      </w:r>
      <w:r w:rsidR="00DB79E7">
        <w:rPr>
          <w:rFonts w:cs="Times New Roman"/>
          <w:szCs w:val="24"/>
        </w:rPr>
        <w:t xml:space="preserve"> </w:t>
      </w:r>
      <w:r w:rsidR="00114907">
        <w:rPr>
          <w:rFonts w:cs="Times New Roman"/>
          <w:szCs w:val="24"/>
        </w:rPr>
        <w:t>RRF</w:t>
      </w:r>
      <w:r w:rsidRPr="00AB5028">
        <w:rPr>
          <w:rFonts w:cs="Times New Roman"/>
          <w:szCs w:val="24"/>
        </w:rPr>
        <w:t>) juda teisinga linkme, tačiau jos turėtų pavirsti nuolatiniu fiskaliniu instrumentu, kad būtų įmanoma laiku reaguoti į tokius sukrėtimus.</w:t>
      </w:r>
    </w:p>
    <w:p w:rsidR="00FE5B40" w:rsidRPr="000A3B2A" w:rsidRDefault="00FE5B40" w:rsidP="00FE5B40">
      <w:pPr>
        <w:spacing w:after="0" w:line="240" w:lineRule="auto"/>
        <w:contextualSpacing/>
        <w:jc w:val="both"/>
        <w:rPr>
          <w:rFonts w:cs="Times New Roman"/>
          <w:szCs w:val="24"/>
          <w:lang w:eastAsia="lt-LT" w:bidi="lt-LT"/>
        </w:rPr>
      </w:pPr>
      <w:r w:rsidRPr="000A3B2A">
        <w:rPr>
          <w:rFonts w:cs="Times New Roman"/>
          <w:b/>
          <w:szCs w:val="24"/>
          <w:u w:val="single"/>
          <w:lang w:eastAsia="lt-LT" w:bidi="lt-LT"/>
        </w:rPr>
        <w:t>Lietuvos pozicija.</w:t>
      </w:r>
      <w:r w:rsidRPr="000A3B2A">
        <w:rPr>
          <w:rFonts w:cs="Times New Roman"/>
          <w:szCs w:val="24"/>
          <w:lang w:eastAsia="lt-LT" w:bidi="lt-LT"/>
        </w:rPr>
        <w:t xml:space="preserve"> </w:t>
      </w:r>
      <w:r w:rsidR="00114907">
        <w:rPr>
          <w:rFonts w:cs="Times New Roman"/>
          <w:szCs w:val="24"/>
          <w:lang w:eastAsia="lt-LT" w:bidi="lt-LT"/>
        </w:rPr>
        <w:t>Sutinkame, kad šiuo metu fiskalinis stimulas yra būtinas, bet turime pla</w:t>
      </w:r>
      <w:r w:rsidR="00DB79E7">
        <w:rPr>
          <w:rFonts w:cs="Times New Roman"/>
          <w:szCs w:val="24"/>
          <w:lang w:eastAsia="lt-LT" w:bidi="lt-LT"/>
        </w:rPr>
        <w:t>nuoti ir grįžimą į tvarų kelią.</w:t>
      </w:r>
      <w:r w:rsidR="00114907">
        <w:rPr>
          <w:rFonts w:cs="Times New Roman"/>
          <w:szCs w:val="24"/>
          <w:lang w:eastAsia="lt-LT" w:bidi="lt-LT"/>
        </w:rPr>
        <w:t xml:space="preserve"> Skatinant ekonomiką</w:t>
      </w:r>
      <w:r w:rsidR="00DB79E7">
        <w:rPr>
          <w:rFonts w:cs="Times New Roman"/>
          <w:szCs w:val="24"/>
          <w:lang w:eastAsia="lt-LT" w:bidi="lt-LT"/>
        </w:rPr>
        <w:t>,</w:t>
      </w:r>
      <w:r w:rsidR="00114907">
        <w:rPr>
          <w:rFonts w:cs="Times New Roman"/>
          <w:szCs w:val="24"/>
          <w:lang w:eastAsia="lt-LT" w:bidi="lt-LT"/>
        </w:rPr>
        <w:t xml:space="preserve"> svarbu nepamiršti tvaraus ekonomikos augimo tikslo. </w:t>
      </w:r>
      <w:r>
        <w:rPr>
          <w:rFonts w:cs="Times New Roman"/>
          <w:color w:val="000000"/>
          <w:szCs w:val="24"/>
        </w:rPr>
        <w:t xml:space="preserve">Šiuo </w:t>
      </w:r>
      <w:r>
        <w:rPr>
          <w:rFonts w:cs="Times New Roman"/>
          <w:color w:val="000000"/>
          <w:szCs w:val="24"/>
        </w:rPr>
        <w:lastRenderedPageBreak/>
        <w:t>metu turime daug įvairių dėl COVID pasiūlytų laikinų instrumentų, tad nėra tinkamas laikas atnaujinti sunkias diskusijas dėl bendro nuolatinio fiskalinio instrumento.</w:t>
      </w:r>
    </w:p>
    <w:p w:rsidR="00FE5B40" w:rsidRDefault="00FE5B40" w:rsidP="00FE5B40">
      <w:pPr>
        <w:spacing w:after="0" w:line="240" w:lineRule="auto"/>
        <w:contextualSpacing/>
        <w:jc w:val="both"/>
        <w:rPr>
          <w:rFonts w:cs="Times New Roman"/>
          <w:szCs w:val="24"/>
          <w:lang w:eastAsia="lt-LT" w:bidi="lt-LT"/>
        </w:rPr>
      </w:pPr>
    </w:p>
    <w:p w:rsidR="00FE5B40" w:rsidRPr="000A3B2A" w:rsidRDefault="00FE5B40" w:rsidP="00FE5B40">
      <w:pPr>
        <w:pBdr>
          <w:top w:val="single" w:sz="4" w:space="0" w:color="auto"/>
          <w:left w:val="single" w:sz="4" w:space="4" w:color="auto"/>
          <w:bottom w:val="single" w:sz="4" w:space="0" w:color="auto"/>
          <w:right w:val="single" w:sz="4" w:space="4" w:color="auto"/>
        </w:pBdr>
        <w:shd w:val="clear" w:color="auto" w:fill="D9D9D9" w:themeFill="background1" w:themeFillShade="D9"/>
        <w:spacing w:after="0" w:line="240" w:lineRule="auto"/>
        <w:jc w:val="both"/>
        <w:rPr>
          <w:rFonts w:cs="Times New Roman"/>
          <w:b/>
          <w:szCs w:val="24"/>
        </w:rPr>
      </w:pPr>
      <w:r>
        <w:rPr>
          <w:rFonts w:cs="Times New Roman"/>
          <w:b/>
          <w:szCs w:val="24"/>
        </w:rPr>
        <w:t>Euro grupės (EG) pirmininko rinkimai</w:t>
      </w:r>
    </w:p>
    <w:p w:rsidR="00FE5B40" w:rsidRPr="000A3B2A" w:rsidRDefault="00FE5B40" w:rsidP="00FE5B40">
      <w:pPr>
        <w:spacing w:after="0" w:line="240" w:lineRule="auto"/>
        <w:jc w:val="both"/>
        <w:rPr>
          <w:rFonts w:cs="Times New Roman"/>
          <w:b/>
          <w:szCs w:val="24"/>
          <w:u w:val="single"/>
          <w:lang w:eastAsia="lt-LT" w:bidi="lt-LT"/>
        </w:rPr>
      </w:pPr>
    </w:p>
    <w:p w:rsidR="00FE5B40" w:rsidRPr="00EB7EB1" w:rsidRDefault="00FE5B40" w:rsidP="00FE5B40">
      <w:pPr>
        <w:widowControl w:val="0"/>
        <w:spacing w:after="0" w:line="240" w:lineRule="auto"/>
        <w:jc w:val="both"/>
        <w:rPr>
          <w:rFonts w:eastAsia="Times New Roman" w:cs="Times New Roman"/>
          <w:color w:val="000000"/>
          <w:szCs w:val="24"/>
          <w:lang w:eastAsia="fr-BE"/>
        </w:rPr>
      </w:pPr>
      <w:r w:rsidRPr="000A3B2A">
        <w:rPr>
          <w:rFonts w:cs="Times New Roman"/>
          <w:b/>
          <w:szCs w:val="24"/>
          <w:u w:val="single"/>
          <w:lang w:eastAsia="lt-LT" w:bidi="lt-LT"/>
        </w:rPr>
        <w:t>Klausimo esmė.</w:t>
      </w:r>
      <w:r w:rsidRPr="000A3B2A">
        <w:rPr>
          <w:rFonts w:cs="Times New Roman"/>
          <w:b/>
          <w:szCs w:val="24"/>
          <w:lang w:eastAsia="lt-LT" w:bidi="lt-LT"/>
        </w:rPr>
        <w:t xml:space="preserve"> </w:t>
      </w:r>
      <w:r w:rsidR="00114907">
        <w:rPr>
          <w:rFonts w:cs="Times New Roman"/>
          <w:b/>
          <w:szCs w:val="24"/>
          <w:lang w:eastAsia="lt-LT" w:bidi="lt-LT"/>
        </w:rPr>
        <w:t xml:space="preserve">Kadangi </w:t>
      </w:r>
      <w:r w:rsidR="00114907" w:rsidRPr="00114907">
        <w:rPr>
          <w:rFonts w:cs="Times New Roman"/>
          <w:b/>
          <w:szCs w:val="24"/>
          <w:lang w:eastAsia="lt-LT" w:bidi="lt-LT"/>
        </w:rPr>
        <w:t>Liepos 12 d. baigiasi EG pareigas einančio Portugalijos finansų ministro Mário Centeno kadencija</w:t>
      </w:r>
      <w:r w:rsidR="00114907">
        <w:rPr>
          <w:rFonts w:cs="Times New Roman"/>
          <w:b/>
          <w:szCs w:val="24"/>
          <w:lang w:eastAsia="lt-LT" w:bidi="lt-LT"/>
        </w:rPr>
        <w:t>,</w:t>
      </w:r>
      <w:r w:rsidR="00114907" w:rsidRPr="00114907">
        <w:rPr>
          <w:rFonts w:cs="Times New Roman"/>
          <w:b/>
          <w:szCs w:val="24"/>
          <w:lang w:eastAsia="lt-LT" w:bidi="lt-LT"/>
        </w:rPr>
        <w:t xml:space="preserve"> </w:t>
      </w:r>
      <w:r w:rsidRPr="00EB7EB1">
        <w:rPr>
          <w:rFonts w:cs="Times New Roman"/>
          <w:szCs w:val="24"/>
          <w:lang w:eastAsia="lt-LT" w:bidi="lt-LT"/>
        </w:rPr>
        <w:t xml:space="preserve">EG bus </w:t>
      </w:r>
      <w:r w:rsidR="00114907">
        <w:rPr>
          <w:rFonts w:cs="Times New Roman"/>
          <w:szCs w:val="24"/>
          <w:lang w:eastAsia="lt-LT" w:bidi="lt-LT"/>
        </w:rPr>
        <w:t>renkamas naujas</w:t>
      </w:r>
      <w:r w:rsidR="00DB79E7">
        <w:rPr>
          <w:rFonts w:cs="Times New Roman"/>
          <w:szCs w:val="24"/>
          <w:lang w:eastAsia="lt-LT" w:bidi="lt-LT"/>
        </w:rPr>
        <w:t xml:space="preserve"> </w:t>
      </w:r>
      <w:r w:rsidRPr="00EB7EB1">
        <w:rPr>
          <w:rFonts w:eastAsia="Times New Roman" w:cs="Times New Roman"/>
          <w:color w:val="000000"/>
          <w:szCs w:val="24"/>
          <w:lang w:eastAsia="fr-BE"/>
        </w:rPr>
        <w:t>EG pirminink</w:t>
      </w:r>
      <w:r w:rsidR="00114907">
        <w:rPr>
          <w:rFonts w:eastAsia="Times New Roman" w:cs="Times New Roman"/>
          <w:color w:val="000000"/>
          <w:szCs w:val="24"/>
          <w:lang w:eastAsia="fr-BE"/>
        </w:rPr>
        <w:t>as</w:t>
      </w:r>
      <w:r w:rsidR="00DB79E7">
        <w:rPr>
          <w:rFonts w:eastAsia="Times New Roman" w:cs="Times New Roman"/>
          <w:color w:val="000000"/>
          <w:szCs w:val="24"/>
          <w:lang w:eastAsia="fr-BE"/>
        </w:rPr>
        <w:t>.</w:t>
      </w:r>
      <w:r w:rsidRPr="00EB7EB1">
        <w:rPr>
          <w:rFonts w:eastAsia="Times New Roman" w:cs="Times New Roman"/>
          <w:color w:val="000000"/>
          <w:szCs w:val="24"/>
          <w:lang w:eastAsia="fr-BE"/>
        </w:rPr>
        <w:t xml:space="preserve"> </w:t>
      </w:r>
      <w:r>
        <w:rPr>
          <w:rFonts w:eastAsia="Times New Roman" w:cs="Times New Roman"/>
          <w:bCs/>
          <w:color w:val="000000"/>
          <w:szCs w:val="24"/>
          <w:lang w:eastAsia="fr-BE"/>
        </w:rPr>
        <w:t>EG pirmininko posto siekia</w:t>
      </w:r>
      <w:r w:rsidRPr="00EB7EB1">
        <w:rPr>
          <w:rFonts w:eastAsia="Times New Roman" w:cs="Times New Roman"/>
          <w:bCs/>
          <w:color w:val="000000"/>
          <w:szCs w:val="24"/>
          <w:lang w:eastAsia="fr-BE"/>
        </w:rPr>
        <w:t xml:space="preserve"> trys kandidatai: </w:t>
      </w:r>
      <w:r w:rsidRPr="00EB7EB1">
        <w:rPr>
          <w:rFonts w:eastAsia="Times New Roman" w:cs="Times New Roman"/>
          <w:szCs w:val="24"/>
          <w:lang w:eastAsia="fr-BE"/>
        </w:rPr>
        <w:t>Ispanijos finansų ministrė Nadia Calviño, Liuksemburgo finansų ministras Pierre Gramegna, Airijos finansų ministras Paschal Donohoe</w:t>
      </w:r>
      <w:r w:rsidRPr="00EB7EB1">
        <w:rPr>
          <w:rFonts w:cs="Times New Roman"/>
          <w:szCs w:val="24"/>
        </w:rPr>
        <w:t xml:space="preserve">. </w:t>
      </w:r>
    </w:p>
    <w:p w:rsidR="00FE5B40" w:rsidRDefault="00FE5B40" w:rsidP="00FE5B40">
      <w:pPr>
        <w:spacing w:after="0" w:line="240" w:lineRule="auto"/>
        <w:contextualSpacing/>
        <w:jc w:val="both"/>
        <w:rPr>
          <w:rFonts w:eastAsia="Times New Roman" w:cs="Times New Roman"/>
          <w:szCs w:val="24"/>
          <w:shd w:val="clear" w:color="auto" w:fill="FFFFFF"/>
          <w:lang w:eastAsia="fr-BE"/>
        </w:rPr>
      </w:pPr>
      <w:r w:rsidRPr="00EB7EB1">
        <w:rPr>
          <w:rFonts w:eastAsia="Times New Roman" w:cs="Times New Roman"/>
          <w:color w:val="000000"/>
          <w:szCs w:val="24"/>
          <w:lang w:eastAsia="fr-BE"/>
        </w:rPr>
        <w:t xml:space="preserve">EG pirmininkas renkamas 2,5 m. kadencijai paprasta balsų dauguma. </w:t>
      </w:r>
      <w:r w:rsidRPr="00EB7EB1">
        <w:rPr>
          <w:rFonts w:eastAsia="Times New Roman" w:cs="Times New Roman"/>
          <w:szCs w:val="24"/>
          <w:shd w:val="clear" w:color="auto" w:fill="FFFFFF"/>
          <w:lang w:eastAsia="fr-BE"/>
        </w:rPr>
        <w:t xml:space="preserve">Balsuojant viena šalis turi vieną balsą. </w:t>
      </w:r>
    </w:p>
    <w:p w:rsidR="00DB79E7" w:rsidRDefault="00DB79E7" w:rsidP="00FE5B40">
      <w:pPr>
        <w:spacing w:after="0" w:line="240" w:lineRule="auto"/>
        <w:contextualSpacing/>
        <w:jc w:val="both"/>
        <w:rPr>
          <w:rFonts w:eastAsia="Times New Roman" w:cs="Times New Roman"/>
          <w:color w:val="000000"/>
          <w:szCs w:val="24"/>
          <w:lang w:eastAsia="fr-BE"/>
        </w:rPr>
      </w:pPr>
    </w:p>
    <w:p w:rsidR="00065E8C" w:rsidRDefault="00065E8C" w:rsidP="00065E8C">
      <w:pPr>
        <w:spacing w:line="240" w:lineRule="auto"/>
        <w:jc w:val="both"/>
      </w:pPr>
      <w:r w:rsidRPr="00065E8C">
        <w:rPr>
          <w:rStyle w:val="tlid-translation"/>
          <w:b/>
          <w:u w:val="single"/>
        </w:rPr>
        <w:t>Lietuvos pozicija.</w:t>
      </w:r>
      <w:r>
        <w:rPr>
          <w:rStyle w:val="tlid-translation"/>
        </w:rPr>
        <w:t xml:space="preserve"> Lietuvai svarbu, kad naujas EG pirmininkas ne tik sutelktų EG dėmesį ties atsigavimo po COVID-19 krizės strategija, bet ir atnaujintų diskusijas dėl Ekonominės pinigų sąjungos (EPS) gilinimo, ypač Bankų sąjungos ir ESM reformos užbaigimo klausimais. </w:t>
      </w:r>
      <w:r w:rsidR="00114907">
        <w:rPr>
          <w:rStyle w:val="tlid-translation"/>
        </w:rPr>
        <w:t>Svarbu, k</w:t>
      </w:r>
      <w:r>
        <w:rPr>
          <w:rStyle w:val="tlid-translation"/>
        </w:rPr>
        <w:t>ad diskusijos dėl EPS gilinimo ir toliau vyktų įtraukios sudėties EG,</w:t>
      </w:r>
      <w:r w:rsidR="00114907">
        <w:rPr>
          <w:rStyle w:val="tlid-translation"/>
        </w:rPr>
        <w:t xml:space="preserve"> nes daugelis klausimų yra aktualūs visoms VN. Taip pat </w:t>
      </w:r>
      <w:r w:rsidR="00114907" w:rsidRPr="00114907">
        <w:rPr>
          <w:rStyle w:val="tlid-translation"/>
        </w:rPr>
        <w:t xml:space="preserve">svarbu nepamiršti </w:t>
      </w:r>
      <w:r w:rsidR="00114907">
        <w:rPr>
          <w:rStyle w:val="tlid-translation"/>
        </w:rPr>
        <w:t xml:space="preserve">grįžimo prie </w:t>
      </w:r>
      <w:r w:rsidR="00114907" w:rsidRPr="00114907">
        <w:rPr>
          <w:rStyle w:val="tlid-translation"/>
        </w:rPr>
        <w:t>tvaraus ekonomikos augimo tikslo</w:t>
      </w:r>
      <w:r w:rsidR="00114907">
        <w:rPr>
          <w:rStyle w:val="tlid-translation"/>
        </w:rPr>
        <w:t>.</w:t>
      </w:r>
      <w:bookmarkStart w:id="1" w:name="_GoBack"/>
      <w:bookmarkEnd w:id="1"/>
    </w:p>
    <w:p w:rsidR="00065E8C" w:rsidRPr="000A3B2A" w:rsidRDefault="00065E8C" w:rsidP="00FE5B40">
      <w:pPr>
        <w:spacing w:after="0" w:line="240" w:lineRule="auto"/>
        <w:contextualSpacing/>
        <w:jc w:val="both"/>
        <w:rPr>
          <w:rFonts w:cs="Times New Roman"/>
          <w:szCs w:val="24"/>
          <w:lang w:eastAsia="lt-LT" w:bidi="lt-LT"/>
        </w:rPr>
      </w:pPr>
    </w:p>
    <w:p w:rsidR="00FE5B40" w:rsidRPr="00720C6E" w:rsidRDefault="00FE5B40" w:rsidP="004F5635">
      <w:pPr>
        <w:spacing w:after="0" w:line="240" w:lineRule="auto"/>
        <w:jc w:val="both"/>
        <w:rPr>
          <w:rFonts w:cs="Times New Roman"/>
          <w:b/>
          <w:szCs w:val="24"/>
          <w:u w:val="single"/>
          <w:lang w:eastAsia="lt-LT" w:bidi="lt-LT"/>
        </w:rPr>
      </w:pPr>
    </w:p>
    <w:sectPr w:rsidR="00FE5B40" w:rsidRPr="00720C6E" w:rsidSect="004F5635">
      <w:foot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B86" w:rsidRDefault="00552B86" w:rsidP="005059EB">
      <w:pPr>
        <w:spacing w:after="0" w:line="240" w:lineRule="auto"/>
      </w:pPr>
      <w:r>
        <w:separator/>
      </w:r>
    </w:p>
  </w:endnote>
  <w:endnote w:type="continuationSeparator" w:id="0">
    <w:p w:rsidR="00552B86" w:rsidRDefault="00552B86" w:rsidP="00505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732025"/>
      <w:docPartObj>
        <w:docPartGallery w:val="Page Numbers (Bottom of Page)"/>
        <w:docPartUnique/>
      </w:docPartObj>
    </w:sdtPr>
    <w:sdtEndPr/>
    <w:sdtContent>
      <w:p w:rsidR="005059EB" w:rsidRDefault="005059EB">
        <w:pPr>
          <w:pStyle w:val="Porat"/>
          <w:jc w:val="right"/>
        </w:pPr>
        <w:r>
          <w:fldChar w:fldCharType="begin"/>
        </w:r>
        <w:r>
          <w:instrText>PAGE   \* MERGEFORMAT</w:instrText>
        </w:r>
        <w:r>
          <w:fldChar w:fldCharType="separate"/>
        </w:r>
        <w:r w:rsidR="00DB79E7">
          <w:rPr>
            <w:noProof/>
          </w:rPr>
          <w:t>8</w:t>
        </w:r>
        <w:r>
          <w:fldChar w:fldCharType="end"/>
        </w:r>
      </w:p>
    </w:sdtContent>
  </w:sdt>
  <w:p w:rsidR="005059EB" w:rsidRDefault="005059E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B86" w:rsidRDefault="00552B86" w:rsidP="005059EB">
      <w:pPr>
        <w:spacing w:after="0" w:line="240" w:lineRule="auto"/>
      </w:pPr>
      <w:r>
        <w:separator/>
      </w:r>
    </w:p>
  </w:footnote>
  <w:footnote w:type="continuationSeparator" w:id="0">
    <w:p w:rsidR="00552B86" w:rsidRDefault="00552B86" w:rsidP="005059EB">
      <w:pPr>
        <w:spacing w:after="0" w:line="240" w:lineRule="auto"/>
      </w:pPr>
      <w:r>
        <w:continuationSeparator/>
      </w:r>
    </w:p>
  </w:footnote>
  <w:footnote w:id="1">
    <w:p w:rsidR="000A3B2A" w:rsidRPr="00FA468C" w:rsidRDefault="000A3B2A" w:rsidP="000A3B2A">
      <w:pPr>
        <w:pStyle w:val="Puslapioinaostekstas"/>
      </w:pPr>
      <w:r>
        <w:rPr>
          <w:rStyle w:val="Puslapioinaosnuoroda"/>
        </w:rPr>
        <w:footnoteRef/>
      </w:r>
      <w:r>
        <w:t xml:space="preserve"> </w:t>
      </w:r>
      <w:r w:rsidRPr="00BD086C">
        <w:rPr>
          <w:rFonts w:ascii="Times New Roman" w:hAnsi="Times New Roman" w:cs="Times New Roman"/>
          <w:bCs/>
          <w:color w:val="000000"/>
        </w:rPr>
        <w:t>Latvija ir Čekija neplanuoja dalyvauti šiame fonde.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B107D1C"/>
    <w:lvl w:ilvl="0">
      <w:numFmt w:val="bullet"/>
      <w:lvlText w:val="*"/>
      <w:lvlJc w:val="left"/>
    </w:lvl>
  </w:abstractNum>
  <w:abstractNum w:abstractNumId="1">
    <w:nsid w:val="01316130"/>
    <w:multiLevelType w:val="hybridMultilevel"/>
    <w:tmpl w:val="7F5455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2A05841"/>
    <w:multiLevelType w:val="hybridMultilevel"/>
    <w:tmpl w:val="E8964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6495604"/>
    <w:multiLevelType w:val="multilevel"/>
    <w:tmpl w:val="3AE834CC"/>
    <w:name w:val="Points"/>
    <w:lvl w:ilvl="0">
      <w:start w:val="1"/>
      <w:numFmt w:val="decimal"/>
      <w:pStyle w:val="Point123"/>
      <w:lvlText w:val="%1."/>
      <w:lvlJc w:val="left"/>
      <w:pPr>
        <w:tabs>
          <w:tab w:val="num" w:pos="567"/>
        </w:tabs>
        <w:ind w:left="567" w:hanging="567"/>
      </w:pPr>
      <w:rPr>
        <w:bdr w:val="none" w:sz="0" w:space="0" w:color="auto" w:frame="1"/>
      </w:rPr>
    </w:lvl>
    <w:lvl w:ilvl="1">
      <w:start w:val="1"/>
      <w:numFmt w:val="lowerLetter"/>
      <w:pStyle w:val="Pointabc"/>
      <w:lvlText w:val="%2)"/>
      <w:lvlJc w:val="left"/>
      <w:pPr>
        <w:tabs>
          <w:tab w:val="num" w:pos="567"/>
        </w:tabs>
        <w:ind w:left="567" w:hanging="567"/>
      </w:pPr>
      <w:rPr>
        <w:bdr w:val="none" w:sz="0" w:space="0" w:color="auto" w:frame="1"/>
      </w:rPr>
    </w:lvl>
    <w:lvl w:ilvl="2">
      <w:start w:val="1"/>
      <w:numFmt w:val="bullet"/>
      <w:pStyle w:val="Point1231"/>
      <w:lvlText w:val=""/>
      <w:lvlJc w:val="left"/>
      <w:pPr>
        <w:tabs>
          <w:tab w:val="num" w:pos="1134"/>
        </w:tabs>
        <w:ind w:left="1134" w:hanging="567"/>
      </w:pPr>
      <w:rPr>
        <w:rFonts w:ascii="Symbol" w:hAnsi="Symbol" w:hint="default"/>
        <w:bdr w:val="none" w:sz="0" w:space="0" w:color="auto" w:frame="1"/>
      </w:rPr>
    </w:lvl>
    <w:lvl w:ilvl="3">
      <w:start w:val="1"/>
      <w:numFmt w:val="lowerLetter"/>
      <w:pStyle w:val="Pointabc1"/>
      <w:lvlText w:val="%4)"/>
      <w:lvlJc w:val="left"/>
      <w:pPr>
        <w:tabs>
          <w:tab w:val="num" w:pos="1134"/>
        </w:tabs>
        <w:ind w:left="1134" w:hanging="567"/>
      </w:pPr>
      <w:rPr>
        <w:bdr w:val="none" w:sz="0" w:space="0" w:color="auto" w:frame="1"/>
      </w:rPr>
    </w:lvl>
    <w:lvl w:ilvl="4">
      <w:start w:val="1"/>
      <w:numFmt w:val="decimal"/>
      <w:pStyle w:val="Point1232"/>
      <w:lvlText w:val="%5."/>
      <w:lvlJc w:val="left"/>
      <w:pPr>
        <w:tabs>
          <w:tab w:val="num" w:pos="1701"/>
        </w:tabs>
        <w:ind w:left="1701" w:hanging="567"/>
      </w:pPr>
      <w:rPr>
        <w:bdr w:val="none" w:sz="0" w:space="0" w:color="auto" w:frame="1"/>
      </w:rPr>
    </w:lvl>
    <w:lvl w:ilvl="5">
      <w:start w:val="1"/>
      <w:numFmt w:val="bullet"/>
      <w:pStyle w:val="Pointabc2"/>
      <w:lvlText w:val=""/>
      <w:lvlJc w:val="left"/>
      <w:pPr>
        <w:tabs>
          <w:tab w:val="num" w:pos="1701"/>
        </w:tabs>
        <w:ind w:left="1701" w:hanging="567"/>
      </w:pPr>
      <w:rPr>
        <w:rFonts w:ascii="Symbol" w:hAnsi="Symbol" w:hint="default"/>
        <w:bdr w:val="none" w:sz="0" w:space="0" w:color="auto" w:frame="1"/>
      </w:rPr>
    </w:lvl>
    <w:lvl w:ilvl="6">
      <w:start w:val="1"/>
      <w:numFmt w:val="decimal"/>
      <w:pStyle w:val="Point1233"/>
      <w:lvlText w:val="%7."/>
      <w:lvlJc w:val="left"/>
      <w:pPr>
        <w:tabs>
          <w:tab w:val="num" w:pos="2268"/>
        </w:tabs>
        <w:ind w:left="2268" w:hanging="567"/>
      </w:pPr>
      <w:rPr>
        <w:bdr w:val="none" w:sz="0" w:space="0" w:color="auto" w:frame="1"/>
      </w:rPr>
    </w:lvl>
    <w:lvl w:ilvl="7">
      <w:start w:val="1"/>
      <w:numFmt w:val="lowerLetter"/>
      <w:pStyle w:val="Pointabc3"/>
      <w:lvlText w:val="%8)"/>
      <w:lvlJc w:val="left"/>
      <w:pPr>
        <w:tabs>
          <w:tab w:val="num" w:pos="2268"/>
        </w:tabs>
        <w:ind w:left="2268" w:hanging="567"/>
      </w:pPr>
      <w:rPr>
        <w:bdr w:val="none" w:sz="0" w:space="0" w:color="auto" w:frame="1"/>
      </w:rPr>
    </w:lvl>
    <w:lvl w:ilvl="8">
      <w:start w:val="1"/>
      <w:numFmt w:val="lowerLetter"/>
      <w:pStyle w:val="Pointabc4"/>
      <w:lvlText w:val="%9)"/>
      <w:lvlJc w:val="left"/>
      <w:pPr>
        <w:tabs>
          <w:tab w:val="num" w:pos="2835"/>
        </w:tabs>
        <w:ind w:left="2835" w:hanging="567"/>
      </w:pPr>
      <w:rPr>
        <w:bdr w:val="none" w:sz="0" w:space="0" w:color="auto" w:frame="1"/>
      </w:rPr>
    </w:lvl>
  </w:abstractNum>
  <w:abstractNum w:abstractNumId="4">
    <w:nsid w:val="07BE4261"/>
    <w:multiLevelType w:val="hybridMultilevel"/>
    <w:tmpl w:val="AC420682"/>
    <w:lvl w:ilvl="0" w:tplc="FA788C58">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A2136AF"/>
    <w:multiLevelType w:val="hybridMultilevel"/>
    <w:tmpl w:val="F2BA493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D1E5BF0"/>
    <w:multiLevelType w:val="hybridMultilevel"/>
    <w:tmpl w:val="25465962"/>
    <w:lvl w:ilvl="0" w:tplc="BD76F80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0F863213"/>
    <w:multiLevelType w:val="hybridMultilevel"/>
    <w:tmpl w:val="C3F2D49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2D47BA3"/>
    <w:multiLevelType w:val="hybridMultilevel"/>
    <w:tmpl w:val="3DF4205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558043A"/>
    <w:multiLevelType w:val="hybridMultilevel"/>
    <w:tmpl w:val="88C6A464"/>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nsid w:val="16404C02"/>
    <w:multiLevelType w:val="multilevel"/>
    <w:tmpl w:val="595E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1DF62"/>
    <w:multiLevelType w:val="hybridMultilevel"/>
    <w:tmpl w:val="C80C0D32"/>
    <w:lvl w:ilvl="0" w:tplc="6EF81293">
      <w:start w:val="1"/>
      <w:numFmt w:val="decimal"/>
      <w:lvlText w:val="%1."/>
      <w:lvlJc w:val="left"/>
      <w:pPr>
        <w:ind w:left="720" w:hanging="360"/>
      </w:pPr>
    </w:lvl>
    <w:lvl w:ilvl="1" w:tplc="26EEFCAB">
      <w:start w:val="1"/>
      <w:numFmt w:val="decimal"/>
      <w:lvlText w:val="%2."/>
      <w:lvlJc w:val="left"/>
      <w:pPr>
        <w:ind w:left="1440" w:hanging="360"/>
      </w:pPr>
    </w:lvl>
    <w:lvl w:ilvl="2" w:tplc="6AFBC2B7">
      <w:start w:val="1"/>
      <w:numFmt w:val="decimal"/>
      <w:lvlText w:val="%3."/>
      <w:lvlJc w:val="left"/>
      <w:pPr>
        <w:ind w:left="2160" w:hanging="360"/>
      </w:pPr>
    </w:lvl>
    <w:lvl w:ilvl="3" w:tplc="53DA34DD">
      <w:start w:val="1"/>
      <w:numFmt w:val="decimal"/>
      <w:lvlText w:val="%4."/>
      <w:lvlJc w:val="left"/>
      <w:pPr>
        <w:ind w:left="2880" w:hanging="360"/>
      </w:pPr>
    </w:lvl>
    <w:lvl w:ilvl="4" w:tplc="64DF3C85">
      <w:start w:val="1"/>
      <w:numFmt w:val="decimal"/>
      <w:lvlText w:val="%5."/>
      <w:lvlJc w:val="left"/>
      <w:pPr>
        <w:ind w:left="3600" w:hanging="360"/>
      </w:pPr>
    </w:lvl>
    <w:lvl w:ilvl="5" w:tplc="6D794EFB">
      <w:start w:val="1"/>
      <w:numFmt w:val="decimal"/>
      <w:lvlText w:val="%6."/>
      <w:lvlJc w:val="left"/>
      <w:pPr>
        <w:ind w:left="4320" w:hanging="360"/>
      </w:pPr>
    </w:lvl>
    <w:lvl w:ilvl="6" w:tplc="0136CE88">
      <w:start w:val="1"/>
      <w:numFmt w:val="decimal"/>
      <w:lvlText w:val="%7."/>
      <w:lvlJc w:val="left"/>
      <w:pPr>
        <w:ind w:left="5040" w:hanging="360"/>
      </w:pPr>
    </w:lvl>
    <w:lvl w:ilvl="7" w:tplc="2CCAB6FD">
      <w:start w:val="1"/>
      <w:numFmt w:val="decimal"/>
      <w:lvlText w:val="%8."/>
      <w:lvlJc w:val="left"/>
      <w:pPr>
        <w:ind w:left="5760" w:hanging="360"/>
      </w:pPr>
    </w:lvl>
    <w:lvl w:ilvl="8" w:tplc="12900DCC">
      <w:start w:val="1"/>
      <w:numFmt w:val="decimal"/>
      <w:lvlText w:val="%9."/>
      <w:lvlJc w:val="left"/>
      <w:pPr>
        <w:ind w:left="6480" w:hanging="360"/>
      </w:pPr>
    </w:lvl>
  </w:abstractNum>
  <w:abstractNum w:abstractNumId="12">
    <w:nsid w:val="1A8E62BD"/>
    <w:multiLevelType w:val="hybridMultilevel"/>
    <w:tmpl w:val="4BC41A4A"/>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nsid w:val="1AC10191"/>
    <w:multiLevelType w:val="hybridMultilevel"/>
    <w:tmpl w:val="863E5F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1F499822"/>
    <w:multiLevelType w:val="hybridMultilevel"/>
    <w:tmpl w:val="F49ED158"/>
    <w:lvl w:ilvl="0" w:tplc="BB10EDF8">
      <w:start w:val="1"/>
      <w:numFmt w:val="decimal"/>
      <w:lvlText w:val="%1."/>
      <w:lvlJc w:val="left"/>
      <w:pPr>
        <w:ind w:left="720" w:hanging="360"/>
      </w:pPr>
      <w:rPr>
        <w:rFonts w:ascii="Times New Roman" w:eastAsiaTheme="minorHAnsi" w:hAnsi="Times New Roman" w:cstheme="minorBidi"/>
      </w:r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15">
    <w:nsid w:val="294E491B"/>
    <w:multiLevelType w:val="hybridMultilevel"/>
    <w:tmpl w:val="AEB4A3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2A8145C4"/>
    <w:multiLevelType w:val="hybridMultilevel"/>
    <w:tmpl w:val="48D0C9FE"/>
    <w:lvl w:ilvl="0" w:tplc="FECA3C00">
      <w:start w:val="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2D10788D"/>
    <w:multiLevelType w:val="hybridMultilevel"/>
    <w:tmpl w:val="76700052"/>
    <w:lvl w:ilvl="0" w:tplc="21E2600E">
      <w:numFmt w:val="bullet"/>
      <w:lvlText w:val=""/>
      <w:lvlJc w:val="left"/>
      <w:pPr>
        <w:ind w:left="786" w:hanging="360"/>
      </w:pPr>
      <w:rPr>
        <w:rFonts w:ascii="Symbol" w:eastAsiaTheme="minorHAnsi" w:hAnsi="Symbol" w:cs="Courier New" w:hint="default"/>
        <w:b w:val="0"/>
      </w:rPr>
    </w:lvl>
    <w:lvl w:ilvl="1" w:tplc="04270001">
      <w:start w:val="1"/>
      <w:numFmt w:val="bullet"/>
      <w:lvlText w:val=""/>
      <w:lvlJc w:val="left"/>
      <w:pPr>
        <w:ind w:left="1506" w:hanging="360"/>
      </w:pPr>
      <w:rPr>
        <w:rFonts w:ascii="Symbol" w:hAnsi="Symbol" w:hint="default"/>
      </w:rPr>
    </w:lvl>
    <w:lvl w:ilvl="2" w:tplc="04270005">
      <w:start w:val="1"/>
      <w:numFmt w:val="bullet"/>
      <w:lvlText w:val=""/>
      <w:lvlJc w:val="left"/>
      <w:pPr>
        <w:ind w:left="2226" w:hanging="360"/>
      </w:pPr>
      <w:rPr>
        <w:rFonts w:ascii="Wingdings" w:hAnsi="Wingdings" w:hint="default"/>
      </w:rPr>
    </w:lvl>
    <w:lvl w:ilvl="3" w:tplc="04270001">
      <w:start w:val="1"/>
      <w:numFmt w:val="bullet"/>
      <w:lvlText w:val=""/>
      <w:lvlJc w:val="left"/>
      <w:pPr>
        <w:ind w:left="2946" w:hanging="360"/>
      </w:pPr>
      <w:rPr>
        <w:rFonts w:ascii="Symbol" w:hAnsi="Symbol" w:hint="default"/>
      </w:rPr>
    </w:lvl>
    <w:lvl w:ilvl="4" w:tplc="04270003">
      <w:start w:val="1"/>
      <w:numFmt w:val="bullet"/>
      <w:lvlText w:val="o"/>
      <w:lvlJc w:val="left"/>
      <w:pPr>
        <w:ind w:left="3666" w:hanging="360"/>
      </w:pPr>
      <w:rPr>
        <w:rFonts w:ascii="Courier New" w:hAnsi="Courier New" w:cs="Courier New" w:hint="default"/>
      </w:rPr>
    </w:lvl>
    <w:lvl w:ilvl="5" w:tplc="04270005">
      <w:start w:val="1"/>
      <w:numFmt w:val="bullet"/>
      <w:lvlText w:val=""/>
      <w:lvlJc w:val="left"/>
      <w:pPr>
        <w:ind w:left="4386" w:hanging="360"/>
      </w:pPr>
      <w:rPr>
        <w:rFonts w:ascii="Wingdings" w:hAnsi="Wingdings" w:hint="default"/>
      </w:rPr>
    </w:lvl>
    <w:lvl w:ilvl="6" w:tplc="04270001">
      <w:start w:val="1"/>
      <w:numFmt w:val="bullet"/>
      <w:lvlText w:val=""/>
      <w:lvlJc w:val="left"/>
      <w:pPr>
        <w:ind w:left="5106" w:hanging="360"/>
      </w:pPr>
      <w:rPr>
        <w:rFonts w:ascii="Symbol" w:hAnsi="Symbol" w:hint="default"/>
      </w:rPr>
    </w:lvl>
    <w:lvl w:ilvl="7" w:tplc="04270003">
      <w:start w:val="1"/>
      <w:numFmt w:val="bullet"/>
      <w:lvlText w:val="o"/>
      <w:lvlJc w:val="left"/>
      <w:pPr>
        <w:ind w:left="5826" w:hanging="360"/>
      </w:pPr>
      <w:rPr>
        <w:rFonts w:ascii="Courier New" w:hAnsi="Courier New" w:cs="Courier New" w:hint="default"/>
      </w:rPr>
    </w:lvl>
    <w:lvl w:ilvl="8" w:tplc="04270005">
      <w:start w:val="1"/>
      <w:numFmt w:val="bullet"/>
      <w:lvlText w:val=""/>
      <w:lvlJc w:val="left"/>
      <w:pPr>
        <w:ind w:left="6546" w:hanging="360"/>
      </w:pPr>
      <w:rPr>
        <w:rFonts w:ascii="Wingdings" w:hAnsi="Wingdings" w:hint="default"/>
      </w:rPr>
    </w:lvl>
  </w:abstractNum>
  <w:abstractNum w:abstractNumId="18">
    <w:nsid w:val="2DAB3284"/>
    <w:multiLevelType w:val="hybridMultilevel"/>
    <w:tmpl w:val="9166747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2F44098B"/>
    <w:multiLevelType w:val="hybridMultilevel"/>
    <w:tmpl w:val="870E9E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2FF91C04"/>
    <w:multiLevelType w:val="hybridMultilevel"/>
    <w:tmpl w:val="A56CA3DC"/>
    <w:lvl w:ilvl="0" w:tplc="B18481F2">
      <w:start w:val="1"/>
      <w:numFmt w:val="decimal"/>
      <w:lvlText w:val="%1."/>
      <w:lvlJc w:val="left"/>
      <w:pPr>
        <w:ind w:left="927" w:hanging="360"/>
      </w:pPr>
      <w:rPr>
        <w:rFonts w:ascii="Times New Roman" w:eastAsiaTheme="minorHAnsi" w:hAnsi="Times New Roman" w:cstheme="minorBidi"/>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nsid w:val="3308644A"/>
    <w:multiLevelType w:val="hybridMultilevel"/>
    <w:tmpl w:val="7DF2440E"/>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nsid w:val="34D514B1"/>
    <w:multiLevelType w:val="hybridMultilevel"/>
    <w:tmpl w:val="45F2CF5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5733647"/>
    <w:multiLevelType w:val="hybridMultilevel"/>
    <w:tmpl w:val="CFD84F18"/>
    <w:lvl w:ilvl="0" w:tplc="DA1E6FFE">
      <w:start w:val="1"/>
      <w:numFmt w:val="decimal"/>
      <w:lvlText w:val="%1."/>
      <w:lvlJc w:val="left"/>
      <w:pPr>
        <w:ind w:left="720" w:hanging="360"/>
      </w:pPr>
      <w:rPr>
        <w:rFonts w:ascii="Times New Roman" w:eastAsiaTheme="minorHAnsi" w:hAnsi="Times New Roman" w:cstheme="minorBidi"/>
      </w:r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24">
    <w:nsid w:val="388D3953"/>
    <w:multiLevelType w:val="hybridMultilevel"/>
    <w:tmpl w:val="099E550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39BF04AC"/>
    <w:multiLevelType w:val="hybridMultilevel"/>
    <w:tmpl w:val="BD40E5E2"/>
    <w:lvl w:ilvl="0" w:tplc="D2721D56">
      <w:start w:val="20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3A5471F4"/>
    <w:multiLevelType w:val="hybridMultilevel"/>
    <w:tmpl w:val="0E0C574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3CAE28BE"/>
    <w:multiLevelType w:val="hybridMultilevel"/>
    <w:tmpl w:val="51E4F896"/>
    <w:lvl w:ilvl="0" w:tplc="50BEDB2C">
      <w:start w:val="1"/>
      <w:numFmt w:val="decimal"/>
      <w:lvlText w:val="%1."/>
      <w:lvlJc w:val="left"/>
      <w:pPr>
        <w:ind w:left="927" w:hanging="360"/>
      </w:pPr>
      <w:rPr>
        <w:rFonts w:ascii="Times New Roman" w:eastAsiaTheme="minorHAnsi" w:hAnsi="Times New Roman" w:cstheme="minorBidi"/>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nsid w:val="3CEA3074"/>
    <w:multiLevelType w:val="hybridMultilevel"/>
    <w:tmpl w:val="4E2698BE"/>
    <w:lvl w:ilvl="0" w:tplc="15747510">
      <w:start w:val="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011A8DC"/>
    <w:multiLevelType w:val="hybridMultilevel"/>
    <w:tmpl w:val="27E49C0A"/>
    <w:lvl w:ilvl="0" w:tplc="39B91BB2">
      <w:start w:val="1"/>
      <w:numFmt w:val="bullet"/>
      <w:lvlText w:val="·"/>
      <w:lvlJc w:val="left"/>
      <w:pPr>
        <w:ind w:left="720" w:hanging="360"/>
      </w:pPr>
      <w:rPr>
        <w:rFonts w:ascii="Symbol" w:hAnsi="Symbol"/>
      </w:rPr>
    </w:lvl>
    <w:lvl w:ilvl="1" w:tplc="7E327589">
      <w:start w:val="1"/>
      <w:numFmt w:val="bullet"/>
      <w:lvlText w:val="o"/>
      <w:lvlJc w:val="left"/>
      <w:pPr>
        <w:ind w:left="1440" w:hanging="360"/>
      </w:pPr>
      <w:rPr>
        <w:rFonts w:ascii="Symbol" w:hAnsi="Symbol"/>
      </w:rPr>
    </w:lvl>
    <w:lvl w:ilvl="2" w:tplc="145FA82F">
      <w:start w:val="1"/>
      <w:numFmt w:val="bullet"/>
      <w:lvlText w:val="·"/>
      <w:lvlJc w:val="left"/>
      <w:pPr>
        <w:ind w:left="2160" w:hanging="360"/>
      </w:pPr>
      <w:rPr>
        <w:rFonts w:ascii="Symbol" w:hAnsi="Symbol"/>
      </w:rPr>
    </w:lvl>
    <w:lvl w:ilvl="3" w:tplc="0A912A9E">
      <w:start w:val="1"/>
      <w:numFmt w:val="bullet"/>
      <w:lvlText w:val="o"/>
      <w:lvlJc w:val="left"/>
      <w:pPr>
        <w:ind w:left="2880" w:hanging="360"/>
      </w:pPr>
      <w:rPr>
        <w:rFonts w:ascii="Symbol" w:hAnsi="Symbol"/>
      </w:rPr>
    </w:lvl>
    <w:lvl w:ilvl="4" w:tplc="29F4CEC5">
      <w:start w:val="1"/>
      <w:numFmt w:val="bullet"/>
      <w:lvlText w:val="·"/>
      <w:lvlJc w:val="left"/>
      <w:pPr>
        <w:ind w:left="3600" w:hanging="360"/>
      </w:pPr>
      <w:rPr>
        <w:rFonts w:ascii="Symbol" w:hAnsi="Symbol"/>
      </w:rPr>
    </w:lvl>
    <w:lvl w:ilvl="5" w:tplc="1157D6C1">
      <w:start w:val="1"/>
      <w:numFmt w:val="bullet"/>
      <w:lvlText w:val="o"/>
      <w:lvlJc w:val="left"/>
      <w:pPr>
        <w:ind w:left="4320" w:hanging="360"/>
      </w:pPr>
      <w:rPr>
        <w:rFonts w:ascii="Symbol" w:hAnsi="Symbol"/>
      </w:rPr>
    </w:lvl>
    <w:lvl w:ilvl="6" w:tplc="6274FD2E">
      <w:start w:val="1"/>
      <w:numFmt w:val="bullet"/>
      <w:lvlText w:val="·"/>
      <w:lvlJc w:val="left"/>
      <w:pPr>
        <w:ind w:left="5040" w:hanging="360"/>
      </w:pPr>
      <w:rPr>
        <w:rFonts w:ascii="Symbol" w:hAnsi="Symbol"/>
      </w:rPr>
    </w:lvl>
    <w:lvl w:ilvl="7" w:tplc="132E138F">
      <w:start w:val="1"/>
      <w:numFmt w:val="bullet"/>
      <w:lvlText w:val="o"/>
      <w:lvlJc w:val="left"/>
      <w:pPr>
        <w:ind w:left="5760" w:hanging="360"/>
      </w:pPr>
      <w:rPr>
        <w:rFonts w:ascii="Symbol" w:hAnsi="Symbol"/>
      </w:rPr>
    </w:lvl>
    <w:lvl w:ilvl="8" w:tplc="7A26D958">
      <w:start w:val="1"/>
      <w:numFmt w:val="bullet"/>
      <w:lvlText w:val="·"/>
      <w:lvlJc w:val="left"/>
      <w:pPr>
        <w:ind w:left="6480" w:hanging="360"/>
      </w:pPr>
      <w:rPr>
        <w:rFonts w:ascii="Symbol" w:hAnsi="Symbol"/>
      </w:rPr>
    </w:lvl>
  </w:abstractNum>
  <w:abstractNum w:abstractNumId="30">
    <w:nsid w:val="407A3803"/>
    <w:multiLevelType w:val="hybridMultilevel"/>
    <w:tmpl w:val="E7263AF4"/>
    <w:lvl w:ilvl="0" w:tplc="7302B284">
      <w:start w:val="15"/>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40ED07B7"/>
    <w:multiLevelType w:val="hybridMultilevel"/>
    <w:tmpl w:val="3698F2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474600CE"/>
    <w:multiLevelType w:val="hybridMultilevel"/>
    <w:tmpl w:val="1E529E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48425F45"/>
    <w:multiLevelType w:val="hybridMultilevel"/>
    <w:tmpl w:val="EEAA7810"/>
    <w:lvl w:ilvl="0" w:tplc="8738EAF2">
      <w:start w:val="1"/>
      <w:numFmt w:val="decimal"/>
      <w:lvlText w:val="%1."/>
      <w:lvlJc w:val="left"/>
      <w:pPr>
        <w:ind w:left="927" w:hanging="360"/>
      </w:pPr>
      <w:rPr>
        <w:rFonts w:ascii="Times New Roman" w:eastAsiaTheme="minorHAnsi" w:hAnsi="Times New Roman" w:cstheme="minorBidi"/>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nsid w:val="4BA95BCD"/>
    <w:multiLevelType w:val="hybridMultilevel"/>
    <w:tmpl w:val="1B58618A"/>
    <w:lvl w:ilvl="0" w:tplc="52D8B55E">
      <w:start w:val="1"/>
      <w:numFmt w:val="decimal"/>
      <w:lvlText w:val="%1."/>
      <w:lvlJc w:val="left"/>
      <w:pPr>
        <w:ind w:left="363" w:hanging="360"/>
      </w:pPr>
      <w:rPr>
        <w:rFonts w:hint="default"/>
        <w:b w:val="0"/>
      </w:rPr>
    </w:lvl>
    <w:lvl w:ilvl="1" w:tplc="04270019" w:tentative="1">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35">
    <w:nsid w:val="4F9962D8"/>
    <w:multiLevelType w:val="hybridMultilevel"/>
    <w:tmpl w:val="1DE41CF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514B60A3"/>
    <w:multiLevelType w:val="hybridMultilevel"/>
    <w:tmpl w:val="1184445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nsid w:val="51AE34EA"/>
    <w:multiLevelType w:val="hybridMultilevel"/>
    <w:tmpl w:val="2042E2E8"/>
    <w:lvl w:ilvl="0" w:tplc="8D72D7F8">
      <w:start w:val="1"/>
      <w:numFmt w:val="decimal"/>
      <w:lvlText w:val="%1."/>
      <w:lvlJc w:val="left"/>
      <w:pPr>
        <w:ind w:left="720" w:hanging="360"/>
      </w:pPr>
      <w:rPr>
        <w:rFonts w:ascii="Times New Roman" w:eastAsiaTheme="minorHAnsi" w:hAnsi="Times New Roman" w:cstheme="minorBidi"/>
      </w:r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38">
    <w:nsid w:val="55225063"/>
    <w:multiLevelType w:val="hybridMultilevel"/>
    <w:tmpl w:val="8F449CA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552A74C7"/>
    <w:multiLevelType w:val="hybridMultilevel"/>
    <w:tmpl w:val="1EBC91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59CA6777"/>
    <w:multiLevelType w:val="hybridMultilevel"/>
    <w:tmpl w:val="CABAD0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5ADC62E8"/>
    <w:multiLevelType w:val="hybridMultilevel"/>
    <w:tmpl w:val="4EB62B3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2">
    <w:nsid w:val="5E2E5BDC"/>
    <w:multiLevelType w:val="hybridMultilevel"/>
    <w:tmpl w:val="9B88267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nsid w:val="663F3CE0"/>
    <w:multiLevelType w:val="multilevel"/>
    <w:tmpl w:val="3456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1854BCA"/>
    <w:multiLevelType w:val="hybridMultilevel"/>
    <w:tmpl w:val="7AE043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nsid w:val="73054FCB"/>
    <w:multiLevelType w:val="hybridMultilevel"/>
    <w:tmpl w:val="EDBCEB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nsid w:val="74246296"/>
    <w:multiLevelType w:val="hybridMultilevel"/>
    <w:tmpl w:val="7482FB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nsid w:val="79114259"/>
    <w:multiLevelType w:val="hybridMultilevel"/>
    <w:tmpl w:val="40AA28D4"/>
    <w:lvl w:ilvl="0" w:tplc="D2721D56">
      <w:start w:val="20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nsid w:val="7B3F7B7A"/>
    <w:multiLevelType w:val="hybridMultilevel"/>
    <w:tmpl w:val="91388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nsid w:val="7FF52E26"/>
    <w:multiLevelType w:val="hybridMultilevel"/>
    <w:tmpl w:val="586A48A4"/>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48"/>
  </w:num>
  <w:num w:numId="3">
    <w:abstractNumId w:val="30"/>
  </w:num>
  <w:num w:numId="4">
    <w:abstractNumId w:val="3"/>
    <w:lvlOverride w:ilvl="0">
      <w:startOverride w:val="1"/>
    </w:lvlOverride>
    <w:lvlOverride w:ilvl="1">
      <w:startOverride w:val="1"/>
    </w:lvlOverride>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abstractNumId w:val="14"/>
  </w:num>
  <w:num w:numId="6">
    <w:abstractNumId w:val="37"/>
  </w:num>
  <w:num w:numId="7">
    <w:abstractNumId w:val="23"/>
  </w:num>
  <w:num w:numId="8">
    <w:abstractNumId w:val="4"/>
  </w:num>
  <w:num w:numId="9">
    <w:abstractNumId w:val="24"/>
  </w:num>
  <w:num w:numId="10">
    <w:abstractNumId w:val="22"/>
  </w:num>
  <w:num w:numId="11">
    <w:abstractNumId w:val="8"/>
  </w:num>
  <w:num w:numId="12">
    <w:abstractNumId w:val="28"/>
  </w:num>
  <w:num w:numId="13">
    <w:abstractNumId w:val="16"/>
  </w:num>
  <w:num w:numId="14">
    <w:abstractNumId w:val="36"/>
  </w:num>
  <w:num w:numId="15">
    <w:abstractNumId w:val="44"/>
  </w:num>
  <w:num w:numId="16">
    <w:abstractNumId w:val="19"/>
  </w:num>
  <w:num w:numId="17">
    <w:abstractNumId w:val="32"/>
  </w:num>
  <w:num w:numId="18">
    <w:abstractNumId w:val="40"/>
  </w:num>
  <w:num w:numId="19">
    <w:abstractNumId w:val="42"/>
  </w:num>
  <w:num w:numId="20">
    <w:abstractNumId w:val="41"/>
  </w:num>
  <w:num w:numId="21">
    <w:abstractNumId w:val="21"/>
  </w:num>
  <w:num w:numId="22">
    <w:abstractNumId w:val="12"/>
  </w:num>
  <w:num w:numId="23">
    <w:abstractNumId w:val="33"/>
  </w:num>
  <w:num w:numId="24">
    <w:abstractNumId w:val="20"/>
  </w:num>
  <w:num w:numId="25">
    <w:abstractNumId w:val="6"/>
  </w:num>
  <w:num w:numId="26">
    <w:abstractNumId w:val="27"/>
  </w:num>
  <w:num w:numId="27">
    <w:abstractNumId w:val="5"/>
  </w:num>
  <w:num w:numId="28">
    <w:abstractNumId w:val="26"/>
  </w:num>
  <w:num w:numId="29">
    <w:abstractNumId w:val="35"/>
  </w:num>
  <w:num w:numId="30">
    <w:abstractNumId w:val="7"/>
  </w:num>
  <w:num w:numId="31">
    <w:abstractNumId w:val="46"/>
  </w:num>
  <w:num w:numId="32">
    <w:abstractNumId w:val="39"/>
  </w:num>
  <w:num w:numId="33">
    <w:abstractNumId w:val="38"/>
  </w:num>
  <w:num w:numId="34">
    <w:abstractNumId w:val="18"/>
  </w:num>
  <w:num w:numId="35">
    <w:abstractNumId w:val="43"/>
  </w:num>
  <w:num w:numId="36">
    <w:abstractNumId w:val="0"/>
    <w:lvlOverride w:ilvl="0">
      <w:lvl w:ilvl="0">
        <w:numFmt w:val="bullet"/>
        <w:lvlText w:val=""/>
        <w:legacy w:legacy="1" w:legacySpace="0" w:legacyIndent="0"/>
        <w:lvlJc w:val="left"/>
        <w:rPr>
          <w:rFonts w:ascii="Symbol" w:hAnsi="Symbol" w:hint="default"/>
          <w:sz w:val="22"/>
        </w:rPr>
      </w:lvl>
    </w:lvlOverride>
  </w:num>
  <w:num w:numId="37">
    <w:abstractNumId w:val="49"/>
  </w:num>
  <w:num w:numId="38">
    <w:abstractNumId w:val="1"/>
  </w:num>
  <w:num w:numId="39">
    <w:abstractNumId w:val="15"/>
  </w:num>
  <w:num w:numId="40">
    <w:abstractNumId w:val="25"/>
  </w:num>
  <w:num w:numId="41">
    <w:abstractNumId w:val="45"/>
  </w:num>
  <w:num w:numId="42">
    <w:abstractNumId w:val="34"/>
  </w:num>
  <w:num w:numId="43">
    <w:abstractNumId w:val="31"/>
  </w:num>
  <w:num w:numId="44">
    <w:abstractNumId w:val="2"/>
  </w:num>
  <w:num w:numId="45">
    <w:abstractNumId w:val="9"/>
  </w:num>
  <w:num w:numId="46">
    <w:abstractNumId w:val="17"/>
  </w:num>
  <w:num w:numId="47">
    <w:abstractNumId w:val="29"/>
  </w:num>
  <w:num w:numId="48">
    <w:abstractNumId w:val="13"/>
  </w:num>
  <w:num w:numId="49">
    <w:abstractNumId w:val="47"/>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D70"/>
    <w:rsid w:val="00017A8E"/>
    <w:rsid w:val="00047C8A"/>
    <w:rsid w:val="00065E8C"/>
    <w:rsid w:val="000678AA"/>
    <w:rsid w:val="000713A4"/>
    <w:rsid w:val="000769A5"/>
    <w:rsid w:val="00076A9E"/>
    <w:rsid w:val="000A17B8"/>
    <w:rsid w:val="000A3B2A"/>
    <w:rsid w:val="000A7ECC"/>
    <w:rsid w:val="000E1051"/>
    <w:rsid w:val="000F2114"/>
    <w:rsid w:val="000F4400"/>
    <w:rsid w:val="000F589C"/>
    <w:rsid w:val="00114907"/>
    <w:rsid w:val="0011678C"/>
    <w:rsid w:val="00126F54"/>
    <w:rsid w:val="00144F3B"/>
    <w:rsid w:val="001815A1"/>
    <w:rsid w:val="0018263F"/>
    <w:rsid w:val="00187F2F"/>
    <w:rsid w:val="001E0AC8"/>
    <w:rsid w:val="001E3961"/>
    <w:rsid w:val="00201304"/>
    <w:rsid w:val="00214FF8"/>
    <w:rsid w:val="00244C46"/>
    <w:rsid w:val="00261FBA"/>
    <w:rsid w:val="002764C2"/>
    <w:rsid w:val="002817F5"/>
    <w:rsid w:val="002836CE"/>
    <w:rsid w:val="002914B1"/>
    <w:rsid w:val="00293E2E"/>
    <w:rsid w:val="002D4A2E"/>
    <w:rsid w:val="002E7316"/>
    <w:rsid w:val="00334CDB"/>
    <w:rsid w:val="00342933"/>
    <w:rsid w:val="0037377D"/>
    <w:rsid w:val="00377706"/>
    <w:rsid w:val="00380F9D"/>
    <w:rsid w:val="0038198B"/>
    <w:rsid w:val="0039677B"/>
    <w:rsid w:val="003B2B69"/>
    <w:rsid w:val="003D4291"/>
    <w:rsid w:val="003E5320"/>
    <w:rsid w:val="004030AB"/>
    <w:rsid w:val="00405345"/>
    <w:rsid w:val="0040729F"/>
    <w:rsid w:val="00421F1D"/>
    <w:rsid w:val="00455FB7"/>
    <w:rsid w:val="00472B78"/>
    <w:rsid w:val="0047419C"/>
    <w:rsid w:val="0048780D"/>
    <w:rsid w:val="00492AE1"/>
    <w:rsid w:val="004E03CD"/>
    <w:rsid w:val="004F5635"/>
    <w:rsid w:val="005059EB"/>
    <w:rsid w:val="00511707"/>
    <w:rsid w:val="00544006"/>
    <w:rsid w:val="00547D85"/>
    <w:rsid w:val="00552B86"/>
    <w:rsid w:val="005706F9"/>
    <w:rsid w:val="005A1557"/>
    <w:rsid w:val="005A7E67"/>
    <w:rsid w:val="005D1308"/>
    <w:rsid w:val="005D1A89"/>
    <w:rsid w:val="005F1C12"/>
    <w:rsid w:val="006356C2"/>
    <w:rsid w:val="00651BAA"/>
    <w:rsid w:val="00652FBD"/>
    <w:rsid w:val="006C29E0"/>
    <w:rsid w:val="006E224F"/>
    <w:rsid w:val="00705ACA"/>
    <w:rsid w:val="00705E0F"/>
    <w:rsid w:val="00707F09"/>
    <w:rsid w:val="00713B84"/>
    <w:rsid w:val="00720C6E"/>
    <w:rsid w:val="00723FC9"/>
    <w:rsid w:val="007256AD"/>
    <w:rsid w:val="00741E5F"/>
    <w:rsid w:val="00745E44"/>
    <w:rsid w:val="0075072F"/>
    <w:rsid w:val="007569CF"/>
    <w:rsid w:val="007633CD"/>
    <w:rsid w:val="007731A8"/>
    <w:rsid w:val="0078551E"/>
    <w:rsid w:val="00793E3C"/>
    <w:rsid w:val="0079438B"/>
    <w:rsid w:val="007B02BB"/>
    <w:rsid w:val="007C2CFB"/>
    <w:rsid w:val="007D4C6A"/>
    <w:rsid w:val="007F75CB"/>
    <w:rsid w:val="00806F29"/>
    <w:rsid w:val="00814201"/>
    <w:rsid w:val="00830198"/>
    <w:rsid w:val="00873647"/>
    <w:rsid w:val="00874104"/>
    <w:rsid w:val="0088529B"/>
    <w:rsid w:val="008C24FE"/>
    <w:rsid w:val="008E21A0"/>
    <w:rsid w:val="008E7545"/>
    <w:rsid w:val="008F1E61"/>
    <w:rsid w:val="009178E9"/>
    <w:rsid w:val="009202C6"/>
    <w:rsid w:val="0094073A"/>
    <w:rsid w:val="009411C0"/>
    <w:rsid w:val="00962666"/>
    <w:rsid w:val="009633E2"/>
    <w:rsid w:val="009B11DF"/>
    <w:rsid w:val="009B3952"/>
    <w:rsid w:val="009C336F"/>
    <w:rsid w:val="009C5EF2"/>
    <w:rsid w:val="009D4D70"/>
    <w:rsid w:val="009E0F69"/>
    <w:rsid w:val="00A00AAA"/>
    <w:rsid w:val="00A0435E"/>
    <w:rsid w:val="00A051EB"/>
    <w:rsid w:val="00A207C8"/>
    <w:rsid w:val="00A369D4"/>
    <w:rsid w:val="00A613D7"/>
    <w:rsid w:val="00A67809"/>
    <w:rsid w:val="00A85B8F"/>
    <w:rsid w:val="00AA132A"/>
    <w:rsid w:val="00AB31B4"/>
    <w:rsid w:val="00AB5028"/>
    <w:rsid w:val="00AC6837"/>
    <w:rsid w:val="00AD6AE8"/>
    <w:rsid w:val="00AE2304"/>
    <w:rsid w:val="00AF01BF"/>
    <w:rsid w:val="00B11566"/>
    <w:rsid w:val="00B35CCF"/>
    <w:rsid w:val="00B85E5A"/>
    <w:rsid w:val="00B9638E"/>
    <w:rsid w:val="00B97A6B"/>
    <w:rsid w:val="00BB562B"/>
    <w:rsid w:val="00BB78AE"/>
    <w:rsid w:val="00BD4191"/>
    <w:rsid w:val="00BD577A"/>
    <w:rsid w:val="00BE1479"/>
    <w:rsid w:val="00C14B3D"/>
    <w:rsid w:val="00C22A8F"/>
    <w:rsid w:val="00C4696A"/>
    <w:rsid w:val="00C47633"/>
    <w:rsid w:val="00C55FA8"/>
    <w:rsid w:val="00C7657E"/>
    <w:rsid w:val="00C83F3B"/>
    <w:rsid w:val="00C94D14"/>
    <w:rsid w:val="00CB3447"/>
    <w:rsid w:val="00CF7AA6"/>
    <w:rsid w:val="00D22BC3"/>
    <w:rsid w:val="00D252B6"/>
    <w:rsid w:val="00D33DBA"/>
    <w:rsid w:val="00D4154B"/>
    <w:rsid w:val="00D56A2E"/>
    <w:rsid w:val="00D62032"/>
    <w:rsid w:val="00D8565B"/>
    <w:rsid w:val="00DB79E7"/>
    <w:rsid w:val="00DE5FBF"/>
    <w:rsid w:val="00DF5308"/>
    <w:rsid w:val="00DF72D6"/>
    <w:rsid w:val="00E01424"/>
    <w:rsid w:val="00E551ED"/>
    <w:rsid w:val="00E6493F"/>
    <w:rsid w:val="00E77291"/>
    <w:rsid w:val="00E8342B"/>
    <w:rsid w:val="00EA5E92"/>
    <w:rsid w:val="00EB0D85"/>
    <w:rsid w:val="00EB1704"/>
    <w:rsid w:val="00EC447A"/>
    <w:rsid w:val="00F502DC"/>
    <w:rsid w:val="00F83D27"/>
    <w:rsid w:val="00FB1CFA"/>
    <w:rsid w:val="00FB3F9A"/>
    <w:rsid w:val="00FE5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224F"/>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11678C"/>
    <w:pPr>
      <w:ind w:left="720"/>
      <w:contextualSpacing/>
    </w:pPr>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4F5635"/>
    <w:rPr>
      <w:rFonts w:ascii="Times New Roman" w:hAnsi="Times New Roman"/>
      <w:sz w:val="24"/>
    </w:rPr>
  </w:style>
  <w:style w:type="paragraph" w:customStyle="1" w:styleId="Pointabc">
    <w:name w:val="Point abc"/>
    <w:basedOn w:val="prastasis"/>
    <w:rsid w:val="004F5635"/>
    <w:pPr>
      <w:numPr>
        <w:ilvl w:val="1"/>
        <w:numId w:val="4"/>
      </w:numPr>
      <w:spacing w:before="200" w:after="0" w:line="240" w:lineRule="auto"/>
    </w:pPr>
    <w:rPr>
      <w:rFonts w:cs="Times New Roman"/>
      <w:lang w:val="en-GB"/>
    </w:rPr>
  </w:style>
  <w:style w:type="paragraph" w:customStyle="1" w:styleId="Pointabc1">
    <w:name w:val="Point abc (1)"/>
    <w:basedOn w:val="prastasis"/>
    <w:rsid w:val="004F5635"/>
    <w:pPr>
      <w:numPr>
        <w:ilvl w:val="3"/>
        <w:numId w:val="4"/>
      </w:numPr>
      <w:spacing w:after="0" w:line="240" w:lineRule="auto"/>
    </w:pPr>
    <w:rPr>
      <w:rFonts w:cs="Times New Roman"/>
      <w:lang w:val="en-GB"/>
    </w:rPr>
  </w:style>
  <w:style w:type="paragraph" w:customStyle="1" w:styleId="Pointabc2">
    <w:name w:val="Point abc (2)"/>
    <w:basedOn w:val="prastasis"/>
    <w:rsid w:val="004F5635"/>
    <w:pPr>
      <w:numPr>
        <w:ilvl w:val="5"/>
        <w:numId w:val="4"/>
      </w:numPr>
      <w:spacing w:after="0" w:line="240" w:lineRule="auto"/>
    </w:pPr>
    <w:rPr>
      <w:rFonts w:cs="Times New Roman"/>
      <w:lang w:val="en-GB"/>
    </w:rPr>
  </w:style>
  <w:style w:type="paragraph" w:customStyle="1" w:styleId="Pointabc3">
    <w:name w:val="Point abc (3)"/>
    <w:basedOn w:val="prastasis"/>
    <w:rsid w:val="004F5635"/>
    <w:pPr>
      <w:numPr>
        <w:ilvl w:val="7"/>
        <w:numId w:val="4"/>
      </w:numPr>
      <w:spacing w:after="0" w:line="240" w:lineRule="auto"/>
    </w:pPr>
    <w:rPr>
      <w:rFonts w:cs="Times New Roman"/>
      <w:lang w:val="en-GB"/>
    </w:rPr>
  </w:style>
  <w:style w:type="paragraph" w:customStyle="1" w:styleId="Pointabc4">
    <w:name w:val="Point abc (4)"/>
    <w:basedOn w:val="prastasis"/>
    <w:rsid w:val="004F5635"/>
    <w:pPr>
      <w:numPr>
        <w:ilvl w:val="8"/>
        <w:numId w:val="4"/>
      </w:numPr>
      <w:spacing w:after="0" w:line="240" w:lineRule="auto"/>
    </w:pPr>
    <w:rPr>
      <w:rFonts w:cs="Times New Roman"/>
      <w:lang w:val="en-GB"/>
    </w:rPr>
  </w:style>
  <w:style w:type="paragraph" w:customStyle="1" w:styleId="Point123">
    <w:name w:val="Point 123"/>
    <w:basedOn w:val="prastasis"/>
    <w:rsid w:val="004F5635"/>
    <w:pPr>
      <w:numPr>
        <w:numId w:val="4"/>
      </w:numPr>
      <w:spacing w:before="200" w:after="0" w:line="240" w:lineRule="auto"/>
    </w:pPr>
    <w:rPr>
      <w:rFonts w:cs="Times New Roman"/>
      <w:lang w:val="en-GB"/>
    </w:rPr>
  </w:style>
  <w:style w:type="paragraph" w:customStyle="1" w:styleId="Point1231">
    <w:name w:val="Point 123 (1)"/>
    <w:basedOn w:val="prastasis"/>
    <w:rsid w:val="004F5635"/>
    <w:pPr>
      <w:numPr>
        <w:ilvl w:val="2"/>
        <w:numId w:val="4"/>
      </w:numPr>
      <w:spacing w:after="0" w:line="240" w:lineRule="auto"/>
    </w:pPr>
    <w:rPr>
      <w:rFonts w:cs="Times New Roman"/>
      <w:lang w:val="en-GB"/>
    </w:rPr>
  </w:style>
  <w:style w:type="paragraph" w:customStyle="1" w:styleId="Point1232">
    <w:name w:val="Point 123 (2)"/>
    <w:basedOn w:val="prastasis"/>
    <w:rsid w:val="004F5635"/>
    <w:pPr>
      <w:numPr>
        <w:ilvl w:val="4"/>
        <w:numId w:val="4"/>
      </w:numPr>
      <w:spacing w:after="0" w:line="240" w:lineRule="auto"/>
    </w:pPr>
    <w:rPr>
      <w:rFonts w:cs="Times New Roman"/>
      <w:lang w:val="en-GB"/>
    </w:rPr>
  </w:style>
  <w:style w:type="paragraph" w:customStyle="1" w:styleId="Point1233">
    <w:name w:val="Point 123 (3)"/>
    <w:basedOn w:val="prastasis"/>
    <w:rsid w:val="004F5635"/>
    <w:pPr>
      <w:numPr>
        <w:ilvl w:val="6"/>
        <w:numId w:val="4"/>
      </w:numPr>
      <w:spacing w:after="0" w:line="240" w:lineRule="auto"/>
    </w:pPr>
    <w:rPr>
      <w:rFonts w:cs="Times New Roman"/>
      <w:lang w:val="en-GB"/>
    </w:rPr>
  </w:style>
  <w:style w:type="paragraph" w:styleId="Antrats">
    <w:name w:val="header"/>
    <w:basedOn w:val="prastasis"/>
    <w:link w:val="AntratsDiagrama"/>
    <w:uiPriority w:val="99"/>
    <w:unhideWhenUsed/>
    <w:rsid w:val="00505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59EB"/>
    <w:rPr>
      <w:rFonts w:ascii="Times New Roman" w:hAnsi="Times New Roman"/>
      <w:sz w:val="24"/>
    </w:rPr>
  </w:style>
  <w:style w:type="paragraph" w:styleId="Porat">
    <w:name w:val="footer"/>
    <w:basedOn w:val="prastasis"/>
    <w:link w:val="PoratDiagrama"/>
    <w:uiPriority w:val="99"/>
    <w:unhideWhenUsed/>
    <w:rsid w:val="005059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59EB"/>
    <w:rPr>
      <w:rFonts w:ascii="Times New Roman" w:hAnsi="Times New Roman"/>
      <w:sz w:val="24"/>
    </w:rPr>
  </w:style>
  <w:style w:type="paragraph" w:styleId="Puslapioinaostekstas">
    <w:name w:val="footnote text"/>
    <w:basedOn w:val="prastasis"/>
    <w:link w:val="PuslapioinaostekstasDiagrama"/>
    <w:uiPriority w:val="99"/>
    <w:semiHidden/>
    <w:unhideWhenUsed/>
    <w:rsid w:val="009E0F69"/>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9E0F69"/>
    <w:rPr>
      <w:sz w:val="20"/>
      <w:szCs w:val="20"/>
    </w:rPr>
  </w:style>
  <w:style w:type="character" w:styleId="Puslapioinaosnuoroda">
    <w:name w:val="footnote reference"/>
    <w:basedOn w:val="Numatytasispastraiposriftas"/>
    <w:uiPriority w:val="99"/>
    <w:semiHidden/>
    <w:unhideWhenUsed/>
    <w:rsid w:val="009E0F69"/>
    <w:rPr>
      <w:vertAlign w:val="superscript"/>
    </w:rPr>
  </w:style>
  <w:style w:type="character" w:styleId="Komentaronuoroda">
    <w:name w:val="annotation reference"/>
    <w:basedOn w:val="Numatytasispastraiposriftas"/>
    <w:uiPriority w:val="99"/>
    <w:semiHidden/>
    <w:unhideWhenUsed/>
    <w:rsid w:val="003B2B69"/>
    <w:rPr>
      <w:sz w:val="16"/>
      <w:szCs w:val="16"/>
    </w:rPr>
  </w:style>
  <w:style w:type="paragraph" w:styleId="Komentarotekstas">
    <w:name w:val="annotation text"/>
    <w:basedOn w:val="prastasis"/>
    <w:link w:val="KomentarotekstasDiagrama"/>
    <w:uiPriority w:val="99"/>
    <w:semiHidden/>
    <w:unhideWhenUsed/>
    <w:rsid w:val="003B2B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B2B69"/>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3B2B69"/>
    <w:rPr>
      <w:b/>
      <w:bCs/>
    </w:rPr>
  </w:style>
  <w:style w:type="character" w:customStyle="1" w:styleId="KomentarotemaDiagrama">
    <w:name w:val="Komentaro tema Diagrama"/>
    <w:basedOn w:val="KomentarotekstasDiagrama"/>
    <w:link w:val="Komentarotema"/>
    <w:uiPriority w:val="99"/>
    <w:semiHidden/>
    <w:rsid w:val="003B2B69"/>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3B2B6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2B69"/>
    <w:rPr>
      <w:rFonts w:ascii="Tahoma" w:hAnsi="Tahoma" w:cs="Tahoma"/>
      <w:sz w:val="16"/>
      <w:szCs w:val="16"/>
    </w:rPr>
  </w:style>
  <w:style w:type="character" w:customStyle="1" w:styleId="tlid-translation">
    <w:name w:val="tlid-translation"/>
    <w:basedOn w:val="Numatytasispastraiposriftas"/>
    <w:rsid w:val="00065E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E224F"/>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numbered (a)),References,WB List Paragraph,Su numeracija,Akapit z listą,Dot pt,F5 List Paragraph,List Paragraph1,Recommendation,List Paragraph11,Numerowanie,Kolorowa lista — akcent 11,Akapit z listą1,Listaszerű bekezdés1"/>
    <w:basedOn w:val="prastasis"/>
    <w:link w:val="SraopastraipaDiagrama"/>
    <w:uiPriority w:val="34"/>
    <w:qFormat/>
    <w:rsid w:val="0011678C"/>
    <w:pPr>
      <w:ind w:left="720"/>
      <w:contextualSpacing/>
    </w:pPr>
  </w:style>
  <w:style w:type="character" w:customStyle="1" w:styleId="SraopastraipaDiagrama">
    <w:name w:val="Sąrašo pastraipa Diagrama"/>
    <w:aliases w:val="List Paragraph (numbered (a)) Diagrama,References Diagrama,WB List Paragraph Diagrama,Su numeracija Diagrama,Akapit z listą Diagrama,Dot pt Diagrama,F5 List Paragraph Diagrama,List Paragraph1 Diagrama,Recommendation Diagrama"/>
    <w:link w:val="Sraopastraipa"/>
    <w:uiPriority w:val="34"/>
    <w:qFormat/>
    <w:locked/>
    <w:rsid w:val="004F5635"/>
    <w:rPr>
      <w:rFonts w:ascii="Times New Roman" w:hAnsi="Times New Roman"/>
      <w:sz w:val="24"/>
    </w:rPr>
  </w:style>
  <w:style w:type="paragraph" w:customStyle="1" w:styleId="Pointabc">
    <w:name w:val="Point abc"/>
    <w:basedOn w:val="prastasis"/>
    <w:rsid w:val="004F5635"/>
    <w:pPr>
      <w:numPr>
        <w:ilvl w:val="1"/>
        <w:numId w:val="4"/>
      </w:numPr>
      <w:spacing w:before="200" w:after="0" w:line="240" w:lineRule="auto"/>
    </w:pPr>
    <w:rPr>
      <w:rFonts w:cs="Times New Roman"/>
      <w:lang w:val="en-GB"/>
    </w:rPr>
  </w:style>
  <w:style w:type="paragraph" w:customStyle="1" w:styleId="Pointabc1">
    <w:name w:val="Point abc (1)"/>
    <w:basedOn w:val="prastasis"/>
    <w:rsid w:val="004F5635"/>
    <w:pPr>
      <w:numPr>
        <w:ilvl w:val="3"/>
        <w:numId w:val="4"/>
      </w:numPr>
      <w:spacing w:after="0" w:line="240" w:lineRule="auto"/>
    </w:pPr>
    <w:rPr>
      <w:rFonts w:cs="Times New Roman"/>
      <w:lang w:val="en-GB"/>
    </w:rPr>
  </w:style>
  <w:style w:type="paragraph" w:customStyle="1" w:styleId="Pointabc2">
    <w:name w:val="Point abc (2)"/>
    <w:basedOn w:val="prastasis"/>
    <w:rsid w:val="004F5635"/>
    <w:pPr>
      <w:numPr>
        <w:ilvl w:val="5"/>
        <w:numId w:val="4"/>
      </w:numPr>
      <w:spacing w:after="0" w:line="240" w:lineRule="auto"/>
    </w:pPr>
    <w:rPr>
      <w:rFonts w:cs="Times New Roman"/>
      <w:lang w:val="en-GB"/>
    </w:rPr>
  </w:style>
  <w:style w:type="paragraph" w:customStyle="1" w:styleId="Pointabc3">
    <w:name w:val="Point abc (3)"/>
    <w:basedOn w:val="prastasis"/>
    <w:rsid w:val="004F5635"/>
    <w:pPr>
      <w:numPr>
        <w:ilvl w:val="7"/>
        <w:numId w:val="4"/>
      </w:numPr>
      <w:spacing w:after="0" w:line="240" w:lineRule="auto"/>
    </w:pPr>
    <w:rPr>
      <w:rFonts w:cs="Times New Roman"/>
      <w:lang w:val="en-GB"/>
    </w:rPr>
  </w:style>
  <w:style w:type="paragraph" w:customStyle="1" w:styleId="Pointabc4">
    <w:name w:val="Point abc (4)"/>
    <w:basedOn w:val="prastasis"/>
    <w:rsid w:val="004F5635"/>
    <w:pPr>
      <w:numPr>
        <w:ilvl w:val="8"/>
        <w:numId w:val="4"/>
      </w:numPr>
      <w:spacing w:after="0" w:line="240" w:lineRule="auto"/>
    </w:pPr>
    <w:rPr>
      <w:rFonts w:cs="Times New Roman"/>
      <w:lang w:val="en-GB"/>
    </w:rPr>
  </w:style>
  <w:style w:type="paragraph" w:customStyle="1" w:styleId="Point123">
    <w:name w:val="Point 123"/>
    <w:basedOn w:val="prastasis"/>
    <w:rsid w:val="004F5635"/>
    <w:pPr>
      <w:numPr>
        <w:numId w:val="4"/>
      </w:numPr>
      <w:spacing w:before="200" w:after="0" w:line="240" w:lineRule="auto"/>
    </w:pPr>
    <w:rPr>
      <w:rFonts w:cs="Times New Roman"/>
      <w:lang w:val="en-GB"/>
    </w:rPr>
  </w:style>
  <w:style w:type="paragraph" w:customStyle="1" w:styleId="Point1231">
    <w:name w:val="Point 123 (1)"/>
    <w:basedOn w:val="prastasis"/>
    <w:rsid w:val="004F5635"/>
    <w:pPr>
      <w:numPr>
        <w:ilvl w:val="2"/>
        <w:numId w:val="4"/>
      </w:numPr>
      <w:spacing w:after="0" w:line="240" w:lineRule="auto"/>
    </w:pPr>
    <w:rPr>
      <w:rFonts w:cs="Times New Roman"/>
      <w:lang w:val="en-GB"/>
    </w:rPr>
  </w:style>
  <w:style w:type="paragraph" w:customStyle="1" w:styleId="Point1232">
    <w:name w:val="Point 123 (2)"/>
    <w:basedOn w:val="prastasis"/>
    <w:rsid w:val="004F5635"/>
    <w:pPr>
      <w:numPr>
        <w:ilvl w:val="4"/>
        <w:numId w:val="4"/>
      </w:numPr>
      <w:spacing w:after="0" w:line="240" w:lineRule="auto"/>
    </w:pPr>
    <w:rPr>
      <w:rFonts w:cs="Times New Roman"/>
      <w:lang w:val="en-GB"/>
    </w:rPr>
  </w:style>
  <w:style w:type="paragraph" w:customStyle="1" w:styleId="Point1233">
    <w:name w:val="Point 123 (3)"/>
    <w:basedOn w:val="prastasis"/>
    <w:rsid w:val="004F5635"/>
    <w:pPr>
      <w:numPr>
        <w:ilvl w:val="6"/>
        <w:numId w:val="4"/>
      </w:numPr>
      <w:spacing w:after="0" w:line="240" w:lineRule="auto"/>
    </w:pPr>
    <w:rPr>
      <w:rFonts w:cs="Times New Roman"/>
      <w:lang w:val="en-GB"/>
    </w:rPr>
  </w:style>
  <w:style w:type="paragraph" w:styleId="Antrats">
    <w:name w:val="header"/>
    <w:basedOn w:val="prastasis"/>
    <w:link w:val="AntratsDiagrama"/>
    <w:uiPriority w:val="99"/>
    <w:unhideWhenUsed/>
    <w:rsid w:val="00505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59EB"/>
    <w:rPr>
      <w:rFonts w:ascii="Times New Roman" w:hAnsi="Times New Roman"/>
      <w:sz w:val="24"/>
    </w:rPr>
  </w:style>
  <w:style w:type="paragraph" w:styleId="Porat">
    <w:name w:val="footer"/>
    <w:basedOn w:val="prastasis"/>
    <w:link w:val="PoratDiagrama"/>
    <w:uiPriority w:val="99"/>
    <w:unhideWhenUsed/>
    <w:rsid w:val="005059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59EB"/>
    <w:rPr>
      <w:rFonts w:ascii="Times New Roman" w:hAnsi="Times New Roman"/>
      <w:sz w:val="24"/>
    </w:rPr>
  </w:style>
  <w:style w:type="paragraph" w:styleId="Puslapioinaostekstas">
    <w:name w:val="footnote text"/>
    <w:basedOn w:val="prastasis"/>
    <w:link w:val="PuslapioinaostekstasDiagrama"/>
    <w:uiPriority w:val="99"/>
    <w:semiHidden/>
    <w:unhideWhenUsed/>
    <w:rsid w:val="009E0F69"/>
    <w:pPr>
      <w:spacing w:after="0" w:line="240" w:lineRule="auto"/>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9E0F69"/>
    <w:rPr>
      <w:sz w:val="20"/>
      <w:szCs w:val="20"/>
    </w:rPr>
  </w:style>
  <w:style w:type="character" w:styleId="Puslapioinaosnuoroda">
    <w:name w:val="footnote reference"/>
    <w:basedOn w:val="Numatytasispastraiposriftas"/>
    <w:uiPriority w:val="99"/>
    <w:semiHidden/>
    <w:unhideWhenUsed/>
    <w:rsid w:val="009E0F69"/>
    <w:rPr>
      <w:vertAlign w:val="superscript"/>
    </w:rPr>
  </w:style>
  <w:style w:type="character" w:styleId="Komentaronuoroda">
    <w:name w:val="annotation reference"/>
    <w:basedOn w:val="Numatytasispastraiposriftas"/>
    <w:uiPriority w:val="99"/>
    <w:semiHidden/>
    <w:unhideWhenUsed/>
    <w:rsid w:val="003B2B69"/>
    <w:rPr>
      <w:sz w:val="16"/>
      <w:szCs w:val="16"/>
    </w:rPr>
  </w:style>
  <w:style w:type="paragraph" w:styleId="Komentarotekstas">
    <w:name w:val="annotation text"/>
    <w:basedOn w:val="prastasis"/>
    <w:link w:val="KomentarotekstasDiagrama"/>
    <w:uiPriority w:val="99"/>
    <w:semiHidden/>
    <w:unhideWhenUsed/>
    <w:rsid w:val="003B2B6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B2B69"/>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3B2B69"/>
    <w:rPr>
      <w:b/>
      <w:bCs/>
    </w:rPr>
  </w:style>
  <w:style w:type="character" w:customStyle="1" w:styleId="KomentarotemaDiagrama">
    <w:name w:val="Komentaro tema Diagrama"/>
    <w:basedOn w:val="KomentarotekstasDiagrama"/>
    <w:link w:val="Komentarotema"/>
    <w:uiPriority w:val="99"/>
    <w:semiHidden/>
    <w:rsid w:val="003B2B69"/>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3B2B6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B2B69"/>
    <w:rPr>
      <w:rFonts w:ascii="Tahoma" w:hAnsi="Tahoma" w:cs="Tahoma"/>
      <w:sz w:val="16"/>
      <w:szCs w:val="16"/>
    </w:rPr>
  </w:style>
  <w:style w:type="character" w:customStyle="1" w:styleId="tlid-translation">
    <w:name w:val="tlid-translation"/>
    <w:basedOn w:val="Numatytasispastraiposriftas"/>
    <w:rsid w:val="00065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523899">
      <w:bodyDiv w:val="1"/>
      <w:marLeft w:val="0"/>
      <w:marRight w:val="0"/>
      <w:marTop w:val="0"/>
      <w:marBottom w:val="0"/>
      <w:divBdr>
        <w:top w:val="none" w:sz="0" w:space="0" w:color="auto"/>
        <w:left w:val="none" w:sz="0" w:space="0" w:color="auto"/>
        <w:bottom w:val="none" w:sz="0" w:space="0" w:color="auto"/>
        <w:right w:val="none" w:sz="0" w:space="0" w:color="auto"/>
      </w:divBdr>
    </w:div>
    <w:div w:id="1337684271">
      <w:bodyDiv w:val="1"/>
      <w:marLeft w:val="0"/>
      <w:marRight w:val="0"/>
      <w:marTop w:val="0"/>
      <w:marBottom w:val="0"/>
      <w:divBdr>
        <w:top w:val="none" w:sz="0" w:space="0" w:color="auto"/>
        <w:left w:val="none" w:sz="0" w:space="0" w:color="auto"/>
        <w:bottom w:val="none" w:sz="0" w:space="0" w:color="auto"/>
        <w:right w:val="none" w:sz="0" w:space="0" w:color="auto"/>
      </w:divBdr>
    </w:div>
    <w:div w:id="1415591921">
      <w:bodyDiv w:val="1"/>
      <w:marLeft w:val="0"/>
      <w:marRight w:val="0"/>
      <w:marTop w:val="0"/>
      <w:marBottom w:val="0"/>
      <w:divBdr>
        <w:top w:val="none" w:sz="0" w:space="0" w:color="auto"/>
        <w:left w:val="none" w:sz="0" w:space="0" w:color="auto"/>
        <w:bottom w:val="none" w:sz="0" w:space="0" w:color="auto"/>
        <w:right w:val="none" w:sz="0" w:space="0" w:color="auto"/>
      </w:divBdr>
    </w:div>
    <w:div w:id="1438871682">
      <w:bodyDiv w:val="1"/>
      <w:marLeft w:val="0"/>
      <w:marRight w:val="0"/>
      <w:marTop w:val="0"/>
      <w:marBottom w:val="0"/>
      <w:divBdr>
        <w:top w:val="none" w:sz="0" w:space="0" w:color="auto"/>
        <w:left w:val="none" w:sz="0" w:space="0" w:color="auto"/>
        <w:bottom w:val="none" w:sz="0" w:space="0" w:color="auto"/>
        <w:right w:val="none" w:sz="0" w:space="0" w:color="auto"/>
      </w:divBdr>
    </w:div>
    <w:div w:id="1461992523">
      <w:bodyDiv w:val="1"/>
      <w:marLeft w:val="0"/>
      <w:marRight w:val="0"/>
      <w:marTop w:val="0"/>
      <w:marBottom w:val="0"/>
      <w:divBdr>
        <w:top w:val="none" w:sz="0" w:space="0" w:color="auto"/>
        <w:left w:val="none" w:sz="0" w:space="0" w:color="auto"/>
        <w:bottom w:val="none" w:sz="0" w:space="0" w:color="auto"/>
        <w:right w:val="none" w:sz="0" w:space="0" w:color="auto"/>
      </w:divBdr>
      <w:divsChild>
        <w:div w:id="320502628">
          <w:marLeft w:val="0"/>
          <w:marRight w:val="0"/>
          <w:marTop w:val="0"/>
          <w:marBottom w:val="0"/>
          <w:divBdr>
            <w:top w:val="none" w:sz="0" w:space="0" w:color="auto"/>
            <w:left w:val="none" w:sz="0" w:space="0" w:color="auto"/>
            <w:bottom w:val="none" w:sz="0" w:space="0" w:color="auto"/>
            <w:right w:val="none" w:sz="0" w:space="0" w:color="auto"/>
          </w:divBdr>
          <w:divsChild>
            <w:div w:id="518472175">
              <w:marLeft w:val="0"/>
              <w:marRight w:val="0"/>
              <w:marTop w:val="0"/>
              <w:marBottom w:val="0"/>
              <w:divBdr>
                <w:top w:val="none" w:sz="0" w:space="0" w:color="auto"/>
                <w:left w:val="none" w:sz="0" w:space="0" w:color="auto"/>
                <w:bottom w:val="none" w:sz="0" w:space="0" w:color="auto"/>
                <w:right w:val="none" w:sz="0" w:space="0" w:color="auto"/>
              </w:divBdr>
              <w:divsChild>
                <w:div w:id="15245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4324">
      <w:bodyDiv w:val="1"/>
      <w:marLeft w:val="0"/>
      <w:marRight w:val="0"/>
      <w:marTop w:val="0"/>
      <w:marBottom w:val="0"/>
      <w:divBdr>
        <w:top w:val="none" w:sz="0" w:space="0" w:color="auto"/>
        <w:left w:val="none" w:sz="0" w:space="0" w:color="auto"/>
        <w:bottom w:val="none" w:sz="0" w:space="0" w:color="auto"/>
        <w:right w:val="none" w:sz="0" w:space="0" w:color="auto"/>
      </w:divBdr>
      <w:divsChild>
        <w:div w:id="788744897">
          <w:marLeft w:val="0"/>
          <w:marRight w:val="0"/>
          <w:marTop w:val="0"/>
          <w:marBottom w:val="0"/>
          <w:divBdr>
            <w:top w:val="none" w:sz="0" w:space="0" w:color="auto"/>
            <w:left w:val="none" w:sz="0" w:space="0" w:color="auto"/>
            <w:bottom w:val="none" w:sz="0" w:space="0" w:color="auto"/>
            <w:right w:val="none" w:sz="0" w:space="0" w:color="auto"/>
          </w:divBdr>
          <w:divsChild>
            <w:div w:id="10256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linesis.urm.lt/Pages/Documents/Positions/Card.aspx?posid=0&amp;pt=300&amp;pid=109977891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C7C76-18A7-4892-9558-4702222D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17345</Words>
  <Characters>9888</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Markevičius</dc:creator>
  <cp:lastModifiedBy>Simona Narkevičienė</cp:lastModifiedBy>
  <cp:revision>2</cp:revision>
  <cp:lastPrinted>2020-07-03T08:02:00Z</cp:lastPrinted>
  <dcterms:created xsi:type="dcterms:W3CDTF">2020-07-03T11:53:00Z</dcterms:created>
  <dcterms:modified xsi:type="dcterms:W3CDTF">2020-07-03T11:53:00Z</dcterms:modified>
</cp:coreProperties>
</file>