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707"/>
        <w:tblW w:w="16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3687"/>
        <w:gridCol w:w="1274"/>
        <w:gridCol w:w="1418"/>
        <w:gridCol w:w="992"/>
        <w:gridCol w:w="426"/>
        <w:gridCol w:w="409"/>
        <w:gridCol w:w="825"/>
        <w:gridCol w:w="1077"/>
        <w:gridCol w:w="897"/>
        <w:gridCol w:w="1126"/>
        <w:gridCol w:w="979"/>
        <w:gridCol w:w="1251"/>
        <w:gridCol w:w="1594"/>
      </w:tblGrid>
      <w:tr w:rsidR="00193ABB" w:rsidRPr="00193ABB" w:rsidTr="00180497">
        <w:trPr>
          <w:cantSplit/>
          <w:trHeight w:val="1398"/>
          <w:tblHeader/>
        </w:trPr>
        <w:tc>
          <w:tcPr>
            <w:tcW w:w="5000" w:type="pct"/>
            <w:gridSpan w:val="14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auto"/>
              <w:right w:val="single" w:sz="8" w:space="0" w:color="FFFFFF" w:themeColor="background1"/>
            </w:tcBorders>
            <w:vAlign w:val="center"/>
          </w:tcPr>
          <w:p w:rsidR="006F29CE" w:rsidRPr="00193ABB" w:rsidRDefault="006F29CE" w:rsidP="006F29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ADMINISTRACINĖS NAŠTOS ŪKIO SUBJEKTAMS APSKAIČIAVIMO ATASKAITA</w:t>
            </w:r>
          </w:p>
          <w:p w:rsidR="006F29CE" w:rsidRPr="00193ABB" w:rsidRDefault="006F29CE" w:rsidP="00613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2020-0</w:t>
            </w:r>
            <w:r w:rsidR="00A97733" w:rsidRPr="00193ABB">
              <w:rPr>
                <w:rFonts w:ascii="Times New Roman" w:eastAsia="Times New Roman" w:hAnsi="Times New Roman" w:cs="Times New Roman"/>
                <w:lang w:eastAsia="lt-LT"/>
              </w:rPr>
              <w:t>7</w:t>
            </w: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-</w:t>
            </w:r>
            <w:r w:rsidR="00A97733" w:rsidRPr="00193ABB">
              <w:rPr>
                <w:rFonts w:ascii="Times New Roman" w:eastAsia="Times New Roman" w:hAnsi="Times New Roman" w:cs="Times New Roman"/>
                <w:lang w:eastAsia="lt-LT"/>
              </w:rPr>
              <w:t>14</w:t>
            </w:r>
          </w:p>
          <w:p w:rsidR="006F29CE" w:rsidRPr="00193ABB" w:rsidRDefault="006F29CE" w:rsidP="00613E99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Vilnius</w:t>
            </w:r>
          </w:p>
        </w:tc>
      </w:tr>
      <w:tr w:rsidR="00193ABB" w:rsidRPr="00193ABB" w:rsidTr="00180497">
        <w:trPr>
          <w:cantSplit/>
          <w:trHeight w:val="20"/>
          <w:tblHeader/>
        </w:trPr>
        <w:tc>
          <w:tcPr>
            <w:tcW w:w="2378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9CE" w:rsidRPr="00193ABB" w:rsidRDefault="006F29CE" w:rsidP="00BC0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Respublikos </w:t>
            </w:r>
            <w:r w:rsidR="00BC0591" w:rsidRPr="00193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mokesčių administravimo įstatymo 40 straipsnio pakeitimo ir Įstatymo papildymo 42</w:t>
            </w:r>
            <w:r w:rsidR="00BC0591" w:rsidRPr="00193AB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="00BC0591" w:rsidRPr="00193A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straipsniu įstatymo 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projektas</w:t>
            </w:r>
          </w:p>
        </w:tc>
        <w:tc>
          <w:tcPr>
            <w:tcW w:w="25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Laikas (val.)</w:t>
            </w:r>
          </w:p>
        </w:tc>
        <w:tc>
          <w:tcPr>
            <w:tcW w:w="2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Vidinis tarifas 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Pridėtinės išlaidos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Išorinis tarifas </w:t>
            </w:r>
          </w:p>
        </w:tc>
        <w:tc>
          <w:tcPr>
            <w:tcW w:w="3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Vykdymo veiksmo atlikimo dažnis</w:t>
            </w:r>
          </w:p>
        </w:tc>
        <w:tc>
          <w:tcPr>
            <w:tcW w:w="2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Ūkio subjektų skaičius </w:t>
            </w:r>
          </w:p>
        </w:tc>
        <w:tc>
          <w:tcPr>
            <w:tcW w:w="3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Kiekio kintamasis</w:t>
            </w:r>
          </w:p>
        </w:tc>
        <w:tc>
          <w:tcPr>
            <w:tcW w:w="4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Administracinė našta ūkio subjektams</w:t>
            </w:r>
          </w:p>
        </w:tc>
      </w:tr>
      <w:tr w:rsidR="00193ABB" w:rsidRPr="00193ABB" w:rsidTr="00180497">
        <w:trPr>
          <w:cantSplit/>
          <w:trHeight w:val="20"/>
          <w:tblHeader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tiriamas straipsnis (-iai), punktas (-ai)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vykdymo veiksmas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tikslinė grupė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kilmė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v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v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042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Q (F x L)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vv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= (C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v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x P x T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v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+ C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x T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i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x Q</w:t>
            </w:r>
          </w:p>
        </w:tc>
      </w:tr>
      <w:tr w:rsidR="00193ABB" w:rsidRPr="00193ABB" w:rsidTr="00180497">
        <w:trPr>
          <w:cantSplit/>
          <w:trHeight w:val="20"/>
          <w:tblHeader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 Numatomų keisti ir (ar) naikinti galiojančių informacinių įpareigojimų sukeliama administracinė našta (skaičiuojant galiojančių teisės aktų, nustatančių informacinius įpareigojimus, sukeliamą administracinę naštą ūkio subjektams, kai teisės aktai nekeičiami, pildomas tik 1 punktas)</w:t>
            </w:r>
          </w:p>
        </w:tc>
      </w:tr>
      <w:tr w:rsidR="00193ABB" w:rsidRPr="00193ABB" w:rsidTr="00180497">
        <w:trPr>
          <w:cantSplit/>
          <w:trHeight w:val="20"/>
          <w:tblHeader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93ABB" w:rsidRPr="00193ABB" w:rsidTr="00180497">
        <w:trPr>
          <w:cantSplit/>
          <w:trHeight w:val="20"/>
          <w:tblHeader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lt-LT"/>
              </w:rPr>
              <w:t>ta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lt-LT"/>
              </w:rPr>
              <w:t>G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= 0</w:t>
            </w:r>
          </w:p>
        </w:tc>
      </w:tr>
      <w:tr w:rsidR="00193ABB" w:rsidRPr="00193ABB" w:rsidTr="00180497">
        <w:trPr>
          <w:cantSplit/>
          <w:trHeight w:val="20"/>
          <w:tblHeader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 Teisės akto projekto galima sukelti administracinė našta</w:t>
            </w:r>
          </w:p>
        </w:tc>
      </w:tr>
      <w:tr w:rsidR="00193ABB" w:rsidRPr="00193ABB" w:rsidTr="00180497">
        <w:trPr>
          <w:cantSplit/>
          <w:trHeight w:val="971"/>
          <w:tblHeader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20CD9" w:rsidRPr="00193ABB" w:rsidRDefault="00F20CD9" w:rsidP="00F20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2.1.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CD9" w:rsidRPr="00193ABB" w:rsidRDefault="00BB3E09" w:rsidP="00BB3E09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b/>
                <w:lang w:eastAsia="lt-LT"/>
              </w:rPr>
              <w:t>42</w:t>
            </w:r>
            <w:r w:rsidRPr="00193ABB">
              <w:rPr>
                <w:rFonts w:ascii="Times New Roman" w:eastAsia="Times New Roman" w:hAnsi="Times New Roman" w:cs="Times New Roman"/>
                <w:b/>
                <w:vertAlign w:val="superscript"/>
                <w:lang w:eastAsia="lt-LT"/>
              </w:rPr>
              <w:t>4</w:t>
            </w:r>
            <w:r w:rsidRPr="00193ABB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straipsnio 1</w:t>
            </w:r>
            <w:r w:rsidR="00F20CD9" w:rsidRPr="00193ABB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 dalis.</w:t>
            </w:r>
            <w:r w:rsidR="00F20CD9" w:rsidRPr="00193AB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193A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Nepriklausomai nuo gyvenamosios patalpos nuomos sutarties formos, kai yra sudaryta neterminuota arba terminuota, tačiau ne trumpesnė nei trisdešimt dienų, gyvenamosios patalpos nuomos sutartis, gyvenamosios patalpos nuomotojas – fizinis ar juridinis asmuo privalo per trisdešimt dienų nuo šios sutarties sudarymo dienos Lietuvos Respublikos Vyriausybės nustatyta tvarka kreiptis į Nekilnojamojo turto registro tvarkytoją su prašymu įregistruoti sudarytą gyvenamosios patalpos nuomos sutartį, o tais atvejais, kai ši nuomos sutartis pasibaigė arba kai pasikeitė esminės jau įregistruotos nuomos sutarties sąlygos (nuomotojas, nuomininkas, nuomojamas objektas, nuomos kaina, nuomos terminas), – per trisdešimt dienų nuo šios sutarties pasibaigimo arba esminių nuomos sutarties sąlygų pasikeitimo Lietuvos Respublikos Vyriausybės nustatyta tvarka kreiptis į Nekilnojamojo turto registro tvarkytoją su prašymu išregistruoti pasibaigusią nuomos sutartį arba patikslinti įregistruotos nuomos sutarties duomenis. 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Prašymo užpildymas ir dokumentų pateikimas VĮ „Registrų centras“ dėl juridinio fakto įregistravimo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rebuchet MS" w:eastAsia="Times New Roman" w:hAnsi="Trebuchet MS" w:cs="Times New Roman"/>
                <w:lang w:eastAsia="lt-LT"/>
              </w:rPr>
              <w:t> </w:t>
            </w: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 xml:space="preserve">Juridiniai asmenys, kurie </w:t>
            </w:r>
            <w:r w:rsidRPr="00193ABB">
              <w:rPr>
                <w:rFonts w:ascii="Times New Roman" w:hAnsi="Times New Roman" w:cs="Times New Roman"/>
              </w:rPr>
              <w:t>nuomoja gyvenamąsias patal</w:t>
            </w:r>
            <w:r w:rsidR="00BD726F" w:rsidRPr="00193ABB">
              <w:rPr>
                <w:rFonts w:ascii="Times New Roman" w:hAnsi="Times New Roman" w:cs="Times New Roman"/>
              </w:rPr>
              <w:t>p</w:t>
            </w:r>
            <w:r w:rsidRPr="00193ABB">
              <w:rPr>
                <w:rFonts w:ascii="Times New Roman" w:hAnsi="Times New Roman" w:cs="Times New Roman"/>
              </w:rPr>
              <w:t>as (neterminuotai arba ilgesniam kaip vieno mėnesio laikotarpiui)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ind w:left="-109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Nacionalinis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0,6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3,69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7577C3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1,25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2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2207</w:t>
            </w:r>
            <w:r w:rsidRPr="00193ABB">
              <w:rPr>
                <w:rStyle w:val="FootnoteReference"/>
                <w:rFonts w:ascii="Times New Roman" w:eastAsia="Times New Roman" w:hAnsi="Times New Roman" w:cs="Times New Roman"/>
                <w:lang w:eastAsia="lt-LT"/>
              </w:rPr>
              <w:footnoteReference w:id="1"/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F20CD9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4414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F20CD9" w:rsidRPr="00193ABB" w:rsidRDefault="007577C3" w:rsidP="00F20C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12 215,75</w:t>
            </w:r>
          </w:p>
        </w:tc>
      </w:tr>
      <w:tr w:rsidR="00193ABB" w:rsidRPr="00193ABB" w:rsidTr="00180497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AN</w:t>
            </w:r>
            <w:r w:rsidRPr="00193ABB">
              <w:rPr>
                <w:rFonts w:ascii="Times New Roman" w:eastAsia="Times New Roman" w:hAnsi="Times New Roman" w:cs="Times New Roman"/>
                <w:vertAlign w:val="subscript"/>
                <w:lang w:eastAsia="lt-LT"/>
              </w:rPr>
              <w:t>iį</w:t>
            </w: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 xml:space="preserve"> = Σ AN</w:t>
            </w:r>
            <w:r w:rsidRPr="00193ABB">
              <w:rPr>
                <w:rFonts w:ascii="Times New Roman" w:eastAsia="Times New Roman" w:hAnsi="Times New Roman" w:cs="Times New Roman"/>
                <w:vertAlign w:val="subscript"/>
                <w:lang w:eastAsia="lt-LT"/>
              </w:rPr>
              <w:t>vv</w:t>
            </w:r>
          </w:p>
        </w:tc>
      </w:tr>
      <w:tr w:rsidR="00193ABB" w:rsidRPr="00193ABB" w:rsidTr="00180497">
        <w:trPr>
          <w:cantSplit/>
          <w:trHeight w:val="20"/>
        </w:trPr>
        <w:tc>
          <w:tcPr>
            <w:tcW w:w="1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4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>AN</w:t>
            </w:r>
            <w:r w:rsidRPr="00193ABB">
              <w:rPr>
                <w:rFonts w:ascii="Times New Roman" w:eastAsia="Times New Roman" w:hAnsi="Times New Roman" w:cs="Times New Roman"/>
                <w:vertAlign w:val="subscript"/>
                <w:lang w:eastAsia="lt-LT"/>
              </w:rPr>
              <w:t>ta</w:t>
            </w:r>
            <w:r w:rsidRPr="00193ABB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N</w:t>
            </w:r>
            <w:r w:rsidRPr="00193ABB">
              <w:rPr>
                <w:rFonts w:ascii="Times New Roman" w:eastAsia="Times New Roman" w:hAnsi="Times New Roman" w:cs="Times New Roman"/>
                <w:lang w:eastAsia="lt-LT"/>
              </w:rPr>
              <w:t xml:space="preserve"> = Σ AN</w:t>
            </w:r>
            <w:r w:rsidRPr="00193ABB">
              <w:rPr>
                <w:rFonts w:ascii="Times New Roman" w:eastAsia="Times New Roman" w:hAnsi="Times New Roman" w:cs="Times New Roman"/>
                <w:vertAlign w:val="subscript"/>
                <w:lang w:eastAsia="lt-LT"/>
              </w:rPr>
              <w:t>iį</w:t>
            </w:r>
          </w:p>
        </w:tc>
      </w:tr>
      <w:tr w:rsidR="00193ABB" w:rsidRPr="00193ABB" w:rsidTr="00180497">
        <w:trPr>
          <w:cantSplit/>
          <w:trHeight w:val="106"/>
        </w:trPr>
        <w:tc>
          <w:tcPr>
            <w:tcW w:w="5000" w:type="pct"/>
            <w:gridSpan w:val="1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Teisės akto projekto sukeliamas numatomas administracinės naštos pokytis (Lietuvos Respublikos piniginiais vienetais) </w:t>
            </w:r>
          </w:p>
        </w:tc>
      </w:tr>
      <w:tr w:rsidR="00193ABB" w:rsidRPr="00193ABB" w:rsidTr="00180497">
        <w:trPr>
          <w:cantSplit/>
          <w:trHeight w:val="20"/>
        </w:trPr>
        <w:tc>
          <w:tcPr>
            <w:tcW w:w="4513" w:type="pct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6F29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AN</w:t>
            </w:r>
            <w:r w:rsidRPr="00193ABB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P</w:t>
            </w:r>
            <w:r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= AN</w:t>
            </w:r>
            <w:r w:rsidRPr="00193ABB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lt-LT"/>
              </w:rPr>
              <w:t>ta</w:t>
            </w:r>
            <w:r w:rsidRPr="00193ABB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N</w:t>
            </w:r>
            <w:r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– AN</w:t>
            </w:r>
            <w:r w:rsidRPr="00193ABB">
              <w:rPr>
                <w:rFonts w:ascii="Times New Roman" w:eastAsia="Times New Roman" w:hAnsi="Times New Roman" w:cs="Times New Roman"/>
                <w:b/>
                <w:bCs/>
                <w:vertAlign w:val="subscript"/>
                <w:lang w:eastAsia="lt-LT"/>
              </w:rPr>
              <w:t>ta</w:t>
            </w:r>
            <w:r w:rsidRPr="00193ABB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lt-LT"/>
              </w:rPr>
              <w:t>G</w:t>
            </w:r>
            <w:r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193ABB">
              <w:rPr>
                <w:rFonts w:ascii="Times New Roman" w:eastAsia="Times New Roman" w:hAnsi="Times New Roman" w:cs="Times New Roman"/>
                <w:i/>
                <w:iCs/>
                <w:lang w:eastAsia="lt-LT"/>
              </w:rPr>
              <w:t>Pastaba. Neigiamas skirtumas rašomas skliaustuose.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hideMark/>
          </w:tcPr>
          <w:p w:rsidR="006F29CE" w:rsidRPr="00193ABB" w:rsidRDefault="006F29CE" w:rsidP="00AC01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 </w:t>
            </w:r>
            <w:r w:rsidR="007577C3"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12 215,75 </w:t>
            </w:r>
            <w:r w:rsidR="00F20CD9" w:rsidRPr="00193AB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EUR</w:t>
            </w:r>
          </w:p>
        </w:tc>
      </w:tr>
    </w:tbl>
    <w:p w:rsidR="000421D3" w:rsidRPr="00193ABB" w:rsidRDefault="000421D3" w:rsidP="00906BEF">
      <w:pPr>
        <w:pStyle w:val="tactip"/>
        <w:rPr>
          <w:b/>
          <w:bCs/>
          <w:sz w:val="22"/>
          <w:szCs w:val="22"/>
        </w:rPr>
      </w:pPr>
    </w:p>
    <w:sectPr w:rsidR="000421D3" w:rsidRPr="00193ABB" w:rsidSect="00613E99">
      <w:pgSz w:w="16838" w:h="11906" w:orient="landscape"/>
      <w:pgMar w:top="567" w:right="1077" w:bottom="142" w:left="107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8EA" w:rsidRDefault="000E18EA" w:rsidP="004825BB">
      <w:pPr>
        <w:spacing w:after="0" w:line="240" w:lineRule="auto"/>
      </w:pPr>
      <w:r>
        <w:separator/>
      </w:r>
    </w:p>
  </w:endnote>
  <w:endnote w:type="continuationSeparator" w:id="0">
    <w:p w:rsidR="000E18EA" w:rsidRDefault="000E18EA" w:rsidP="00482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8EA" w:rsidRDefault="000E18EA" w:rsidP="004825BB">
      <w:pPr>
        <w:spacing w:after="0" w:line="240" w:lineRule="auto"/>
      </w:pPr>
      <w:r>
        <w:separator/>
      </w:r>
    </w:p>
  </w:footnote>
  <w:footnote w:type="continuationSeparator" w:id="0">
    <w:p w:rsidR="000E18EA" w:rsidRDefault="000E18EA" w:rsidP="004825BB">
      <w:pPr>
        <w:spacing w:after="0" w:line="240" w:lineRule="auto"/>
      </w:pPr>
      <w:r>
        <w:continuationSeparator/>
      </w:r>
    </w:p>
  </w:footnote>
  <w:footnote w:id="1">
    <w:p w:rsidR="00F20CD9" w:rsidRDefault="00F20CD9" w:rsidP="006B0D1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B0D15">
        <w:rPr>
          <w:rFonts w:ascii="Trebuchet MS" w:hAnsi="Trebuchet MS"/>
        </w:rPr>
        <w:t xml:space="preserve">Subjektų skaičius atrinktas remiantis Nekilnojamojo turto registro duomenimis, t. y. atrinktos gyvenamosios patalpos priklausančios juridiniams asmenims, ir remiantis </w:t>
      </w:r>
      <w:r w:rsidR="006B0D15" w:rsidRPr="006B0D15">
        <w:rPr>
          <w:rFonts w:ascii="Trebuchet MS" w:hAnsi="Trebuchet MS"/>
        </w:rPr>
        <w:t xml:space="preserve">Eurostat duomenimis (Distribution of population by tenure status, type of household and income group - EU-SILC survey [ilc_lvho02]), jog 10,1 proc. Lietuvos gyventojų 2018 m. gyveno nuomojamame būste. </w:t>
      </w:r>
      <w:r w:rsidRPr="006B0D15">
        <w:rPr>
          <w:rFonts w:ascii="Trebuchet MS" w:hAnsi="Trebuchet MS"/>
        </w:rPr>
        <w:t>Šiuo atveju subjektų skaičius atrinktas darant prielaidą, jog iš visų gyvenamųjų pata</w:t>
      </w:r>
      <w:r w:rsidR="006B0D15" w:rsidRPr="006B0D15">
        <w:rPr>
          <w:rFonts w:ascii="Trebuchet MS" w:hAnsi="Trebuchet MS"/>
        </w:rPr>
        <w:t>lpų skaičiaus yra nuomojama 10,1</w:t>
      </w:r>
      <w:r w:rsidRPr="006B0D15">
        <w:rPr>
          <w:rFonts w:ascii="Trebuchet MS" w:hAnsi="Trebuchet MS"/>
        </w:rPr>
        <w:t xml:space="preserve"> proc. tokių patalpų (viena patalpa prilyginama vienam subjektui, kuriam teks vykdymo veiksmas).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lPm1n4SJbAw9Jv9HzWPre22MjFBICZuKWWiZ75vqfILPrSiG++N5I/SkTEceUiEz0W9OI4jwiNzVdGcD7Ud2g==" w:salt="ww4agquC1ES3lMH6MnMHW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E6"/>
    <w:rsid w:val="0002781E"/>
    <w:rsid w:val="0003058D"/>
    <w:rsid w:val="000421D3"/>
    <w:rsid w:val="00052066"/>
    <w:rsid w:val="000635B4"/>
    <w:rsid w:val="00081495"/>
    <w:rsid w:val="00086F4E"/>
    <w:rsid w:val="000E18EA"/>
    <w:rsid w:val="00125120"/>
    <w:rsid w:val="00180497"/>
    <w:rsid w:val="00193ABB"/>
    <w:rsid w:val="00295F84"/>
    <w:rsid w:val="003251E8"/>
    <w:rsid w:val="003A1524"/>
    <w:rsid w:val="003F2B3C"/>
    <w:rsid w:val="004449A9"/>
    <w:rsid w:val="004825BB"/>
    <w:rsid w:val="0058334F"/>
    <w:rsid w:val="00613E99"/>
    <w:rsid w:val="00685295"/>
    <w:rsid w:val="006905E6"/>
    <w:rsid w:val="006B0D15"/>
    <w:rsid w:val="006F29CE"/>
    <w:rsid w:val="00711274"/>
    <w:rsid w:val="0073310F"/>
    <w:rsid w:val="007577C3"/>
    <w:rsid w:val="0086372B"/>
    <w:rsid w:val="00906BEF"/>
    <w:rsid w:val="009A20FA"/>
    <w:rsid w:val="00A225B2"/>
    <w:rsid w:val="00A85A2C"/>
    <w:rsid w:val="00A97733"/>
    <w:rsid w:val="00AC01EA"/>
    <w:rsid w:val="00BB3E09"/>
    <w:rsid w:val="00BC0591"/>
    <w:rsid w:val="00BD726F"/>
    <w:rsid w:val="00BF6E84"/>
    <w:rsid w:val="00BF7C8A"/>
    <w:rsid w:val="00E617C7"/>
    <w:rsid w:val="00E6294F"/>
    <w:rsid w:val="00F2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1C411F-5292-4457-B4D9-B285BFC6C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ctin">
    <w:name w:val="tactin"/>
    <w:basedOn w:val="Normal"/>
    <w:rsid w:val="0069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n">
    <w:name w:val="tajtin"/>
    <w:basedOn w:val="Normal"/>
    <w:rsid w:val="0069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Normal"/>
    <w:rsid w:val="00690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ctip">
    <w:name w:val="tactip"/>
    <w:basedOn w:val="Normal"/>
    <w:rsid w:val="00BF6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25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25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25B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85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95"/>
  </w:style>
  <w:style w:type="paragraph" w:styleId="Footer">
    <w:name w:val="footer"/>
    <w:basedOn w:val="Normal"/>
    <w:link w:val="FooterChar"/>
    <w:uiPriority w:val="99"/>
    <w:unhideWhenUsed/>
    <w:rsid w:val="006852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490D-32A9-4B93-84FD-BCCB92F7A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</Words>
  <Characters>932</Characters>
  <Application>Microsoft Office Word</Application>
  <DocSecurity>8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Mickevičius</dc:creator>
  <cp:lastModifiedBy>Edita Karaliūtė</cp:lastModifiedBy>
  <cp:revision>1</cp:revision>
  <dcterms:created xsi:type="dcterms:W3CDTF">2020-07-27T10:21:00Z</dcterms:created>
  <dcterms:modified xsi:type="dcterms:W3CDTF">2020-07-27T10:21:00Z</dcterms:modified>
</cp:coreProperties>
</file>