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bottomFromText="160" w:vertAnchor="text" w:horzAnchor="margin" w:tblpXSpec="right" w:tblpY="29"/>
        <w:tblW w:w="4084" w:type="dxa"/>
        <w:tblLayout w:type="fixed"/>
        <w:tblLook w:val="04A0" w:firstRow="1" w:lastRow="0" w:firstColumn="1" w:lastColumn="0" w:noHBand="0" w:noVBand="1"/>
      </w:tblPr>
      <w:tblGrid>
        <w:gridCol w:w="4068"/>
        <w:gridCol w:w="16"/>
      </w:tblGrid>
      <w:tr w:rsidR="006464D7" w14:paraId="734901E2" w14:textId="77777777" w:rsidTr="005F1030">
        <w:trPr>
          <w:cantSplit/>
          <w:trHeight w:val="340"/>
        </w:trPr>
        <w:tc>
          <w:tcPr>
            <w:tcW w:w="4084" w:type="dxa"/>
            <w:gridSpan w:val="2"/>
          </w:tcPr>
          <w:p w14:paraId="50E81A62" w14:textId="77777777" w:rsidR="006464D7" w:rsidRDefault="00CB1F25" w:rsidP="006464D7">
            <w:pPr>
              <w:ind w:right="24"/>
            </w:pPr>
            <w:r>
              <w:t>2020-06</w:t>
            </w:r>
            <w:r w:rsidR="006464D7">
              <w:t xml:space="preserve">-     Nr. </w:t>
            </w:r>
          </w:p>
        </w:tc>
      </w:tr>
      <w:tr w:rsidR="006464D7" w14:paraId="15BAF832" w14:textId="77777777" w:rsidTr="005F1030">
        <w:trPr>
          <w:gridAfter w:val="1"/>
          <w:wAfter w:w="16" w:type="dxa"/>
          <w:cantSplit/>
          <w:trHeight w:val="340"/>
        </w:trPr>
        <w:tc>
          <w:tcPr>
            <w:tcW w:w="4068" w:type="dxa"/>
          </w:tcPr>
          <w:p w14:paraId="52DA249A" w14:textId="77777777" w:rsidR="006464D7" w:rsidRDefault="006A2BF6" w:rsidP="006464D7">
            <w:pPr>
              <w:ind w:right="24"/>
            </w:pPr>
            <w:r>
              <w:t>Į 2020-05-0</w:t>
            </w:r>
            <w:r w:rsidR="009959BC">
              <w:t>7</w:t>
            </w:r>
            <w:r w:rsidR="006464D7">
              <w:t xml:space="preserve"> Nr. </w:t>
            </w:r>
            <w:r w:rsidRPr="006A2BF6">
              <w:rPr>
                <w:rFonts w:eastAsia="SimSun"/>
              </w:rPr>
              <w:t>1D-2307</w:t>
            </w:r>
          </w:p>
        </w:tc>
      </w:tr>
    </w:tbl>
    <w:p w14:paraId="40D05E3F" w14:textId="77777777" w:rsidR="006464D7" w:rsidRDefault="006464D7" w:rsidP="006464D7">
      <w:pPr>
        <w:pStyle w:val="Adresas"/>
      </w:pPr>
      <w:r>
        <w:t xml:space="preserve">Lietuvos Respublikos </w:t>
      </w:r>
      <w:r w:rsidR="006A2BF6">
        <w:t>vidaus reikalų</w:t>
      </w:r>
      <w:r>
        <w:t xml:space="preserve"> ministerijai</w:t>
      </w:r>
    </w:p>
    <w:p w14:paraId="14BC66B0" w14:textId="77777777" w:rsidR="006464D7" w:rsidRDefault="006464D7" w:rsidP="006464D7">
      <w:pPr>
        <w:pStyle w:val="Adresas"/>
        <w:spacing w:line="300" w:lineRule="atLeast"/>
      </w:pPr>
    </w:p>
    <w:p w14:paraId="1ABC3293" w14:textId="77777777" w:rsidR="006464D7" w:rsidRDefault="006464D7" w:rsidP="006464D7">
      <w:pPr>
        <w:pStyle w:val="Kopija"/>
        <w:spacing w:line="300" w:lineRule="atLeast"/>
        <w:ind w:right="0"/>
        <w:jc w:val="both"/>
        <w:rPr>
          <w:b/>
          <w:bCs/>
          <w:caps/>
          <w:color w:val="333333"/>
          <w:shd w:val="clear" w:color="auto" w:fill="FFFFFF"/>
        </w:rPr>
      </w:pPr>
    </w:p>
    <w:p w14:paraId="40ECF390" w14:textId="77777777" w:rsidR="006464D7" w:rsidRDefault="00F70CF7" w:rsidP="006464D7">
      <w:pPr>
        <w:pStyle w:val="Kopija"/>
        <w:spacing w:line="300" w:lineRule="atLeast"/>
        <w:ind w:right="0"/>
        <w:jc w:val="both"/>
        <w:rPr>
          <w:caps/>
        </w:rPr>
      </w:pPr>
      <w:r>
        <w:rPr>
          <w:b/>
          <w:bCs/>
          <w:caps/>
          <w:color w:val="333333"/>
          <w:shd w:val="clear" w:color="auto" w:fill="FFFFFF"/>
        </w:rPr>
        <w:t>dėl teisės akto pRojekto</w:t>
      </w:r>
      <w:r w:rsidR="006464D7">
        <w:rPr>
          <w:b/>
          <w:bCs/>
          <w:caps/>
          <w:color w:val="333333"/>
          <w:shd w:val="clear" w:color="auto" w:fill="FFFFFF"/>
        </w:rPr>
        <w:t xml:space="preserve"> derinimo</w:t>
      </w:r>
    </w:p>
    <w:p w14:paraId="5D48C410" w14:textId="77777777" w:rsidR="006464D7" w:rsidRDefault="006464D7" w:rsidP="006464D7">
      <w:pPr>
        <w:spacing w:line="300" w:lineRule="atLeast"/>
      </w:pPr>
    </w:p>
    <w:p w14:paraId="4B96711B" w14:textId="77777777" w:rsidR="006464D7" w:rsidRDefault="006464D7" w:rsidP="009959BC">
      <w:pPr>
        <w:tabs>
          <w:tab w:val="left" w:pos="2662"/>
          <w:tab w:val="right" w:pos="9638"/>
        </w:tabs>
        <w:spacing w:line="276" w:lineRule="auto"/>
        <w:ind w:firstLine="960"/>
        <w:jc w:val="both"/>
      </w:pPr>
      <w:r>
        <w:t>Teisingumo ministerija, pagal kompetencij</w:t>
      </w:r>
      <w:r w:rsidR="00F70CF7">
        <w:t>ą įvertinusi derinimui pateiktą</w:t>
      </w:r>
      <w:r>
        <w:t xml:space="preserve"> </w:t>
      </w:r>
      <w:hyperlink r:id="rId8" w:history="1">
        <w:r w:rsidR="00002598" w:rsidRPr="00002598">
          <w:rPr>
            <w:rStyle w:val="Hipersaitas"/>
            <w:lang w:eastAsia="en-US"/>
          </w:rPr>
          <w:t>Lietuvos Respublikos pilietybės įstatymo Nr. XI-1196 2, 7, 15, 18, 19, 21, 23, 24, 26, 27, 29, 33, 37, 38, 39, 40, 41, 41</w:t>
        </w:r>
        <w:r w:rsidR="00002598" w:rsidRPr="00002598">
          <w:rPr>
            <w:rStyle w:val="Hipersaitas"/>
            <w:vertAlign w:val="superscript"/>
            <w:lang w:eastAsia="en-US"/>
          </w:rPr>
          <w:t>1</w:t>
        </w:r>
        <w:r w:rsidR="00002598" w:rsidRPr="00002598">
          <w:rPr>
            <w:rStyle w:val="Hipersaitas"/>
            <w:lang w:eastAsia="en-US"/>
          </w:rPr>
          <w:t xml:space="preserve">, 42, 43 ir 45 straipsnių </w:t>
        </w:r>
        <w:r w:rsidR="00002598" w:rsidRPr="00002598">
          <w:rPr>
            <w:rStyle w:val="Hipersaitas"/>
            <w:lang w:eastAsia="lt-LT"/>
          </w:rPr>
          <w:t xml:space="preserve">pakeitimo </w:t>
        </w:r>
        <w:r w:rsidR="00002598" w:rsidRPr="00002598">
          <w:rPr>
            <w:rStyle w:val="Hipersaitas"/>
            <w:lang w:eastAsia="en-US"/>
          </w:rPr>
          <w:t>įstatymo projektą</w:t>
        </w:r>
      </w:hyperlink>
      <w:r w:rsidR="00002598" w:rsidRPr="00002598">
        <w:rPr>
          <w:lang w:eastAsia="en-US"/>
        </w:rPr>
        <w:t xml:space="preserve"> (toliau – Įstatymo projektas)</w:t>
      </w:r>
      <w:r>
        <w:t>, teikia ši</w:t>
      </w:r>
      <w:r w:rsidR="00002598">
        <w:t>as</w:t>
      </w:r>
      <w:r>
        <w:t xml:space="preserve"> pastab</w:t>
      </w:r>
      <w:r w:rsidR="00002598">
        <w:t>as ir pasiūlymus</w:t>
      </w:r>
      <w:r>
        <w:t>:</w:t>
      </w:r>
    </w:p>
    <w:p w14:paraId="657DE3BC" w14:textId="1DF9C0D6" w:rsidR="00002598" w:rsidRDefault="00002598" w:rsidP="00002598">
      <w:pPr>
        <w:pStyle w:val="Sraopastraipa"/>
        <w:numPr>
          <w:ilvl w:val="0"/>
          <w:numId w:val="14"/>
        </w:numPr>
        <w:tabs>
          <w:tab w:val="left" w:pos="1276"/>
          <w:tab w:val="right" w:pos="9638"/>
        </w:tabs>
        <w:spacing w:line="276" w:lineRule="auto"/>
        <w:ind w:left="0" w:firstLine="960"/>
        <w:jc w:val="both"/>
      </w:pPr>
      <w:r>
        <w:t>Atsižvelgiant į tai, kad Pilietybės įstatyme kalbant apie gyvenimą Lietuvoje vartojamos konstrukcijos „nuolatinis gyvenimas“ ir „be pertraukos“, konstrukcijos „laikotarpį</w:t>
      </w:r>
      <w:r w:rsidR="00087080">
        <w:t xml:space="preserve"> (</w:t>
      </w:r>
      <w:r>
        <w:t>...</w:t>
      </w:r>
      <w:r w:rsidR="00087080">
        <w:t xml:space="preserve">) </w:t>
      </w:r>
      <w:r>
        <w:t xml:space="preserve">nutraukia“ vartojimas Pilietybės įstatymo 2 str. 18 d. suponuotų, kad laisvės atėmimo bausmės atlikimas nutrauktų </w:t>
      </w:r>
      <w:r w:rsidR="00087080">
        <w:t xml:space="preserve">Lietuvos Respublikoje pragyvento laikotarpio </w:t>
      </w:r>
      <w:r>
        <w:t xml:space="preserve">termino skaičiavimą ir jis </w:t>
      </w:r>
      <w:r w:rsidR="00D82799">
        <w:t>t</w:t>
      </w:r>
      <w:r>
        <w:t xml:space="preserve">urėtų būti skaičiuojamas iš </w:t>
      </w:r>
      <w:r w:rsidR="002C25E7">
        <w:t>naujo</w:t>
      </w:r>
      <w:r>
        <w:t xml:space="preserve">. Visgi vertinant aiškinamajame rašte pateiktą informaciją, gali susidaryti įspūdis, kad turimas omenyje tik termino </w:t>
      </w:r>
      <w:r w:rsidR="00087080">
        <w:t>su</w:t>
      </w:r>
      <w:r>
        <w:t>stabdymas</w:t>
      </w:r>
      <w:r w:rsidR="00087080">
        <w:t>,</w:t>
      </w:r>
      <w:r>
        <w:t xml:space="preserve"> o ne nutraukimas. Siūlome derinti aiškinamojo rašto te</w:t>
      </w:r>
      <w:r w:rsidR="005B4FFB">
        <w:t>iginius ir Įstatymo projekte vartojamas konstrukcijas, aiškinamajame rašte pagrindžiant tokio reguliavimo nustatymo poreikį.</w:t>
      </w:r>
    </w:p>
    <w:p w14:paraId="299695B7" w14:textId="1167981A" w:rsidR="005B4FFB" w:rsidRDefault="005B4FFB" w:rsidP="005B4FFB">
      <w:pPr>
        <w:pStyle w:val="Sraopastraipa"/>
        <w:tabs>
          <w:tab w:val="left" w:pos="1276"/>
          <w:tab w:val="right" w:pos="9638"/>
        </w:tabs>
        <w:spacing w:line="276" w:lineRule="auto"/>
        <w:ind w:left="0" w:firstLine="960"/>
        <w:jc w:val="both"/>
      </w:pPr>
      <w:r>
        <w:t xml:space="preserve">Tuo pačiu Įstatymo baigiamosiose nuostatose </w:t>
      </w:r>
      <w:r w:rsidR="00087080">
        <w:t xml:space="preserve">turėtų būti </w:t>
      </w:r>
      <w:r>
        <w:t xml:space="preserve">aiškiai pasisakyta dėl pakeitimų šia apimtimi taikymo tiems laisvės atėmimo laikotarpiams, kurie buvo iki pakeitimo įsigaliojimo (įvertinant negaliojimo atgal principą ir pagrindžiant nukrypimo </w:t>
      </w:r>
      <w:r w:rsidR="00087080">
        <w:t xml:space="preserve">nuo šio principo </w:t>
      </w:r>
      <w:r>
        <w:t>atvejus).</w:t>
      </w:r>
    </w:p>
    <w:p w14:paraId="10FA4EF9" w14:textId="45851815" w:rsidR="005B4FFB" w:rsidRDefault="005B4FFB" w:rsidP="005B4FFB">
      <w:pPr>
        <w:pStyle w:val="Sraopastraipa"/>
        <w:numPr>
          <w:ilvl w:val="0"/>
          <w:numId w:val="14"/>
        </w:numPr>
        <w:tabs>
          <w:tab w:val="left" w:pos="1134"/>
          <w:tab w:val="right" w:pos="1276"/>
        </w:tabs>
        <w:spacing w:line="276" w:lineRule="auto"/>
        <w:ind w:left="0" w:firstLine="993"/>
        <w:jc w:val="both"/>
      </w:pPr>
      <w:r>
        <w:t xml:space="preserve">Pastebėtina, kad Pilietybės įstatymo 19 str. 4 d. </w:t>
      </w:r>
      <w:r w:rsidR="00D1158A">
        <w:t xml:space="preserve">ir 21 str. 6 d. </w:t>
      </w:r>
      <w:r>
        <w:t>būtų vartojama nedetalizuota konstrukcija „atsižvelgiant į Lietuvos Respublikos interesus“</w:t>
      </w:r>
      <w:r w:rsidR="00087080">
        <w:t>,</w:t>
      </w:r>
      <w:r>
        <w:t xml:space="preserve"> kuri </w:t>
      </w:r>
      <w:r w:rsidR="00087080">
        <w:t xml:space="preserve">yra </w:t>
      </w:r>
      <w:r>
        <w:t>abstrakti ir neturinti aiškių vertinimo kriterijų, sudaro prielaidas interpretacijai ir nevienodam aiškinimui bei taikymui. Analogiška problema spręstina ir galiojančiose Pilietybės įstatymo 18 str. 6 d. nuostatose.</w:t>
      </w:r>
    </w:p>
    <w:p w14:paraId="6DB4507D" w14:textId="4E42E66D" w:rsidR="005B4FFB" w:rsidRDefault="005B4FFB" w:rsidP="005B4FFB">
      <w:pPr>
        <w:pStyle w:val="Sraopastraipa"/>
        <w:numPr>
          <w:ilvl w:val="0"/>
          <w:numId w:val="14"/>
        </w:numPr>
        <w:tabs>
          <w:tab w:val="left" w:pos="1134"/>
          <w:tab w:val="right" w:pos="1276"/>
        </w:tabs>
        <w:spacing w:line="276" w:lineRule="auto"/>
        <w:ind w:left="0" w:firstLine="993"/>
        <w:jc w:val="both"/>
      </w:pPr>
      <w:r>
        <w:t>Atkreiptinas dėmesys į tai, kad vadovaujantis Vyriausybės įstatymo 29</w:t>
      </w:r>
      <w:r w:rsidRPr="005B4FFB">
        <w:rPr>
          <w:vertAlign w:val="superscript"/>
        </w:rPr>
        <w:t>1</w:t>
      </w:r>
      <w:r>
        <w:t xml:space="preserve"> ir 30 str. įstaigas prie ministerijų ir Vyriausybės įstaigas steigia Vyriausybė</w:t>
      </w:r>
      <w:r w:rsidR="0029349A">
        <w:t>,</w:t>
      </w:r>
      <w:r>
        <w:t xml:space="preserve"> todėl konkrečių šių įstaigų pavadinimų nurodymas įstatymuose gali būti laikomas varžančiu Vyriausybės teisę savarankiškai spręsti dėl šių įstaigų steigimo, veiklos ir tinklo formavimo. Atsižvelgiant į tai</w:t>
      </w:r>
      <w:r w:rsidR="0029349A">
        <w:t>,</w:t>
      </w:r>
      <w:r>
        <w:t xml:space="preserve"> siūlytina įvertinti ir pagrįsti Migracijos departam</w:t>
      </w:r>
      <w:r w:rsidR="002E467E">
        <w:t>ento prie Lietuvos Respublikos vidaus reikalų ministerijos nurodymą Pilietybės įstatyme.</w:t>
      </w:r>
    </w:p>
    <w:p w14:paraId="3980C7CB" w14:textId="398D88CB" w:rsidR="002E467E" w:rsidRDefault="002E467E" w:rsidP="005B4FFB">
      <w:pPr>
        <w:pStyle w:val="Sraopastraipa"/>
        <w:numPr>
          <w:ilvl w:val="0"/>
          <w:numId w:val="14"/>
        </w:numPr>
        <w:tabs>
          <w:tab w:val="left" w:pos="1134"/>
          <w:tab w:val="right" w:pos="1276"/>
        </w:tabs>
        <w:spacing w:line="276" w:lineRule="auto"/>
        <w:ind w:left="0" w:firstLine="993"/>
        <w:jc w:val="both"/>
      </w:pPr>
      <w:r>
        <w:t xml:space="preserve">Įvertinant Pilietybės įstatymo pildymą 7 str. 11 p., siūlytina įvertinti, ar neturėtų būti </w:t>
      </w:r>
      <w:r w:rsidR="00D1158A">
        <w:t xml:space="preserve">Pilietybės įstatyme </w:t>
      </w:r>
      <w:r>
        <w:t>nustatyta pareiga ir 7 str. 11 p. nurodytiems asmenims</w:t>
      </w:r>
      <w:r w:rsidR="00925538">
        <w:t xml:space="preserve"> per tam tikrą terminą</w:t>
      </w:r>
      <w:r w:rsidR="0029349A">
        <w:t>,</w:t>
      </w:r>
      <w:r>
        <w:t xml:space="preserve"> iki jiems sukaks 20 m.</w:t>
      </w:r>
      <w:r w:rsidR="0029349A">
        <w:t>,</w:t>
      </w:r>
      <w:r>
        <w:t xml:space="preserve"> pateikti dokumentus, įrodančius kitos valstybės pilietybės</w:t>
      </w:r>
      <w:r w:rsidRPr="002E467E">
        <w:t xml:space="preserve"> </w:t>
      </w:r>
      <w:r>
        <w:t>atsisakymą, tokių dokumentų nepateikimą laikant pagrindu netekti pilietybės</w:t>
      </w:r>
      <w:r w:rsidR="00925538">
        <w:t>, jei tokie dokumentai būtų nepateikti 20 metų sukakties momentu</w:t>
      </w:r>
      <w:r>
        <w:t xml:space="preserve"> (Įstatymo projekto 8 str.)</w:t>
      </w:r>
      <w:r w:rsidR="0029349A">
        <w:t>.</w:t>
      </w:r>
    </w:p>
    <w:p w14:paraId="1C7D7E4E" w14:textId="30F89B9F" w:rsidR="002E467E" w:rsidRDefault="00D1158A" w:rsidP="00D1158A">
      <w:pPr>
        <w:pStyle w:val="Sraopastraipa"/>
        <w:tabs>
          <w:tab w:val="right" w:pos="1276"/>
          <w:tab w:val="left" w:pos="1418"/>
        </w:tabs>
        <w:spacing w:line="276" w:lineRule="auto"/>
        <w:ind w:left="0" w:firstLine="993"/>
        <w:jc w:val="both"/>
      </w:pPr>
      <w:r>
        <w:lastRenderedPageBreak/>
        <w:t xml:space="preserve">Be to, </w:t>
      </w:r>
      <w:r w:rsidR="002E467E">
        <w:t>Pilietybės įstatymo 26 str. tikslinga aiškiai apibrėžti momentą, nuo kurio Pilietybės įstatymo 7 str. 11 p. nurodyti asmenys netenka Lietuvos pilietybės (kai jiems sukanka 20 met</w:t>
      </w:r>
      <w:r w:rsidR="003871A8">
        <w:t>ų</w:t>
      </w:r>
      <w:r w:rsidR="002E467E">
        <w:t xml:space="preserve"> ar kai jie iki to momento nepateikia kitos valstybės pilietybės netekimą įrodančių dokumentų).</w:t>
      </w:r>
    </w:p>
    <w:p w14:paraId="15633BB9" w14:textId="77777777" w:rsidR="002E467E" w:rsidRDefault="002E467E" w:rsidP="005B4FFB">
      <w:pPr>
        <w:pStyle w:val="Sraopastraipa"/>
        <w:numPr>
          <w:ilvl w:val="0"/>
          <w:numId w:val="14"/>
        </w:numPr>
        <w:tabs>
          <w:tab w:val="left" w:pos="1134"/>
          <w:tab w:val="right" w:pos="1276"/>
        </w:tabs>
        <w:spacing w:line="276" w:lineRule="auto"/>
        <w:ind w:left="0" w:firstLine="993"/>
        <w:jc w:val="both"/>
      </w:pPr>
      <w:r>
        <w:t>Lieka neaišku</w:t>
      </w:r>
      <w:r w:rsidR="003871A8">
        <w:t>,</w:t>
      </w:r>
      <w:r>
        <w:t xml:space="preserve"> kokie konkretūs Notariato įstatymo 26 str. nurodyti notariniai veiksmai turimi omenyje Pilietybės įstatymo 27 str. 2 d. nuostatose. Jei kalba eina apie parašo autentiškumo patvirtinimą, kelia abejones pats reikalavimo tikslingumas ir pridėtinė vertė, kadangi to paties asmens </w:t>
      </w:r>
      <w:r w:rsidR="00E64399">
        <w:t xml:space="preserve">(vaiko atstovo) </w:t>
      </w:r>
      <w:r>
        <w:t>pasirašytas prašymas, išreiškiantis vaiko valią dėl Lietuvos pilietybės įgijimo, būtų laikomas tinkamu ir be notarinio veiksmo. Be to, konstrukcijoje siūlytina kalbėti apie vaiko atstovą (analogiškai kaip tai daroma Pilietybės įstatymo  37 str. 1 d.)</w:t>
      </w:r>
      <w:r w:rsidR="00E64399">
        <w:t>.</w:t>
      </w:r>
    </w:p>
    <w:p w14:paraId="1AF6E354" w14:textId="77777777" w:rsidR="00E64399" w:rsidRDefault="00E64399" w:rsidP="005B4FFB">
      <w:pPr>
        <w:pStyle w:val="Sraopastraipa"/>
        <w:numPr>
          <w:ilvl w:val="0"/>
          <w:numId w:val="14"/>
        </w:numPr>
        <w:tabs>
          <w:tab w:val="left" w:pos="1134"/>
          <w:tab w:val="right" w:pos="1276"/>
        </w:tabs>
        <w:spacing w:line="276" w:lineRule="auto"/>
        <w:ind w:left="0" w:firstLine="993"/>
        <w:jc w:val="both"/>
      </w:pPr>
      <w:r>
        <w:t>Vertinant siūlomas Pilietybės įstatymo 33 str. nuostatas, pastebėtina, kad detalus visų institucijos funkcijų, nurodytų kituose Pilietybės įstatymo straipsniuose, perrašymas atskirame straipsnyje neturi įtakos institucijos įgaliojimų apimčiai ir laikytinas pertekliniu teisėkūriniu veiksmu, kadangi pilnai užtektų konstrukcijos „vykdo kitas šio įstatymo nustatytas funkcijas“ vartojimo.</w:t>
      </w:r>
    </w:p>
    <w:p w14:paraId="0C7BCD0F" w14:textId="46FCA70D" w:rsidR="00C756C4" w:rsidRDefault="00E64399" w:rsidP="005B4FFB">
      <w:pPr>
        <w:pStyle w:val="Sraopastraipa"/>
        <w:numPr>
          <w:ilvl w:val="0"/>
          <w:numId w:val="14"/>
        </w:numPr>
        <w:tabs>
          <w:tab w:val="left" w:pos="1134"/>
          <w:tab w:val="right" w:pos="1276"/>
        </w:tabs>
        <w:spacing w:line="276" w:lineRule="auto"/>
        <w:ind w:left="0" w:firstLine="993"/>
        <w:jc w:val="both"/>
      </w:pPr>
      <w:r>
        <w:t>Vertinant Įstatymo projekto 22 str. 3 ir 4 d. nuostatas, lieka neaišku, kurios Pilietybės įstatymo redakcijos taikymas turimas omenyje (atitinkamų santykių atsiradimo metu galiojusios, ar ši</w:t>
      </w:r>
      <w:r w:rsidR="009D65A9">
        <w:t>uo</w:t>
      </w:r>
      <w:r>
        <w:t xml:space="preserve"> </w:t>
      </w:r>
      <w:r w:rsidR="009D65A9">
        <w:t>Į</w:t>
      </w:r>
      <w:r>
        <w:t>statymo projektu dėstomos</w:t>
      </w:r>
      <w:r w:rsidR="009F580A">
        <w:t>)</w:t>
      </w:r>
      <w:r>
        <w:t xml:space="preserve">. </w:t>
      </w:r>
      <w:r w:rsidR="00C756C4">
        <w:t>Jei turima omenyje redakcija</w:t>
      </w:r>
      <w:r w:rsidR="009D65A9">
        <w:t xml:space="preserve"> su Įstatymo projektu siūlomais pakeitimais</w:t>
      </w:r>
      <w:r w:rsidR="00C756C4">
        <w:t>, ji, kai</w:t>
      </w:r>
      <w:r w:rsidR="009D65A9">
        <w:t>p</w:t>
      </w:r>
      <w:r w:rsidR="00C756C4">
        <w:t xml:space="preserve"> prašymo teikimo metu galiojanti, ir taip turėtų būti taikoma svarstant prašymus, pateiktus po pakeitimų įsigaliojimo (Įstatymo projekto 22 str. 3 d. atveju).</w:t>
      </w:r>
    </w:p>
    <w:p w14:paraId="04766D21" w14:textId="3A0F12B0" w:rsidR="00E64399" w:rsidRDefault="00E64399" w:rsidP="00C756C4">
      <w:pPr>
        <w:pStyle w:val="Sraopastraipa"/>
        <w:tabs>
          <w:tab w:val="right" w:pos="1276"/>
          <w:tab w:val="left" w:pos="1843"/>
        </w:tabs>
        <w:spacing w:line="276" w:lineRule="auto"/>
        <w:ind w:left="0" w:firstLine="993"/>
        <w:jc w:val="both"/>
      </w:pPr>
      <w:r>
        <w:t xml:space="preserve">Be to, pastebėtina, kad Įstatymo projekto 22 </w:t>
      </w:r>
      <w:r w:rsidR="009F580A">
        <w:t>str. 4</w:t>
      </w:r>
      <w:r>
        <w:t xml:space="preserve"> d. nuos</w:t>
      </w:r>
      <w:r w:rsidR="009F580A">
        <w:t>tatų</w:t>
      </w:r>
      <w:r>
        <w:t xml:space="preserve"> </w:t>
      </w:r>
      <w:r w:rsidR="009F580A">
        <w:t xml:space="preserve">atveju kyla jų tikslingumo klausimas. Pagal </w:t>
      </w:r>
      <w:r w:rsidR="00C756C4">
        <w:t>Pilietybės įstatymo 23 str. 9 d. a</w:t>
      </w:r>
      <w:r w:rsidR="00C756C4" w:rsidRPr="00C756C4">
        <w:t>smenys, kurie, įgydami Lietuvos Respublikos pilietybę, turėjo kitos valstybės pilietybę, prisiekia Lietuvos Respublikai tik po to, kai šio straipsnio 5 dalyje nurodytoms institucijoms pateikia įrodymus, kad jie nėra kitos valstybės piliečiai. Reikalavimas pateikti įrodymus apie kitos valstybės pilietybės netekimą netaikomas asmenims, kurie pagal šio įstatymo 7 straipsnį gali būti kartu Lietuvos Respublikos ir kitos valstybės piliečiai</w:t>
      </w:r>
      <w:r w:rsidR="00C756C4">
        <w:t xml:space="preserve"> (jiems atsisakyti pilietybės nereikia)</w:t>
      </w:r>
      <w:r w:rsidR="00C756C4" w:rsidRPr="00C756C4">
        <w:t>. Reikalavimas pateikti įrodymus apie kitos valstybės pilietybės netekimą netaikomas tais atvejais, kai kitos valstybės teisėje nenustatyta jos pilietybės atsisakymo ar netekimo įgijus kitos valstybės pilietybę procedūrų arba šios procedūros neatitinka protingumo kriterijų vidaus reikalų ministro sprendimu.</w:t>
      </w:r>
      <w:r w:rsidR="00C756C4">
        <w:t xml:space="preserve"> Atsižvelgiant į tai, kad vieninteliais atvejais, kuriems </w:t>
      </w:r>
      <w:r w:rsidR="00D1158A">
        <w:t xml:space="preserve">Įstatymo projekto  22 str. 4 d. </w:t>
      </w:r>
      <w:r w:rsidR="00C756C4">
        <w:t xml:space="preserve">nuostata galėtų būti aktuali, jau iki priesaikos buvo nustatyta, kad </w:t>
      </w:r>
      <w:r w:rsidR="00C756C4" w:rsidRPr="00C756C4">
        <w:t>kitos valstybės teisėje nenustatyta jos pilietybės atsisakymo ar netekimo įgijus kitos valstybės pilietybę procedūrų arba šios procedūros neatitinka protingumo kriterij</w:t>
      </w:r>
      <w:r w:rsidR="00C756C4">
        <w:t>ų</w:t>
      </w:r>
      <w:r w:rsidR="00D1158A">
        <w:t xml:space="preserve"> pagal Pilietybės įstatymo 23 str. 9 d.</w:t>
      </w:r>
      <w:r w:rsidR="00C756C4">
        <w:t>, siūlome įvertinti, ar Įstatymo projekto 22 str. 4 d. nuostatų realizavimas nesukels papildomos administracinės naštos, nesant realios pridėtinės vertės.</w:t>
      </w:r>
    </w:p>
    <w:p w14:paraId="4FB6E135" w14:textId="55805B66" w:rsidR="006464D7" w:rsidRDefault="009F580A" w:rsidP="00D1158A">
      <w:pPr>
        <w:pStyle w:val="Sraopastraipa"/>
        <w:numPr>
          <w:ilvl w:val="0"/>
          <w:numId w:val="14"/>
        </w:numPr>
        <w:tabs>
          <w:tab w:val="left" w:pos="1134"/>
          <w:tab w:val="right" w:pos="1276"/>
        </w:tabs>
        <w:spacing w:line="276" w:lineRule="auto"/>
        <w:ind w:left="0" w:firstLine="993"/>
        <w:jc w:val="both"/>
      </w:pPr>
      <w:r>
        <w:t xml:space="preserve">Pilietybės įstatymo 23 str. 13 d. antroji pastraipa dėstytina kaip savarankiška </w:t>
      </w:r>
      <w:r w:rsidR="00481D2C">
        <w:t xml:space="preserve">numeruota </w:t>
      </w:r>
      <w:r w:rsidR="00D33B4A">
        <w:t xml:space="preserve">straipsnio </w:t>
      </w:r>
      <w:r>
        <w:t>dalis</w:t>
      </w:r>
      <w:r w:rsidR="00481D2C">
        <w:t>, kadangi Teisėkūros pagrindų įstatymo 13 str. 2 d. nenumato tokios įstatymo struktūrinės dalies kaip straipsnio dalies pastraipa</w:t>
      </w:r>
      <w:r>
        <w:t>.</w:t>
      </w:r>
      <w:r w:rsidR="00D33B4A">
        <w:t xml:space="preserve"> Atsižvelgus į šią pastabą, turės būti peržiūrėtos Įstatymo projekte teikiamos nuorodos į 23 str. 13 d.</w:t>
      </w:r>
    </w:p>
    <w:p w14:paraId="35EA8279" w14:textId="77777777" w:rsidR="006464D7" w:rsidRDefault="006464D7" w:rsidP="009959BC">
      <w:pPr>
        <w:tabs>
          <w:tab w:val="left" w:pos="2662"/>
          <w:tab w:val="right" w:pos="9638"/>
        </w:tabs>
        <w:spacing w:line="276" w:lineRule="auto"/>
        <w:jc w:val="both"/>
      </w:pPr>
    </w:p>
    <w:p w14:paraId="009C3C18" w14:textId="77777777" w:rsidR="006464D7" w:rsidRDefault="006464D7" w:rsidP="006464D7">
      <w:pPr>
        <w:tabs>
          <w:tab w:val="left" w:pos="2662"/>
          <w:tab w:val="right" w:pos="9638"/>
        </w:tabs>
      </w:pPr>
      <w:r>
        <w:t>Teisingumo ministras</w:t>
      </w:r>
      <w:r>
        <w:tab/>
      </w:r>
      <w:r>
        <w:tab/>
        <w:t>Elvinas Jankevičius</w:t>
      </w:r>
    </w:p>
    <w:p w14:paraId="6781076B" w14:textId="77777777" w:rsidR="006464D7" w:rsidRDefault="006464D7" w:rsidP="006464D7">
      <w:pPr>
        <w:tabs>
          <w:tab w:val="decimal" w:pos="9638"/>
        </w:tabs>
      </w:pPr>
    </w:p>
    <w:p w14:paraId="5C068490" w14:textId="77777777" w:rsidR="006464D7" w:rsidRDefault="006464D7" w:rsidP="006464D7">
      <w:pPr>
        <w:tabs>
          <w:tab w:val="decimal" w:pos="9638"/>
        </w:tabs>
      </w:pPr>
    </w:p>
    <w:p w14:paraId="01186959" w14:textId="77777777" w:rsidR="006464D7" w:rsidRDefault="006464D7" w:rsidP="006464D7">
      <w:pPr>
        <w:tabs>
          <w:tab w:val="decimal" w:pos="9638"/>
        </w:tabs>
        <w:rPr>
          <w:color w:val="000000" w:themeColor="text1"/>
          <w:sz w:val="20"/>
          <w:szCs w:val="20"/>
        </w:rPr>
      </w:pPr>
      <w:r w:rsidRPr="006464D7">
        <w:rPr>
          <w:color w:val="000000" w:themeColor="text1"/>
          <w:sz w:val="20"/>
          <w:szCs w:val="20"/>
        </w:rPr>
        <w:t xml:space="preserve">Darius Trinkūnas, (8 5) 266 2912, el. p. </w:t>
      </w:r>
      <w:hyperlink r:id="rId9" w:history="1">
        <w:r w:rsidR="00002598" w:rsidRPr="00436700">
          <w:rPr>
            <w:rStyle w:val="Hipersaitas"/>
            <w:sz w:val="20"/>
            <w:szCs w:val="20"/>
          </w:rPr>
          <w:t>darius.trinkunas@tm.lt</w:t>
        </w:r>
      </w:hyperlink>
    </w:p>
    <w:p w14:paraId="208E376D" w14:textId="77777777" w:rsidR="00002598" w:rsidRDefault="00002598" w:rsidP="006464D7">
      <w:pPr>
        <w:tabs>
          <w:tab w:val="decimal" w:pos="9638"/>
        </w:tabs>
        <w:rPr>
          <w:color w:val="000000" w:themeColor="text1"/>
          <w:sz w:val="20"/>
          <w:szCs w:val="20"/>
        </w:rPr>
      </w:pPr>
      <w:r>
        <w:rPr>
          <w:color w:val="000000" w:themeColor="text1"/>
          <w:sz w:val="20"/>
          <w:szCs w:val="20"/>
        </w:rPr>
        <w:t xml:space="preserve">Petras Butrimas, (8  5) </w:t>
      </w:r>
      <w:r w:rsidRPr="00002598">
        <w:rPr>
          <w:color w:val="000000" w:themeColor="text1"/>
          <w:sz w:val="20"/>
          <w:szCs w:val="20"/>
        </w:rPr>
        <w:t>2662888</w:t>
      </w:r>
      <w:r>
        <w:rPr>
          <w:color w:val="000000" w:themeColor="text1"/>
          <w:sz w:val="20"/>
          <w:szCs w:val="20"/>
        </w:rPr>
        <w:t xml:space="preserve">, </w:t>
      </w:r>
      <w:r w:rsidRPr="006464D7">
        <w:rPr>
          <w:color w:val="000000" w:themeColor="text1"/>
          <w:sz w:val="20"/>
          <w:szCs w:val="20"/>
        </w:rPr>
        <w:t>el. p.</w:t>
      </w:r>
      <w:r>
        <w:rPr>
          <w:color w:val="000000" w:themeColor="text1"/>
          <w:sz w:val="20"/>
          <w:szCs w:val="20"/>
        </w:rPr>
        <w:t xml:space="preserve"> </w:t>
      </w:r>
      <w:hyperlink r:id="rId10" w:history="1">
        <w:r w:rsidRPr="00436700">
          <w:rPr>
            <w:rStyle w:val="Hipersaitas"/>
            <w:sz w:val="20"/>
            <w:szCs w:val="20"/>
          </w:rPr>
          <w:t>petras.butrimas@tm.lt</w:t>
        </w:r>
      </w:hyperlink>
      <w:r>
        <w:rPr>
          <w:color w:val="000000" w:themeColor="text1"/>
          <w:sz w:val="20"/>
          <w:szCs w:val="20"/>
        </w:rPr>
        <w:t xml:space="preserve"> </w:t>
      </w:r>
    </w:p>
    <w:p w14:paraId="5F18BD54" w14:textId="383F4154" w:rsidR="00E75D83" w:rsidRPr="006464D7" w:rsidRDefault="00002598" w:rsidP="006464D7">
      <w:pPr>
        <w:tabs>
          <w:tab w:val="decimal" w:pos="9638"/>
        </w:tabs>
        <w:rPr>
          <w:color w:val="000000" w:themeColor="text1"/>
          <w:sz w:val="20"/>
          <w:szCs w:val="20"/>
        </w:rPr>
      </w:pPr>
      <w:r>
        <w:rPr>
          <w:color w:val="000000" w:themeColor="text1"/>
          <w:sz w:val="20"/>
          <w:szCs w:val="20"/>
        </w:rPr>
        <w:t xml:space="preserve">Ričard Dzikovič, (8 5) </w:t>
      </w:r>
      <w:r w:rsidRPr="00002598">
        <w:rPr>
          <w:sz w:val="20"/>
          <w:szCs w:val="20"/>
        </w:rPr>
        <w:t>2662939</w:t>
      </w:r>
      <w:r>
        <w:rPr>
          <w:sz w:val="20"/>
          <w:szCs w:val="20"/>
        </w:rPr>
        <w:t xml:space="preserve">, </w:t>
      </w:r>
      <w:r w:rsidRPr="006464D7">
        <w:rPr>
          <w:color w:val="000000" w:themeColor="text1"/>
          <w:sz w:val="20"/>
          <w:szCs w:val="20"/>
        </w:rPr>
        <w:t>el. p.</w:t>
      </w:r>
      <w:r>
        <w:rPr>
          <w:color w:val="000000" w:themeColor="text1"/>
          <w:sz w:val="20"/>
          <w:szCs w:val="20"/>
        </w:rPr>
        <w:t xml:space="preserve"> </w:t>
      </w:r>
      <w:hyperlink r:id="rId11" w:history="1">
        <w:r w:rsidRPr="00436700">
          <w:rPr>
            <w:rStyle w:val="Hipersaitas"/>
            <w:sz w:val="20"/>
            <w:szCs w:val="20"/>
          </w:rPr>
          <w:t>ricard.dzikovic@tm.lt</w:t>
        </w:r>
      </w:hyperlink>
      <w:r>
        <w:rPr>
          <w:color w:val="000000" w:themeColor="text1"/>
          <w:sz w:val="20"/>
          <w:szCs w:val="20"/>
        </w:rPr>
        <w:t xml:space="preserve"> </w:t>
      </w:r>
      <w:bookmarkStart w:id="0" w:name="_GoBack"/>
      <w:bookmarkEnd w:id="0"/>
    </w:p>
    <w:sectPr w:rsidR="00E75D83" w:rsidRPr="006464D7" w:rsidSect="00137EFF">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AD082" w14:textId="77777777" w:rsidR="00B7787F" w:rsidRDefault="00B7787F">
      <w:r>
        <w:separator/>
      </w:r>
    </w:p>
  </w:endnote>
  <w:endnote w:type="continuationSeparator" w:id="0">
    <w:p w14:paraId="29776BAC" w14:textId="77777777" w:rsidR="00B7787F" w:rsidRDefault="00B7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0C2B7" w14:textId="77777777" w:rsidR="00925538" w:rsidRDefault="00925538" w:rsidP="00137EFF">
    <w:pPr>
      <w:pStyle w:val="Porat"/>
      <w:tabs>
        <w:tab w:val="clear" w:pos="8306"/>
        <w:tab w:val="left" w:pos="8080"/>
        <w:tab w:val="right" w:pos="9356"/>
      </w:tabs>
    </w:pPr>
    <w:r>
      <w:rPr>
        <w:noProof/>
        <w:lang w:eastAsia="lt-LT"/>
      </w:rPr>
      <w:drawing>
        <wp:inline distT="0" distB="0" distL="0" distR="0" wp14:anchorId="2C4BB1B7" wp14:editId="6EED7C64">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7CCAC902" w14:textId="77777777" w:rsidR="00925538" w:rsidRDefault="00925538"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5CD98" w14:textId="77777777" w:rsidR="00B7787F" w:rsidRDefault="00B7787F">
      <w:r>
        <w:separator/>
      </w:r>
    </w:p>
  </w:footnote>
  <w:footnote w:type="continuationSeparator" w:id="0">
    <w:p w14:paraId="117043CA" w14:textId="77777777" w:rsidR="00B7787F" w:rsidRDefault="00B77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878CB" w14:textId="77777777" w:rsidR="00925538" w:rsidRDefault="00925538"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A34B7" w14:textId="77777777" w:rsidR="00925538" w:rsidRPr="00095F50" w:rsidRDefault="00925538"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74D6AE7B" wp14:editId="6AF0A08A">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28B55854" w14:textId="77777777" w:rsidR="00925538" w:rsidRPr="006A0169" w:rsidRDefault="00925538" w:rsidP="006A0169">
    <w:pPr>
      <w:tabs>
        <w:tab w:val="right" w:pos="8306"/>
      </w:tabs>
      <w:suppressAutoHyphens w:val="0"/>
      <w:jc w:val="center"/>
      <w:rPr>
        <w:sz w:val="16"/>
        <w:lang w:eastAsia="en-US"/>
      </w:rPr>
    </w:pPr>
  </w:p>
  <w:p w14:paraId="500A4E21" w14:textId="77777777" w:rsidR="00925538" w:rsidRPr="006A0169" w:rsidRDefault="00925538" w:rsidP="006A0169">
    <w:pPr>
      <w:suppressAutoHyphens w:val="0"/>
      <w:jc w:val="center"/>
      <w:rPr>
        <w:b/>
        <w:bCs/>
        <w:sz w:val="26"/>
        <w:lang w:eastAsia="en-US"/>
      </w:rPr>
    </w:pPr>
    <w:r w:rsidRPr="006A0169">
      <w:rPr>
        <w:b/>
        <w:bCs/>
        <w:sz w:val="26"/>
        <w:lang w:eastAsia="en-US"/>
      </w:rPr>
      <w:t>LIETUVOS RESPUBLIKOS TEISINGUMO MINISTERIJA</w:t>
    </w:r>
  </w:p>
  <w:p w14:paraId="366429FF" w14:textId="77777777" w:rsidR="00925538" w:rsidRPr="006A0169" w:rsidRDefault="00925538" w:rsidP="006A0169">
    <w:pPr>
      <w:suppressAutoHyphens w:val="0"/>
      <w:jc w:val="center"/>
      <w:rPr>
        <w:b/>
        <w:bCs/>
        <w:sz w:val="26"/>
        <w:lang w:eastAsia="en-US"/>
      </w:rPr>
    </w:pPr>
  </w:p>
  <w:p w14:paraId="3BABE597" w14:textId="77777777" w:rsidR="00925538" w:rsidRDefault="0092553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C93B669" w14:textId="77777777" w:rsidR="00925538" w:rsidRDefault="00925538" w:rsidP="00D22358">
    <w:pPr>
      <w:pBdr>
        <w:bottom w:val="single" w:sz="4" w:space="1" w:color="auto"/>
      </w:pBdr>
      <w:suppressAutoHyphens w:val="0"/>
      <w:jc w:val="center"/>
      <w:rPr>
        <w:sz w:val="20"/>
        <w:lang w:eastAsia="en-US"/>
      </w:rPr>
    </w:pPr>
    <w:r>
      <w:rPr>
        <w:sz w:val="20"/>
        <w:lang w:eastAsia="en-US"/>
      </w:rPr>
      <w:t>tel. (8 5) 266 2984, faks. (8 5) 262 5940, el. p. rastine@tm.lt,</w:t>
    </w:r>
  </w:p>
  <w:p w14:paraId="59C9AAD7" w14:textId="77777777" w:rsidR="00925538" w:rsidRDefault="00925538" w:rsidP="00D2235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14:paraId="28ABEC00" w14:textId="77777777" w:rsidR="00925538" w:rsidRDefault="0092553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66897312" w14:textId="77777777" w:rsidR="00925538" w:rsidRPr="006A0169" w:rsidRDefault="00925538" w:rsidP="006A0169">
    <w:pPr>
      <w:tabs>
        <w:tab w:val="right" w:pos="8306"/>
      </w:tabs>
      <w:suppressAutoHyphens w:val="0"/>
      <w:jc w:val="center"/>
      <w:rPr>
        <w:sz w:val="20"/>
        <w:lang w:eastAsia="en-US"/>
      </w:rPr>
    </w:pPr>
  </w:p>
  <w:p w14:paraId="421066C9" w14:textId="77777777" w:rsidR="00925538" w:rsidRPr="006A0169" w:rsidRDefault="00925538"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2DDE92"/>
    <w:multiLevelType w:val="multilevel"/>
    <w:tmpl w:val="E72DDE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3BFA3401"/>
    <w:multiLevelType w:val="hybridMultilevel"/>
    <w:tmpl w:val="1EF4BBA4"/>
    <w:lvl w:ilvl="0" w:tplc="D7601A4C">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8"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11"/>
  </w:num>
  <w:num w:numId="3">
    <w:abstractNumId w:val="3"/>
  </w:num>
  <w:num w:numId="4">
    <w:abstractNumId w:val="12"/>
  </w:num>
  <w:num w:numId="5">
    <w:abstractNumId w:val="9"/>
  </w:num>
  <w:num w:numId="6">
    <w:abstractNumId w:val="8"/>
  </w:num>
  <w:num w:numId="7">
    <w:abstractNumId w:val="4"/>
  </w:num>
  <w:num w:numId="8">
    <w:abstractNumId w:val="5"/>
  </w:num>
  <w:num w:numId="9">
    <w:abstractNumId w:val="6"/>
  </w:num>
  <w:num w:numId="10">
    <w:abstractNumId w:val="10"/>
  </w:num>
  <w:num w:numId="11">
    <w:abstractNumId w:val="11"/>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2598"/>
    <w:rsid w:val="000126A3"/>
    <w:rsid w:val="000203F3"/>
    <w:rsid w:val="00022E3C"/>
    <w:rsid w:val="00033F22"/>
    <w:rsid w:val="000356BD"/>
    <w:rsid w:val="0004405D"/>
    <w:rsid w:val="00045F11"/>
    <w:rsid w:val="0006186E"/>
    <w:rsid w:val="00072919"/>
    <w:rsid w:val="000756A8"/>
    <w:rsid w:val="00087080"/>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63C9F"/>
    <w:rsid w:val="001878DC"/>
    <w:rsid w:val="00190B04"/>
    <w:rsid w:val="001924C9"/>
    <w:rsid w:val="001A2BEB"/>
    <w:rsid w:val="001B28DE"/>
    <w:rsid w:val="001C1840"/>
    <w:rsid w:val="001E0731"/>
    <w:rsid w:val="001E192A"/>
    <w:rsid w:val="001E213B"/>
    <w:rsid w:val="001E6F39"/>
    <w:rsid w:val="001F4940"/>
    <w:rsid w:val="00216724"/>
    <w:rsid w:val="00224C7E"/>
    <w:rsid w:val="00225009"/>
    <w:rsid w:val="00247655"/>
    <w:rsid w:val="00271BCA"/>
    <w:rsid w:val="0027526A"/>
    <w:rsid w:val="0029349A"/>
    <w:rsid w:val="002C0406"/>
    <w:rsid w:val="002C25E7"/>
    <w:rsid w:val="002D24DA"/>
    <w:rsid w:val="002E467E"/>
    <w:rsid w:val="002F357E"/>
    <w:rsid w:val="00314884"/>
    <w:rsid w:val="0031547F"/>
    <w:rsid w:val="00335E75"/>
    <w:rsid w:val="00345C41"/>
    <w:rsid w:val="00350171"/>
    <w:rsid w:val="0035263F"/>
    <w:rsid w:val="00357B11"/>
    <w:rsid w:val="00374572"/>
    <w:rsid w:val="003871A8"/>
    <w:rsid w:val="00392BAA"/>
    <w:rsid w:val="003A0D57"/>
    <w:rsid w:val="003A403B"/>
    <w:rsid w:val="003A6CAA"/>
    <w:rsid w:val="003C1BC9"/>
    <w:rsid w:val="003C76FB"/>
    <w:rsid w:val="00422F55"/>
    <w:rsid w:val="004400C5"/>
    <w:rsid w:val="00444D3C"/>
    <w:rsid w:val="004473FF"/>
    <w:rsid w:val="00477775"/>
    <w:rsid w:val="00481D2C"/>
    <w:rsid w:val="0049678E"/>
    <w:rsid w:val="004C157C"/>
    <w:rsid w:val="004E0354"/>
    <w:rsid w:val="004E4C97"/>
    <w:rsid w:val="004F7E5E"/>
    <w:rsid w:val="00503401"/>
    <w:rsid w:val="0051548F"/>
    <w:rsid w:val="00520A82"/>
    <w:rsid w:val="00526983"/>
    <w:rsid w:val="005468FA"/>
    <w:rsid w:val="00561D92"/>
    <w:rsid w:val="005707F3"/>
    <w:rsid w:val="00584AF7"/>
    <w:rsid w:val="005934F7"/>
    <w:rsid w:val="005A2039"/>
    <w:rsid w:val="005A32E3"/>
    <w:rsid w:val="005A3F5C"/>
    <w:rsid w:val="005B22EF"/>
    <w:rsid w:val="005B4FFB"/>
    <w:rsid w:val="005B71DB"/>
    <w:rsid w:val="005E7F01"/>
    <w:rsid w:val="005F1030"/>
    <w:rsid w:val="005F6849"/>
    <w:rsid w:val="005F70CA"/>
    <w:rsid w:val="006202AA"/>
    <w:rsid w:val="00631354"/>
    <w:rsid w:val="00632C30"/>
    <w:rsid w:val="006464D7"/>
    <w:rsid w:val="00674F0A"/>
    <w:rsid w:val="00685024"/>
    <w:rsid w:val="00692B0B"/>
    <w:rsid w:val="006A0169"/>
    <w:rsid w:val="006A2BF6"/>
    <w:rsid w:val="006A3AEE"/>
    <w:rsid w:val="006C40A2"/>
    <w:rsid w:val="006E2FF8"/>
    <w:rsid w:val="0070100A"/>
    <w:rsid w:val="007155A1"/>
    <w:rsid w:val="00735C7F"/>
    <w:rsid w:val="0074745C"/>
    <w:rsid w:val="00755247"/>
    <w:rsid w:val="0075689A"/>
    <w:rsid w:val="00761752"/>
    <w:rsid w:val="00775BDF"/>
    <w:rsid w:val="007B1F82"/>
    <w:rsid w:val="007B3C8C"/>
    <w:rsid w:val="007B4A13"/>
    <w:rsid w:val="007B6BBC"/>
    <w:rsid w:val="007D2E15"/>
    <w:rsid w:val="007F7B9B"/>
    <w:rsid w:val="008309E8"/>
    <w:rsid w:val="008526AA"/>
    <w:rsid w:val="008A5254"/>
    <w:rsid w:val="008C162A"/>
    <w:rsid w:val="008E5458"/>
    <w:rsid w:val="00921A20"/>
    <w:rsid w:val="00925538"/>
    <w:rsid w:val="00935287"/>
    <w:rsid w:val="00952D9A"/>
    <w:rsid w:val="00967916"/>
    <w:rsid w:val="00977F51"/>
    <w:rsid w:val="009959BC"/>
    <w:rsid w:val="009A11A6"/>
    <w:rsid w:val="009A6929"/>
    <w:rsid w:val="009B0944"/>
    <w:rsid w:val="009B4576"/>
    <w:rsid w:val="009D5D3E"/>
    <w:rsid w:val="009D65A9"/>
    <w:rsid w:val="009E11EE"/>
    <w:rsid w:val="009E135C"/>
    <w:rsid w:val="009F580A"/>
    <w:rsid w:val="00A17E41"/>
    <w:rsid w:val="00A36467"/>
    <w:rsid w:val="00A40CD2"/>
    <w:rsid w:val="00A43DDD"/>
    <w:rsid w:val="00A45A83"/>
    <w:rsid w:val="00A500C7"/>
    <w:rsid w:val="00A5068D"/>
    <w:rsid w:val="00A51241"/>
    <w:rsid w:val="00A8710A"/>
    <w:rsid w:val="00A94549"/>
    <w:rsid w:val="00AC27D6"/>
    <w:rsid w:val="00AD37E3"/>
    <w:rsid w:val="00AE0614"/>
    <w:rsid w:val="00AE3511"/>
    <w:rsid w:val="00B40D2F"/>
    <w:rsid w:val="00B4320D"/>
    <w:rsid w:val="00B7339D"/>
    <w:rsid w:val="00B7787F"/>
    <w:rsid w:val="00B942CE"/>
    <w:rsid w:val="00BA20D0"/>
    <w:rsid w:val="00BA60D3"/>
    <w:rsid w:val="00BB1BC1"/>
    <w:rsid w:val="00BB4D0A"/>
    <w:rsid w:val="00BD01B6"/>
    <w:rsid w:val="00BD62CA"/>
    <w:rsid w:val="00BF4400"/>
    <w:rsid w:val="00C2360C"/>
    <w:rsid w:val="00C26D5D"/>
    <w:rsid w:val="00C309A2"/>
    <w:rsid w:val="00C43A57"/>
    <w:rsid w:val="00C52D99"/>
    <w:rsid w:val="00C756C4"/>
    <w:rsid w:val="00C843F3"/>
    <w:rsid w:val="00CB1D28"/>
    <w:rsid w:val="00CB1F25"/>
    <w:rsid w:val="00CC742A"/>
    <w:rsid w:val="00CD660D"/>
    <w:rsid w:val="00D1158A"/>
    <w:rsid w:val="00D2173F"/>
    <w:rsid w:val="00D22358"/>
    <w:rsid w:val="00D22A39"/>
    <w:rsid w:val="00D33B4A"/>
    <w:rsid w:val="00D519E9"/>
    <w:rsid w:val="00D553A0"/>
    <w:rsid w:val="00D6461F"/>
    <w:rsid w:val="00D82799"/>
    <w:rsid w:val="00D9324E"/>
    <w:rsid w:val="00DA10E1"/>
    <w:rsid w:val="00DA16FD"/>
    <w:rsid w:val="00DB7EC6"/>
    <w:rsid w:val="00E03B24"/>
    <w:rsid w:val="00E04931"/>
    <w:rsid w:val="00E214C4"/>
    <w:rsid w:val="00E32D88"/>
    <w:rsid w:val="00E35543"/>
    <w:rsid w:val="00E36636"/>
    <w:rsid w:val="00E54898"/>
    <w:rsid w:val="00E63465"/>
    <w:rsid w:val="00E64399"/>
    <w:rsid w:val="00E75D83"/>
    <w:rsid w:val="00E81F28"/>
    <w:rsid w:val="00E843B1"/>
    <w:rsid w:val="00E96B50"/>
    <w:rsid w:val="00EA3009"/>
    <w:rsid w:val="00ED73D6"/>
    <w:rsid w:val="00EE5859"/>
    <w:rsid w:val="00EF07A0"/>
    <w:rsid w:val="00EF5630"/>
    <w:rsid w:val="00F05FB4"/>
    <w:rsid w:val="00F131BB"/>
    <w:rsid w:val="00F6147E"/>
    <w:rsid w:val="00F62B9E"/>
    <w:rsid w:val="00F70CF7"/>
    <w:rsid w:val="00F718D4"/>
    <w:rsid w:val="00F73A02"/>
    <w:rsid w:val="00F85A80"/>
    <w:rsid w:val="00F93BDB"/>
    <w:rsid w:val="00F947AC"/>
    <w:rsid w:val="00FA5DEE"/>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23BC"/>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paragraph" w:styleId="Betarp">
    <w:name w:val="No Spacing"/>
    <w:uiPriority w:val="1"/>
    <w:qFormat/>
    <w:rsid w:val="005707F3"/>
    <w:rPr>
      <w:rFonts w:ascii="Calibri" w:eastAsia="Calibri" w:hAnsi="Calibri"/>
      <w:sz w:val="22"/>
      <w:szCs w:val="22"/>
      <w:lang w:eastAsia="en-US"/>
    </w:rPr>
  </w:style>
  <w:style w:type="character" w:styleId="Komentaronuoroda">
    <w:name w:val="annotation reference"/>
    <w:basedOn w:val="Numatytasispastraiposriftas"/>
    <w:semiHidden/>
    <w:unhideWhenUsed/>
    <w:rsid w:val="0029349A"/>
    <w:rPr>
      <w:sz w:val="16"/>
      <w:szCs w:val="16"/>
    </w:rPr>
  </w:style>
  <w:style w:type="paragraph" w:styleId="Komentarotekstas">
    <w:name w:val="annotation text"/>
    <w:basedOn w:val="prastasis"/>
    <w:link w:val="KomentarotekstasDiagrama"/>
    <w:semiHidden/>
    <w:unhideWhenUsed/>
    <w:rsid w:val="0029349A"/>
    <w:rPr>
      <w:sz w:val="20"/>
      <w:szCs w:val="20"/>
    </w:rPr>
  </w:style>
  <w:style w:type="character" w:customStyle="1" w:styleId="KomentarotekstasDiagrama">
    <w:name w:val="Komentaro tekstas Diagrama"/>
    <w:basedOn w:val="Numatytasispastraiposriftas"/>
    <w:link w:val="Komentarotekstas"/>
    <w:semiHidden/>
    <w:rsid w:val="0029349A"/>
    <w:rPr>
      <w:lang w:eastAsia="ar-SA"/>
    </w:rPr>
  </w:style>
  <w:style w:type="paragraph" w:styleId="Komentarotema">
    <w:name w:val="annotation subject"/>
    <w:basedOn w:val="Komentarotekstas"/>
    <w:next w:val="Komentarotekstas"/>
    <w:link w:val="KomentarotemaDiagrama"/>
    <w:semiHidden/>
    <w:unhideWhenUsed/>
    <w:rsid w:val="0029349A"/>
    <w:rPr>
      <w:b/>
      <w:bCs/>
    </w:rPr>
  </w:style>
  <w:style w:type="character" w:customStyle="1" w:styleId="KomentarotemaDiagrama">
    <w:name w:val="Komentaro tema Diagrama"/>
    <w:basedOn w:val="KomentarotekstasDiagrama"/>
    <w:link w:val="Komentarotema"/>
    <w:semiHidden/>
    <w:rsid w:val="0029349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petras.butrimas@tm.lt" TargetMode="External"
                 Type="http://schemas.openxmlformats.org/officeDocument/2006/relationships/hyperlink"/>
   <Relationship Id="rId11" Target="mailto:ricard.dzikovic@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K/1f2a2d70905111eaa51db668f0092944?jfwid=-7k5kwil86"
                 TargetMode="External"
                 Type="http://schemas.openxmlformats.org/officeDocument/2006/relationships/hyperlink"/>
   <Relationship Id="rId9" Target="mailto:darius.trinkunas@tm.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35038-D35B-4BFB-AE6F-31E186BC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4275</Words>
  <Characters>2438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2020-06-04T04:49:00Z</dcterms:created>
  <dc:creator>D.Glodenis</dc:creator>
  <cp:lastModifiedBy>Darius Trinkūnas</cp:lastModifiedBy>
  <cp:lastPrinted>2020-01-13T12:15:00Z</cp:lastPrinted>
  <dcterms:modified xsi:type="dcterms:W3CDTF">2020-06-04T04:49:00Z</dcterms:modified>
  <cp:revision>2</cp:revision>
  <dc:title>[Adresatas]</dc:title>
</cp:coreProperties>
</file>