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15022" w:type="dxa"/>
        <w:tblLayout w:type="fixed"/>
        <w:tblLook w:val="04A0" w:firstRow="1" w:lastRow="0" w:firstColumn="1" w:lastColumn="0" w:noHBand="0" w:noVBand="1"/>
      </w:tblPr>
      <w:tblGrid>
        <w:gridCol w:w="2268"/>
        <w:gridCol w:w="7088"/>
        <w:gridCol w:w="5666"/>
      </w:tblGrid>
      <w:tr w:rsidR="00B27368" w:rsidRPr="0010799B" w:rsidTr="00442641">
        <w:tc>
          <w:tcPr>
            <w:tcW w:w="15022" w:type="dxa"/>
            <w:gridSpan w:val="3"/>
            <w:tcBorders>
              <w:top w:val="nil"/>
              <w:left w:val="nil"/>
              <w:right w:val="nil"/>
            </w:tcBorders>
          </w:tcPr>
          <w:p w:rsidR="00B27368" w:rsidRPr="0010799B" w:rsidRDefault="00B27368" w:rsidP="0010799B">
            <w:pPr>
              <w:spacing w:line="276" w:lineRule="auto"/>
              <w:jc w:val="center"/>
              <w:rPr>
                <w:rFonts w:ascii="Times New Roman" w:hAnsi="Times New Roman" w:cs="Times New Roman"/>
                <w:b/>
                <w:sz w:val="24"/>
                <w:szCs w:val="24"/>
              </w:rPr>
            </w:pPr>
            <w:r w:rsidRPr="0010799B">
              <w:rPr>
                <w:rFonts w:ascii="Times New Roman" w:hAnsi="Times New Roman" w:cs="Times New Roman"/>
                <w:b/>
                <w:sz w:val="24"/>
                <w:szCs w:val="24"/>
              </w:rPr>
              <w:t>DERINIMO PAŽYMA</w:t>
            </w:r>
          </w:p>
          <w:p w:rsidR="00B27368" w:rsidRPr="0010799B" w:rsidRDefault="00B27368" w:rsidP="0010799B">
            <w:pPr>
              <w:spacing w:line="276" w:lineRule="auto"/>
              <w:jc w:val="center"/>
              <w:rPr>
                <w:rFonts w:ascii="Times New Roman" w:eastAsia="Times New Roman" w:hAnsi="Times New Roman" w:cs="Times New Roman"/>
                <w:b/>
                <w:caps/>
                <w:sz w:val="24"/>
                <w:szCs w:val="24"/>
              </w:rPr>
            </w:pPr>
            <w:r w:rsidRPr="0010799B">
              <w:rPr>
                <w:rFonts w:ascii="Times New Roman" w:hAnsi="Times New Roman" w:cs="Times New Roman"/>
                <w:b/>
                <w:bCs/>
                <w:sz w:val="24"/>
                <w:szCs w:val="24"/>
              </w:rPr>
              <w:t xml:space="preserve">DĖL </w:t>
            </w:r>
            <w:r w:rsidR="00061D76" w:rsidRPr="0010799B">
              <w:rPr>
                <w:rFonts w:ascii="Times New Roman" w:eastAsia="Times New Roman" w:hAnsi="Times New Roman" w:cs="Times New Roman"/>
                <w:b/>
                <w:sz w:val="24"/>
                <w:szCs w:val="24"/>
              </w:rPr>
              <w:t xml:space="preserve">LIETUVOS </w:t>
            </w:r>
            <w:r w:rsidR="003478FE" w:rsidRPr="0010799B">
              <w:rPr>
                <w:rFonts w:ascii="Times New Roman" w:eastAsia="Times New Roman" w:hAnsi="Times New Roman" w:cs="Times New Roman"/>
                <w:b/>
                <w:sz w:val="24"/>
                <w:szCs w:val="24"/>
              </w:rPr>
              <w:t xml:space="preserve">RESPUBLIKOS VIEŠOJO SEKTORIAUS DARBUOTOJŲ REGISTRO ĮSTATYMO </w:t>
            </w:r>
            <w:r w:rsidR="003478FE" w:rsidRPr="0010799B">
              <w:rPr>
                <w:rFonts w:ascii="Times New Roman" w:hAnsi="Times New Roman" w:cs="Times New Roman"/>
                <w:b/>
                <w:bCs/>
                <w:sz w:val="24"/>
                <w:szCs w:val="24"/>
              </w:rPr>
              <w:t xml:space="preserve">PROJEKTO </w:t>
            </w:r>
            <w:r w:rsidR="00061D76" w:rsidRPr="0010799B">
              <w:rPr>
                <w:rFonts w:ascii="Times New Roman" w:hAnsi="Times New Roman" w:cs="Times New Roman"/>
                <w:b/>
                <w:bCs/>
                <w:sz w:val="24"/>
                <w:szCs w:val="24"/>
              </w:rPr>
              <w:t>(TOLIAU – PROJEKTAS</w:t>
            </w:r>
            <w:r w:rsidRPr="0010799B">
              <w:rPr>
                <w:rFonts w:ascii="Times New Roman" w:hAnsi="Times New Roman" w:cs="Times New Roman"/>
                <w:b/>
                <w:bCs/>
                <w:sz w:val="24"/>
                <w:szCs w:val="24"/>
              </w:rPr>
              <w:t>)</w:t>
            </w:r>
          </w:p>
          <w:p w:rsidR="00B27368" w:rsidRPr="0010799B" w:rsidRDefault="00B27368" w:rsidP="0010799B">
            <w:pPr>
              <w:spacing w:line="276" w:lineRule="auto"/>
              <w:rPr>
                <w:rFonts w:ascii="Times New Roman" w:hAnsi="Times New Roman" w:cs="Times New Roman"/>
                <w:b/>
                <w:sz w:val="24"/>
                <w:szCs w:val="24"/>
              </w:rPr>
            </w:pPr>
          </w:p>
        </w:tc>
      </w:tr>
      <w:tr w:rsidR="00A51C52" w:rsidRPr="0010799B" w:rsidTr="00442641">
        <w:trPr>
          <w:tblHeader/>
        </w:trPr>
        <w:tc>
          <w:tcPr>
            <w:tcW w:w="2268" w:type="dxa"/>
          </w:tcPr>
          <w:p w:rsidR="00A51C52" w:rsidRPr="0010799B" w:rsidRDefault="00A51C52" w:rsidP="0010799B">
            <w:pPr>
              <w:spacing w:line="276" w:lineRule="auto"/>
              <w:rPr>
                <w:rFonts w:ascii="Times New Roman" w:hAnsi="Times New Roman" w:cs="Times New Roman"/>
                <w:b/>
                <w:sz w:val="24"/>
                <w:szCs w:val="24"/>
              </w:rPr>
            </w:pPr>
            <w:r w:rsidRPr="0010799B">
              <w:rPr>
                <w:rFonts w:ascii="Times New Roman" w:hAnsi="Times New Roman" w:cs="Times New Roman"/>
                <w:b/>
                <w:sz w:val="24"/>
                <w:szCs w:val="24"/>
              </w:rPr>
              <w:t>Institucijos pavadinimas (rašto data ir Nr.)</w:t>
            </w:r>
          </w:p>
        </w:tc>
        <w:tc>
          <w:tcPr>
            <w:tcW w:w="7088" w:type="dxa"/>
          </w:tcPr>
          <w:p w:rsidR="00A51C52" w:rsidRPr="0010799B" w:rsidRDefault="00A51C52" w:rsidP="0010799B">
            <w:pPr>
              <w:spacing w:line="276" w:lineRule="auto"/>
              <w:rPr>
                <w:rFonts w:ascii="Times New Roman" w:hAnsi="Times New Roman" w:cs="Times New Roman"/>
                <w:b/>
                <w:sz w:val="24"/>
                <w:szCs w:val="24"/>
              </w:rPr>
            </w:pPr>
            <w:r w:rsidRPr="0010799B">
              <w:rPr>
                <w:rFonts w:ascii="Times New Roman" w:hAnsi="Times New Roman" w:cs="Times New Roman"/>
                <w:b/>
                <w:sz w:val="24"/>
                <w:szCs w:val="24"/>
              </w:rPr>
              <w:t>Pastabos ir pasiūlymai</w:t>
            </w:r>
          </w:p>
        </w:tc>
        <w:tc>
          <w:tcPr>
            <w:tcW w:w="5666" w:type="dxa"/>
          </w:tcPr>
          <w:p w:rsidR="00A51C52" w:rsidRPr="0010799B" w:rsidRDefault="00A51C52" w:rsidP="0010799B">
            <w:pPr>
              <w:spacing w:line="276" w:lineRule="auto"/>
              <w:rPr>
                <w:rFonts w:ascii="Times New Roman" w:hAnsi="Times New Roman" w:cs="Times New Roman"/>
                <w:b/>
                <w:sz w:val="24"/>
                <w:szCs w:val="24"/>
              </w:rPr>
            </w:pPr>
            <w:r w:rsidRPr="0010799B">
              <w:rPr>
                <w:rFonts w:ascii="Times New Roman" w:hAnsi="Times New Roman" w:cs="Times New Roman"/>
                <w:b/>
                <w:sz w:val="24"/>
                <w:szCs w:val="24"/>
              </w:rPr>
              <w:t>Argumentai dėl pastabų, į kurias neatsižvelgta arba atsižvelgta iš dalies</w:t>
            </w:r>
          </w:p>
        </w:tc>
      </w:tr>
      <w:tr w:rsidR="0010799B" w:rsidRPr="0010799B" w:rsidTr="00442641">
        <w:trPr>
          <w:tblHeader/>
        </w:trPr>
        <w:tc>
          <w:tcPr>
            <w:tcW w:w="2268" w:type="dxa"/>
          </w:tcPr>
          <w:p w:rsidR="0010799B" w:rsidRPr="0010799B" w:rsidRDefault="0010799B" w:rsidP="0010799B">
            <w:pPr>
              <w:spacing w:line="276" w:lineRule="auto"/>
              <w:rPr>
                <w:rFonts w:ascii="Times New Roman" w:hAnsi="Times New Roman" w:cs="Times New Roman"/>
                <w:sz w:val="24"/>
                <w:szCs w:val="24"/>
              </w:rPr>
            </w:pPr>
            <w:r w:rsidRPr="0010799B">
              <w:rPr>
                <w:rFonts w:ascii="Times New Roman" w:hAnsi="Times New Roman" w:cs="Times New Roman"/>
                <w:sz w:val="24"/>
                <w:szCs w:val="24"/>
              </w:rPr>
              <w:t>Valstybės kontrolės 2019-10-28 raštas Nr. SD-(4-1.8 E)-765</w:t>
            </w:r>
          </w:p>
        </w:tc>
        <w:tc>
          <w:tcPr>
            <w:tcW w:w="7088" w:type="dxa"/>
          </w:tcPr>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Projektų paketo aiškinamajame rašte nurodoma, kad šis paketas parengtas siekiant įgyvendinti poreikį kaupti, analizuoti ir teikti duomenis, kurių reikia žmogiškųjų išteklių valdymo sisteminiams sprendimams priimti, kontrolei ir</w:t>
            </w:r>
            <w:bookmarkStart w:id="0" w:name="_GoBack"/>
            <w:bookmarkEnd w:id="0"/>
            <w:r w:rsidRPr="0010799B">
              <w:rPr>
                <w:rFonts w:ascii="Times New Roman" w:hAnsi="Times New Roman" w:cs="Times New Roman"/>
                <w:sz w:val="24"/>
                <w:szCs w:val="24"/>
              </w:rPr>
              <w:t xml:space="preserve"> prevencijai užtikrinti, biudžeto planavimui, viešojo administravimo monitoringui. Numatomas steigti Viešojo sektoriaus darbuotojų registras taptų patogiu informacinių ir komunikacinių technologijų įrankiu personalo administravimo informacijos centralizuotam tvarkymui. </w:t>
            </w:r>
          </w:p>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Registro įstatymo projekto nuostatos kelia abejonių dėl duomenų apie Valstybės kontrolės darbuotojus perdavimo tvarkyti registre atitikties konstituciniam aukščiausiosios audito institucijos ir jos darbuotojų nepriklausomumo principui. Konstitucinis Teismas savo aktuose (</w:t>
            </w:r>
            <w:r w:rsidRPr="00531E4E">
              <w:rPr>
                <w:rFonts w:ascii="Times New Roman" w:hAnsi="Times New Roman" w:cs="Times New Roman"/>
                <w:sz w:val="24"/>
                <w:szCs w:val="24"/>
              </w:rPr>
              <w:t>inter</w:t>
            </w:r>
            <w:r w:rsidRPr="0010799B">
              <w:rPr>
                <w:rFonts w:ascii="Times New Roman" w:hAnsi="Times New Roman" w:cs="Times New Roman"/>
                <w:sz w:val="24"/>
                <w:szCs w:val="24"/>
              </w:rPr>
              <w:t xml:space="preserve"> </w:t>
            </w:r>
            <w:r w:rsidRPr="00531E4E">
              <w:rPr>
                <w:rFonts w:ascii="Times New Roman" w:hAnsi="Times New Roman" w:cs="Times New Roman"/>
                <w:sz w:val="24"/>
                <w:szCs w:val="24"/>
              </w:rPr>
              <w:t>alia</w:t>
            </w:r>
            <w:r w:rsidRPr="0010799B">
              <w:rPr>
                <w:rFonts w:ascii="Times New Roman" w:hAnsi="Times New Roman" w:cs="Times New Roman"/>
                <w:sz w:val="24"/>
                <w:szCs w:val="24"/>
              </w:rPr>
              <w:t xml:space="preserve"> 1995 m. gruodžio 6 d., 2019 m. gegužės 16 d. nutarimuose) yra ne kartą konstatavęs, kad, užtikrinant Valstybės kontrolės nepriklausomumą, ypač svarbu aiškiai atriboti jos veiklą nuo vykdomosios valdžios; Valstybės kontrolės veikla nėra ir negali būti laikoma valdymo sritimi, priskirta kuriai nors vykdomosios valdžios institucijai. Būtent pastarajame nutarime Konstitucinis Teismas pabrėžė, kad: ,,konstitucinė Valstybės kontrolės paskirtis, konstituciniai teisinės valstybės ir valdžių padalijimo principai suponuoja konstitucinį reikalavimą Valstybės kontrolei nepriklausomai nuo kitų valstybės institucijų, </w:t>
            </w:r>
            <w:r w:rsidRPr="00531E4E">
              <w:rPr>
                <w:rFonts w:ascii="Times New Roman" w:hAnsi="Times New Roman" w:cs="Times New Roman"/>
                <w:sz w:val="24"/>
                <w:szCs w:val="24"/>
              </w:rPr>
              <w:t>inter alia</w:t>
            </w:r>
            <w:r w:rsidRPr="0010799B">
              <w:rPr>
                <w:rFonts w:ascii="Times New Roman" w:hAnsi="Times New Roman" w:cs="Times New Roman"/>
                <w:sz w:val="24"/>
                <w:szCs w:val="24"/>
              </w:rPr>
              <w:t xml:space="preserve"> nuo Seimo, Respublikos Prezidento, Vyriausybės, vykdyti jai iš Konstitucijos 134 straipsnio 1 dalies kylančius įgaliojimus </w:t>
            </w:r>
            <w:r w:rsidRPr="00531E4E">
              <w:rPr>
                <w:rFonts w:ascii="Times New Roman" w:hAnsi="Times New Roman" w:cs="Times New Roman"/>
                <w:sz w:val="24"/>
                <w:szCs w:val="24"/>
              </w:rPr>
              <w:t>inter alia</w:t>
            </w:r>
            <w:r w:rsidRPr="0010799B">
              <w:rPr>
                <w:rFonts w:ascii="Times New Roman" w:hAnsi="Times New Roman" w:cs="Times New Roman"/>
                <w:sz w:val="24"/>
                <w:szCs w:val="24"/>
              </w:rPr>
              <w:t xml:space="preserve"> atlikti valstybinį auditą.“ Be kita ko, 8-asis Meksiko deklaracijoje įtvirtintas aukščiausiųjų audito institucijų (AAI) </w:t>
            </w:r>
            <w:r w:rsidRPr="0010799B">
              <w:rPr>
                <w:rFonts w:ascii="Times New Roman" w:hAnsi="Times New Roman" w:cs="Times New Roman"/>
                <w:sz w:val="24"/>
                <w:szCs w:val="24"/>
              </w:rPr>
              <w:lastRenderedPageBreak/>
              <w:t xml:space="preserve">nepriklausomumo principas nustato, kad AAI turėtų turėti būtinus ir veiklos poreikius atitinkančius ne tik finansinius, bet ir žmogiškuosius išteklius, o vykdomoji valdžia neturėtų jų kontroliuoti arba daryti jiems tiesioginę įtaką. Toks AAI organizacinis nepriklausomumas sudaro sąlygas skatinti viešojo administravimo veiksmingumą, atskaitingumą ir rezultatyvumą. Šiuo metu atliekamo aukščiausiosios audito institucijos ekspertinio vertinimo metu ekspertai patvirtino tą patį, pateikdami išvadą, jog, siekiant išsaugoti Valstybės kontrolės veiklos savarankiškumą, vykdomoji valdžia (registro valdytoja pagal Registro įstatymo projektą numatoma Lietuvos Respublikos vidaus reikalų ministerija) neturėtų kontroliuoti arba turėti prieigą prie aukščiausiosios audito institucijos darbuotojų duomenų. </w:t>
            </w:r>
          </w:p>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AAI veikla skirta padėti tobulinti viso viešojo sektoriaus efektyvumą, didinti skaidrumą, užtikrinti atskaitomybę, išlaikyti ir skatinti visuomenės pasitikėjimą, padėti valstybei išmintingai valdyti turimus išteklius. Kaip pažymi JTO, tokia veikla padeda siekti Darnaus vystymosi tikslų. Anot EBPO, dėl savo veiklos specifikos AAI laikytinos pagrindinėmis viešojo sektoriaus audito organizacijomis, nes atlieka svarbų vaidmenį užtikrinant viso viešojo sektoriaus veiklos efektyvumą. Atsižvelgdami į savo veiklos specifiką ir išskirtinį, neįtakojamumui užtikrinti skirtą aukščiausiosios audito institucijos statusą valstybės institucijų sistemoje bei įvertindami aktualią teisėkūros iniciatyvą, pagal kurią Valstybės kontrolės, kaip aukščiausiosios audito institucijos, veikla ir darbo santykiai būtų reguliuojami atsietai nuo valstybės tarnybos (žr. Lietuvos Respublikos Seimo kanceliarijos teisės aktų informacinėje sistemoje (reg. Nr. XIIIP-2183), manome, kad Valstybės kontrolės darbuotojai neturėtų būti registro objektais. Be to, Valstybės kontrolė buhalterinę apskaitą ir personalo administravimą tvarko pati, tapačių ar panašių institucijų šalies viešojo administravimo sistemoje nėra, be kita ko, šių funkcijų centralizuotai neperims Nacionalinis bendrųjų funkcijų centras.</w:t>
            </w:r>
          </w:p>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lastRenderedPageBreak/>
              <w:t>Tokiu būdu duomenų apie Valstybės kontrolės darbuotojus kaupimas ir tvarkymas minėtame registre niekaip neprisidėtų prie patogesnio personalo administravimo informacijos centralizuoto tvarkymo, t. y. įstatymo tikslo įgyvendinimo. Valstybės kontrolės darbuotojų duomenų įtraukimas į registrą negalėtų turėti įtakos viešojo sektoriaus personalo administravimo optimizavimui, žmogiškųjų išteklių valdymui, biudžeto planavimui reikalingiems sprendimams priimti, nes Valstybės kontrolės darbuotojų skaičiaus nustatymas, jų karjeros ir kitų institucijos žmogiškųjų išteklių valdymo klausimų sprendimas pagal minėtą ir šiuo metu Seime komitetuose svarstomą ir šioje sesijoje planuojamą priimti Valstybės kontrolės įstatymo pakeitimo įstatymo projektą nepriklausytų vykdomosios valdžios kompetencijai.</w:t>
            </w:r>
          </w:p>
          <w:p w:rsidR="0010799B" w:rsidRPr="0010799B" w:rsidRDefault="0010799B" w:rsidP="00933611">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Valstybės kontrolė, įvertinusi Konstitucinio Teismo jurisprudenciją ir tarptautinės organizacijos INTOSAI visuotinai pripažintus audito principus, atkreipia dėmesį, kad įtakos aukščiausiajai audito institucijai nedarymas yra būtina sąlyga užtikrinti jos savarankiškumą. Aukščiausiosios audito institucijos gali objektyviai ir veiksmingai vykdyti savo uždavinius tik tada, kai jos yra nepriklausomos nuo audituojamojo subjekto ir apsaugotos nuo šių subjektų ir kitos išorės įtakos.</w:t>
            </w:r>
          </w:p>
        </w:tc>
        <w:tc>
          <w:tcPr>
            <w:tcW w:w="5666" w:type="dxa"/>
            <w:vMerge w:val="restart"/>
          </w:tcPr>
          <w:p w:rsidR="0010799B" w:rsidRPr="0010799B" w:rsidRDefault="0010799B" w:rsidP="0010799B">
            <w:pPr>
              <w:spacing w:line="276" w:lineRule="auto"/>
              <w:jc w:val="both"/>
              <w:rPr>
                <w:rFonts w:ascii="Times New Roman" w:hAnsi="Times New Roman" w:cs="Times New Roman"/>
                <w:b/>
                <w:sz w:val="24"/>
                <w:szCs w:val="24"/>
              </w:rPr>
            </w:pPr>
            <w:r w:rsidRPr="0010799B">
              <w:rPr>
                <w:rFonts w:ascii="Times New Roman" w:hAnsi="Times New Roman" w:cs="Times New Roman"/>
                <w:b/>
                <w:sz w:val="24"/>
                <w:szCs w:val="24"/>
              </w:rPr>
              <w:lastRenderedPageBreak/>
              <w:t xml:space="preserve">Neatsižvelgta. </w:t>
            </w:r>
          </w:p>
          <w:p w:rsidR="0014576D" w:rsidRDefault="0010799B" w:rsidP="0014576D">
            <w:pPr>
              <w:spacing w:line="276" w:lineRule="auto"/>
              <w:jc w:val="both"/>
              <w:rPr>
                <w:rFonts w:ascii="Times New Roman" w:hAnsi="Times New Roman" w:cs="Times New Roman"/>
                <w:sz w:val="24"/>
                <w:szCs w:val="24"/>
              </w:rPr>
            </w:pPr>
            <w:r>
              <w:rPr>
                <w:rFonts w:ascii="Times New Roman" w:hAnsi="Times New Roman" w:cs="Times New Roman"/>
                <w:sz w:val="24"/>
                <w:szCs w:val="24"/>
              </w:rPr>
              <w:t>Projekto 5 straipsnio 1 dalyje siūloma nustatyti, kad 2023</w:t>
            </w:r>
            <w:r w:rsidR="00996122">
              <w:rPr>
                <w:rFonts w:ascii="Times New Roman" w:hAnsi="Times New Roman" w:cs="Times New Roman"/>
                <w:sz w:val="24"/>
                <w:szCs w:val="24"/>
              </w:rPr>
              <w:t> </w:t>
            </w:r>
            <w:r>
              <w:rPr>
                <w:rFonts w:ascii="Times New Roman" w:hAnsi="Times New Roman" w:cs="Times New Roman"/>
                <w:sz w:val="24"/>
                <w:szCs w:val="24"/>
              </w:rPr>
              <w:t>m. sausio 1 d. įsigaliosiančiame Viešojo sektoriaus darbuotojų registre</w:t>
            </w:r>
            <w:r w:rsidR="0014576D">
              <w:rPr>
                <w:rFonts w:ascii="Times New Roman" w:hAnsi="Times New Roman" w:cs="Times New Roman"/>
                <w:sz w:val="24"/>
                <w:szCs w:val="24"/>
              </w:rPr>
              <w:t xml:space="preserve"> (toliau – Registras)</w:t>
            </w:r>
            <w:r>
              <w:rPr>
                <w:rFonts w:ascii="Times New Roman" w:hAnsi="Times New Roman" w:cs="Times New Roman"/>
                <w:sz w:val="24"/>
                <w:szCs w:val="24"/>
              </w:rPr>
              <w:t xml:space="preserve"> būtų kaupiami duomenys apie</w:t>
            </w:r>
            <w:r w:rsidR="0014576D">
              <w:rPr>
                <w:rFonts w:ascii="Times New Roman" w:hAnsi="Times New Roman" w:cs="Times New Roman"/>
                <w:sz w:val="24"/>
                <w:szCs w:val="24"/>
              </w:rPr>
              <w:t>:</w:t>
            </w:r>
          </w:p>
          <w:p w:rsidR="0014576D" w:rsidRPr="0014576D" w:rsidRDefault="0014576D" w:rsidP="00CE1822">
            <w:pPr>
              <w:pStyle w:val="Sraopastraipa"/>
              <w:numPr>
                <w:ilvl w:val="0"/>
                <w:numId w:val="15"/>
              </w:numPr>
              <w:tabs>
                <w:tab w:val="left" w:pos="742"/>
              </w:tabs>
              <w:spacing w:line="276" w:lineRule="auto"/>
              <w:ind w:left="0" w:firstLine="360"/>
              <w:jc w:val="both"/>
              <w:rPr>
                <w:rFonts w:ascii="Times New Roman" w:hAnsi="Times New Roman" w:cs="Times New Roman"/>
                <w:sz w:val="24"/>
                <w:szCs w:val="24"/>
              </w:rPr>
            </w:pPr>
            <w:r w:rsidRPr="0014576D">
              <w:rPr>
                <w:rFonts w:ascii="Times New Roman" w:hAnsi="Times New Roman" w:cs="Times New Roman"/>
                <w:sz w:val="24"/>
                <w:szCs w:val="24"/>
              </w:rPr>
              <w:t>valstybės politikus;</w:t>
            </w:r>
          </w:p>
          <w:p w:rsidR="0014576D" w:rsidRDefault="0010799B" w:rsidP="00CE1822">
            <w:pPr>
              <w:pStyle w:val="Sraopastraipa"/>
              <w:numPr>
                <w:ilvl w:val="0"/>
                <w:numId w:val="15"/>
              </w:numPr>
              <w:tabs>
                <w:tab w:val="left" w:pos="742"/>
              </w:tabs>
              <w:spacing w:line="276" w:lineRule="auto"/>
              <w:ind w:left="0" w:firstLine="360"/>
              <w:jc w:val="both"/>
              <w:rPr>
                <w:rFonts w:ascii="Times New Roman" w:hAnsi="Times New Roman" w:cs="Times New Roman"/>
                <w:sz w:val="24"/>
                <w:szCs w:val="24"/>
              </w:rPr>
            </w:pPr>
            <w:r w:rsidRPr="0014576D">
              <w:rPr>
                <w:rFonts w:ascii="Times New Roman" w:hAnsi="Times New Roman" w:cs="Times New Roman"/>
                <w:sz w:val="24"/>
                <w:szCs w:val="24"/>
              </w:rPr>
              <w:t>valstybės pareigūnus (įskaitant valstybės kontrolierių ir jo pavaduotojus</w:t>
            </w:r>
            <w:r w:rsidR="0014576D">
              <w:rPr>
                <w:rFonts w:ascii="Times New Roman" w:hAnsi="Times New Roman" w:cs="Times New Roman"/>
                <w:sz w:val="24"/>
                <w:szCs w:val="24"/>
              </w:rPr>
              <w:t>, STT pareigūnus</w:t>
            </w:r>
            <w:r w:rsidRPr="0014576D">
              <w:rPr>
                <w:rFonts w:ascii="Times New Roman" w:hAnsi="Times New Roman" w:cs="Times New Roman"/>
                <w:sz w:val="24"/>
                <w:szCs w:val="24"/>
              </w:rPr>
              <w:t>)</w:t>
            </w:r>
            <w:r w:rsidR="0014576D">
              <w:rPr>
                <w:rFonts w:ascii="Times New Roman" w:hAnsi="Times New Roman" w:cs="Times New Roman"/>
                <w:sz w:val="24"/>
                <w:szCs w:val="24"/>
              </w:rPr>
              <w:t>;</w:t>
            </w:r>
          </w:p>
          <w:p w:rsidR="0014576D" w:rsidRDefault="0010799B" w:rsidP="00CE1822">
            <w:pPr>
              <w:pStyle w:val="Sraopastraipa"/>
              <w:numPr>
                <w:ilvl w:val="0"/>
                <w:numId w:val="15"/>
              </w:numPr>
              <w:tabs>
                <w:tab w:val="left" w:pos="742"/>
              </w:tabs>
              <w:spacing w:line="276" w:lineRule="auto"/>
              <w:ind w:left="0" w:firstLine="360"/>
              <w:jc w:val="both"/>
              <w:rPr>
                <w:rFonts w:ascii="Times New Roman" w:hAnsi="Times New Roman" w:cs="Times New Roman"/>
                <w:sz w:val="24"/>
                <w:szCs w:val="24"/>
              </w:rPr>
            </w:pPr>
            <w:r w:rsidRPr="0014576D">
              <w:rPr>
                <w:rFonts w:ascii="Times New Roman" w:hAnsi="Times New Roman" w:cs="Times New Roman"/>
                <w:sz w:val="24"/>
                <w:szCs w:val="24"/>
              </w:rPr>
              <w:t xml:space="preserve">valstybės tarnautojus (įskaitant ir </w:t>
            </w:r>
            <w:r w:rsidR="0014576D" w:rsidRPr="0014576D">
              <w:rPr>
                <w:rFonts w:ascii="Times New Roman" w:hAnsi="Times New Roman" w:cs="Times New Roman"/>
                <w:sz w:val="24"/>
                <w:szCs w:val="24"/>
              </w:rPr>
              <w:t>Valstybės kontrolės pareigūnus)</w:t>
            </w:r>
            <w:r w:rsidR="0014576D">
              <w:rPr>
                <w:rFonts w:ascii="Times New Roman" w:hAnsi="Times New Roman" w:cs="Times New Roman"/>
                <w:sz w:val="24"/>
                <w:szCs w:val="24"/>
              </w:rPr>
              <w:t>;</w:t>
            </w:r>
          </w:p>
          <w:p w:rsidR="0014576D" w:rsidRDefault="0014576D" w:rsidP="00CE1822">
            <w:pPr>
              <w:pStyle w:val="Sraopastraipa"/>
              <w:numPr>
                <w:ilvl w:val="0"/>
                <w:numId w:val="15"/>
              </w:numPr>
              <w:tabs>
                <w:tab w:val="left" w:pos="742"/>
              </w:tabs>
              <w:spacing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teisėjus;</w:t>
            </w:r>
          </w:p>
          <w:p w:rsidR="0014576D" w:rsidRDefault="0014576D" w:rsidP="00CE1822">
            <w:pPr>
              <w:pStyle w:val="Sraopastraipa"/>
              <w:numPr>
                <w:ilvl w:val="0"/>
                <w:numId w:val="15"/>
              </w:numPr>
              <w:tabs>
                <w:tab w:val="left" w:pos="742"/>
              </w:tabs>
              <w:spacing w:line="276" w:lineRule="auto"/>
              <w:ind w:left="0" w:firstLine="360"/>
              <w:jc w:val="both"/>
              <w:rPr>
                <w:rFonts w:ascii="Times New Roman" w:hAnsi="Times New Roman" w:cs="Times New Roman"/>
                <w:sz w:val="24"/>
                <w:szCs w:val="24"/>
              </w:rPr>
            </w:pPr>
            <w:r w:rsidRPr="0014576D">
              <w:rPr>
                <w:rFonts w:ascii="Times New Roman" w:hAnsi="Times New Roman" w:cs="Times New Roman"/>
                <w:sz w:val="24"/>
                <w:szCs w:val="24"/>
              </w:rPr>
              <w:t>prokurorus;</w:t>
            </w:r>
          </w:p>
          <w:p w:rsidR="0014576D" w:rsidRDefault="0021687C" w:rsidP="00CE1822">
            <w:pPr>
              <w:pStyle w:val="Sraopastraipa"/>
              <w:numPr>
                <w:ilvl w:val="0"/>
                <w:numId w:val="15"/>
              </w:numPr>
              <w:tabs>
                <w:tab w:val="left" w:pos="742"/>
              </w:tabs>
              <w:spacing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profesinės karo tarnybos </w:t>
            </w:r>
            <w:r w:rsidR="0014576D">
              <w:rPr>
                <w:rFonts w:ascii="Times New Roman" w:hAnsi="Times New Roman" w:cs="Times New Roman"/>
                <w:sz w:val="24"/>
                <w:szCs w:val="24"/>
              </w:rPr>
              <w:t>karius;</w:t>
            </w:r>
            <w:r w:rsidR="0014576D" w:rsidRPr="0014576D">
              <w:rPr>
                <w:rFonts w:ascii="Times New Roman" w:hAnsi="Times New Roman" w:cs="Times New Roman"/>
                <w:sz w:val="24"/>
                <w:szCs w:val="24"/>
              </w:rPr>
              <w:t xml:space="preserve"> </w:t>
            </w:r>
          </w:p>
          <w:p w:rsidR="0014576D" w:rsidRDefault="0014576D" w:rsidP="00CE1822">
            <w:pPr>
              <w:pStyle w:val="Sraopastraipa"/>
              <w:numPr>
                <w:ilvl w:val="0"/>
                <w:numId w:val="15"/>
              </w:numPr>
              <w:tabs>
                <w:tab w:val="left" w:pos="742"/>
              </w:tabs>
              <w:spacing w:line="276" w:lineRule="auto"/>
              <w:ind w:left="0" w:firstLine="360"/>
              <w:jc w:val="both"/>
              <w:rPr>
                <w:rFonts w:ascii="Times New Roman" w:hAnsi="Times New Roman" w:cs="Times New Roman"/>
                <w:sz w:val="24"/>
                <w:szCs w:val="24"/>
              </w:rPr>
            </w:pPr>
            <w:r w:rsidRPr="0014576D">
              <w:rPr>
                <w:rFonts w:ascii="Times New Roman" w:hAnsi="Times New Roman" w:cs="Times New Roman"/>
                <w:sz w:val="24"/>
                <w:szCs w:val="24"/>
              </w:rPr>
              <w:t xml:space="preserve">biudžetinių įstaigų, kurių savininkas yra valstybė, ir viešųjų įstaigų, kurių savininkas ar vienas iš dalininkų yra valstybė ar savivaldybė ir kurių buhalterinės apskaitos tvarkymo ir (arba) personalo administravimo funkcijos biudžetinių įstaigų ir viešųjų įstaigų veiklą reguliuojančių specialiųjų įstatymų nustatytais atvejais atliekamos centralizuotai, darbuotojus; </w:t>
            </w:r>
          </w:p>
          <w:p w:rsidR="0010799B" w:rsidRDefault="0014576D" w:rsidP="00CE1822">
            <w:pPr>
              <w:pStyle w:val="Sraopastraipa"/>
              <w:numPr>
                <w:ilvl w:val="0"/>
                <w:numId w:val="15"/>
              </w:numPr>
              <w:tabs>
                <w:tab w:val="left" w:pos="742"/>
              </w:tabs>
              <w:spacing w:line="276" w:lineRule="auto"/>
              <w:ind w:left="0" w:firstLine="360"/>
              <w:jc w:val="both"/>
              <w:rPr>
                <w:rFonts w:ascii="Times New Roman" w:hAnsi="Times New Roman" w:cs="Times New Roman"/>
                <w:sz w:val="24"/>
                <w:szCs w:val="24"/>
              </w:rPr>
            </w:pPr>
            <w:r w:rsidRPr="0014576D">
              <w:rPr>
                <w:rFonts w:ascii="Times New Roman" w:hAnsi="Times New Roman" w:cs="Times New Roman"/>
                <w:sz w:val="24"/>
                <w:szCs w:val="24"/>
              </w:rPr>
              <w:t xml:space="preserve">viešojo administravimo įgaliojimus turinčių valstybės ir savivaldybių įmonių, viešųjų įstaigų, kurių savininkas ar vienas iš dalininkų yra valstybė ar savivaldybė, darbuotojus. </w:t>
            </w:r>
          </w:p>
          <w:p w:rsidR="0014576D" w:rsidRDefault="0014576D" w:rsidP="0014576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Taip pat Projekto 5 straipsnio 4 dalyje siūloma nustatyti, kad v</w:t>
            </w:r>
            <w:r w:rsidRPr="0014576D">
              <w:rPr>
                <w:rFonts w:ascii="Times New Roman" w:hAnsi="Times New Roman" w:cs="Times New Roman"/>
                <w:sz w:val="24"/>
                <w:szCs w:val="24"/>
              </w:rPr>
              <w:t>alstybės ar tarnybos paslapties kategorijai priskirti</w:t>
            </w:r>
            <w:r>
              <w:rPr>
                <w:rFonts w:ascii="Times New Roman" w:hAnsi="Times New Roman" w:cs="Times New Roman"/>
                <w:sz w:val="24"/>
                <w:szCs w:val="24"/>
              </w:rPr>
              <w:t xml:space="preserve">ni duomenys Registre netvarkomi, t. y. įstaigos valstybės ar tarnybos paslapties kategorijai priskirtus </w:t>
            </w:r>
            <w:r w:rsidR="00996122">
              <w:rPr>
                <w:rFonts w:ascii="Times New Roman" w:hAnsi="Times New Roman" w:cs="Times New Roman"/>
                <w:sz w:val="24"/>
                <w:szCs w:val="24"/>
              </w:rPr>
              <w:t xml:space="preserve">duomenis apie </w:t>
            </w:r>
            <w:r>
              <w:rPr>
                <w:rFonts w:ascii="Times New Roman" w:hAnsi="Times New Roman" w:cs="Times New Roman"/>
                <w:sz w:val="24"/>
                <w:szCs w:val="24"/>
              </w:rPr>
              <w:t>darbuotojus tvarkys atskirai nuo Registro.</w:t>
            </w:r>
          </w:p>
          <w:p w:rsidR="00D2282F" w:rsidRDefault="0014576D" w:rsidP="00D2282F">
            <w:pPr>
              <w:spacing w:line="276" w:lineRule="auto"/>
              <w:jc w:val="both"/>
              <w:rPr>
                <w:rFonts w:ascii="Times New Roman" w:hAnsi="Times New Roman" w:cs="Times New Roman"/>
                <w:sz w:val="24"/>
                <w:szCs w:val="24"/>
              </w:rPr>
            </w:pPr>
            <w:r>
              <w:rPr>
                <w:rFonts w:ascii="Times New Roman" w:hAnsi="Times New Roman" w:cs="Times New Roman"/>
                <w:sz w:val="24"/>
                <w:szCs w:val="24"/>
              </w:rPr>
              <w:t>Taip pat atkreiptinas dėmesys į tai, kad duomenų Registre kaupimas apie valstybės kontrolės darbuotojus, teisėjus, karius</w:t>
            </w:r>
            <w:r w:rsidR="00D2282F">
              <w:rPr>
                <w:rFonts w:ascii="Times New Roman" w:hAnsi="Times New Roman" w:cs="Times New Roman"/>
                <w:sz w:val="24"/>
                <w:szCs w:val="24"/>
              </w:rPr>
              <w:t>, STT pareigūnus, kaip ir apie kitų institucijų, įstaigų ir įmonių (toliau – organizacija) d</w:t>
            </w:r>
            <w:r w:rsidR="00996122">
              <w:rPr>
                <w:rFonts w:ascii="Times New Roman" w:hAnsi="Times New Roman" w:cs="Times New Roman"/>
                <w:sz w:val="24"/>
                <w:szCs w:val="24"/>
              </w:rPr>
              <w:t>arbuotojus</w:t>
            </w:r>
            <w:r w:rsidR="00D2282F">
              <w:rPr>
                <w:rFonts w:ascii="Times New Roman" w:hAnsi="Times New Roman" w:cs="Times New Roman"/>
                <w:sz w:val="24"/>
                <w:szCs w:val="24"/>
              </w:rPr>
              <w:t xml:space="preserve"> jokios įtakos organizacijų veiklai ar j</w:t>
            </w:r>
            <w:r w:rsidR="00996122">
              <w:rPr>
                <w:rFonts w:ascii="Times New Roman" w:hAnsi="Times New Roman" w:cs="Times New Roman"/>
                <w:sz w:val="24"/>
                <w:szCs w:val="24"/>
              </w:rPr>
              <w:t>ų</w:t>
            </w:r>
            <w:r w:rsidR="00D2282F">
              <w:rPr>
                <w:rFonts w:ascii="Times New Roman" w:hAnsi="Times New Roman" w:cs="Times New Roman"/>
                <w:sz w:val="24"/>
                <w:szCs w:val="24"/>
              </w:rPr>
              <w:t xml:space="preserve"> d</w:t>
            </w:r>
            <w:r w:rsidR="00996122">
              <w:rPr>
                <w:rFonts w:ascii="Times New Roman" w:hAnsi="Times New Roman" w:cs="Times New Roman"/>
                <w:sz w:val="24"/>
                <w:szCs w:val="24"/>
              </w:rPr>
              <w:t>arbuotojams</w:t>
            </w:r>
            <w:r w:rsidR="00D2282F">
              <w:rPr>
                <w:rFonts w:ascii="Times New Roman" w:hAnsi="Times New Roman" w:cs="Times New Roman"/>
                <w:sz w:val="24"/>
                <w:szCs w:val="24"/>
              </w:rPr>
              <w:t xml:space="preserve"> neturi ir turėti negali. Vidaus reikalų ministerijai, kaip Registro valdytojai, teisės aktais nėra suteikti įgaliojimai kontroliuoti ar kitaip </w:t>
            </w:r>
            <w:r w:rsidR="00996122">
              <w:rPr>
                <w:rFonts w:ascii="Times New Roman" w:hAnsi="Times New Roman" w:cs="Times New Roman"/>
                <w:sz w:val="24"/>
                <w:szCs w:val="24"/>
              </w:rPr>
              <w:t>daryt</w:t>
            </w:r>
            <w:r w:rsidR="009F662B">
              <w:rPr>
                <w:rFonts w:ascii="Times New Roman" w:hAnsi="Times New Roman" w:cs="Times New Roman"/>
                <w:sz w:val="24"/>
                <w:szCs w:val="24"/>
              </w:rPr>
              <w:t>i</w:t>
            </w:r>
            <w:r w:rsidR="00996122">
              <w:rPr>
                <w:rFonts w:ascii="Times New Roman" w:hAnsi="Times New Roman" w:cs="Times New Roman"/>
                <w:sz w:val="24"/>
                <w:szCs w:val="24"/>
              </w:rPr>
              <w:t xml:space="preserve"> </w:t>
            </w:r>
            <w:r w:rsidR="00D2282F">
              <w:rPr>
                <w:rFonts w:ascii="Times New Roman" w:hAnsi="Times New Roman" w:cs="Times New Roman"/>
                <w:sz w:val="24"/>
                <w:szCs w:val="24"/>
              </w:rPr>
              <w:t>įtak</w:t>
            </w:r>
            <w:r w:rsidR="00996122">
              <w:rPr>
                <w:rFonts w:ascii="Times New Roman" w:hAnsi="Times New Roman" w:cs="Times New Roman"/>
                <w:sz w:val="24"/>
                <w:szCs w:val="24"/>
              </w:rPr>
              <w:t>ą</w:t>
            </w:r>
            <w:r w:rsidR="00D2282F">
              <w:rPr>
                <w:rFonts w:ascii="Times New Roman" w:hAnsi="Times New Roman" w:cs="Times New Roman"/>
                <w:sz w:val="24"/>
                <w:szCs w:val="24"/>
              </w:rPr>
              <w:t xml:space="preserve"> nepavaldžių organizacijų veikl</w:t>
            </w:r>
            <w:r w:rsidR="001C2ACC">
              <w:rPr>
                <w:rFonts w:ascii="Times New Roman" w:hAnsi="Times New Roman" w:cs="Times New Roman"/>
                <w:sz w:val="24"/>
                <w:szCs w:val="24"/>
              </w:rPr>
              <w:t>ai</w:t>
            </w:r>
            <w:r w:rsidR="00D2282F">
              <w:rPr>
                <w:rFonts w:ascii="Times New Roman" w:hAnsi="Times New Roman" w:cs="Times New Roman"/>
                <w:sz w:val="24"/>
                <w:szCs w:val="24"/>
              </w:rPr>
              <w:t xml:space="preserve"> ar klausim</w:t>
            </w:r>
            <w:r w:rsidR="001C2ACC">
              <w:rPr>
                <w:rFonts w:ascii="Times New Roman" w:hAnsi="Times New Roman" w:cs="Times New Roman"/>
                <w:sz w:val="24"/>
                <w:szCs w:val="24"/>
              </w:rPr>
              <w:t>am</w:t>
            </w:r>
            <w:r w:rsidR="00D2282F">
              <w:rPr>
                <w:rFonts w:ascii="Times New Roman" w:hAnsi="Times New Roman" w:cs="Times New Roman"/>
                <w:sz w:val="24"/>
                <w:szCs w:val="24"/>
              </w:rPr>
              <w:t>s, susijusi</w:t>
            </w:r>
            <w:r w:rsidR="001C2ACC">
              <w:rPr>
                <w:rFonts w:ascii="Times New Roman" w:hAnsi="Times New Roman" w:cs="Times New Roman"/>
                <w:sz w:val="24"/>
                <w:szCs w:val="24"/>
              </w:rPr>
              <w:t>em</w:t>
            </w:r>
            <w:r w:rsidR="00D2282F">
              <w:rPr>
                <w:rFonts w:ascii="Times New Roman" w:hAnsi="Times New Roman" w:cs="Times New Roman"/>
                <w:sz w:val="24"/>
                <w:szCs w:val="24"/>
              </w:rPr>
              <w:t xml:space="preserve">s su personalo administravimu. Vidaus reikalų ministerija </w:t>
            </w:r>
            <w:r w:rsidR="001A6229">
              <w:rPr>
                <w:rFonts w:ascii="Times New Roman" w:hAnsi="Times New Roman" w:cs="Times New Roman"/>
                <w:sz w:val="24"/>
                <w:szCs w:val="24"/>
              </w:rPr>
              <w:t>organizacijoms</w:t>
            </w:r>
            <w:r w:rsidR="00D2282F">
              <w:rPr>
                <w:rFonts w:ascii="Times New Roman" w:hAnsi="Times New Roman" w:cs="Times New Roman"/>
                <w:sz w:val="24"/>
                <w:szCs w:val="24"/>
              </w:rPr>
              <w:t xml:space="preserve"> suteiks įrankį, padėsiantį šių organizacijų vadovams valdyti žmogiškuosius išteklius.</w:t>
            </w:r>
          </w:p>
          <w:p w:rsidR="005020A4" w:rsidRDefault="005020A4" w:rsidP="00D2282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Žmogiškųjų išteklių valdymo principai, nepriklausomai nuo organizacijos </w:t>
            </w:r>
            <w:r w:rsidR="001A6229">
              <w:rPr>
                <w:rFonts w:ascii="Times New Roman" w:hAnsi="Times New Roman" w:cs="Times New Roman"/>
                <w:sz w:val="24"/>
                <w:szCs w:val="24"/>
              </w:rPr>
              <w:t>juridinės formos</w:t>
            </w:r>
            <w:r>
              <w:rPr>
                <w:rFonts w:ascii="Times New Roman" w:hAnsi="Times New Roman" w:cs="Times New Roman"/>
                <w:sz w:val="24"/>
                <w:szCs w:val="24"/>
              </w:rPr>
              <w:t xml:space="preserve">, iš esmės yra vienodi (priėmimas, vertinimas, darbo užmokesčio apskaita, socialinės garantijos, atostogų suteikimas ir kt.), gali skirtis tik procedūros ir terminai. Valstybei nėra tikslinga turėti ir išlaikyti keliolika ar keliasdešimt personalo valdymo IT programų, kurios veikia pagal tuos pačius principus. </w:t>
            </w:r>
          </w:p>
          <w:p w:rsidR="0074040A" w:rsidRPr="0014576D" w:rsidRDefault="001C2ACC" w:rsidP="001C2ACC">
            <w:pPr>
              <w:spacing w:line="276" w:lineRule="auto"/>
              <w:jc w:val="both"/>
              <w:rPr>
                <w:rFonts w:ascii="Times New Roman" w:hAnsi="Times New Roman" w:cs="Times New Roman"/>
                <w:sz w:val="24"/>
                <w:szCs w:val="24"/>
              </w:rPr>
            </w:pPr>
            <w:r>
              <w:rPr>
                <w:rFonts w:ascii="Times New Roman" w:hAnsi="Times New Roman" w:cs="Times New Roman"/>
                <w:sz w:val="24"/>
                <w:szCs w:val="24"/>
              </w:rPr>
              <w:t>Prireikus</w:t>
            </w:r>
            <w:r w:rsidR="0074040A">
              <w:rPr>
                <w:rFonts w:ascii="Times New Roman" w:hAnsi="Times New Roman" w:cs="Times New Roman"/>
                <w:sz w:val="24"/>
                <w:szCs w:val="24"/>
              </w:rPr>
              <w:t xml:space="preserve"> Projekte gali būti siūlomas nustatyt</w:t>
            </w:r>
            <w:r w:rsidR="001A6229">
              <w:rPr>
                <w:rFonts w:ascii="Times New Roman" w:hAnsi="Times New Roman" w:cs="Times New Roman"/>
                <w:sz w:val="24"/>
                <w:szCs w:val="24"/>
              </w:rPr>
              <w:t>i</w:t>
            </w:r>
            <w:r w:rsidR="0074040A">
              <w:rPr>
                <w:rFonts w:ascii="Times New Roman" w:hAnsi="Times New Roman" w:cs="Times New Roman"/>
                <w:sz w:val="24"/>
                <w:szCs w:val="24"/>
              </w:rPr>
              <w:t xml:space="preserve"> ir kitas Registro valdytojas. Registrui sukurti yra numatyti 5 mln. eurų ES struktūrinių fondų lėšų. Nusprendus pakeisti Registro valdytoją, Vidaus reikalų ministerija </w:t>
            </w:r>
            <w:r w:rsidR="001A6229">
              <w:rPr>
                <w:rFonts w:ascii="Times New Roman" w:hAnsi="Times New Roman" w:cs="Times New Roman"/>
                <w:sz w:val="24"/>
                <w:szCs w:val="24"/>
              </w:rPr>
              <w:t>mielai prisidėtų kuriant</w:t>
            </w:r>
            <w:r w:rsidR="0074040A">
              <w:rPr>
                <w:rFonts w:ascii="Times New Roman" w:hAnsi="Times New Roman" w:cs="Times New Roman"/>
                <w:sz w:val="24"/>
                <w:szCs w:val="24"/>
              </w:rPr>
              <w:t xml:space="preserve"> Registrą. </w:t>
            </w:r>
          </w:p>
        </w:tc>
      </w:tr>
      <w:tr w:rsidR="0010799B" w:rsidRPr="0010799B" w:rsidTr="00442641">
        <w:trPr>
          <w:tblHeader/>
        </w:trPr>
        <w:tc>
          <w:tcPr>
            <w:tcW w:w="2268" w:type="dxa"/>
          </w:tcPr>
          <w:p w:rsidR="0010799B" w:rsidRPr="0010799B" w:rsidRDefault="0010799B" w:rsidP="0010799B">
            <w:pPr>
              <w:spacing w:line="276" w:lineRule="auto"/>
              <w:rPr>
                <w:rFonts w:ascii="Times New Roman" w:hAnsi="Times New Roman" w:cs="Times New Roman"/>
                <w:sz w:val="24"/>
                <w:szCs w:val="24"/>
              </w:rPr>
            </w:pPr>
            <w:r w:rsidRPr="0010799B">
              <w:rPr>
                <w:rFonts w:ascii="Times New Roman" w:hAnsi="Times New Roman" w:cs="Times New Roman"/>
                <w:sz w:val="24"/>
                <w:szCs w:val="24"/>
              </w:rPr>
              <w:lastRenderedPageBreak/>
              <w:t>2. Nacionalinės teismų administracijos 2019-11-18 raštas Nr. 4R-1745-(6.6)</w:t>
            </w:r>
          </w:p>
        </w:tc>
        <w:tc>
          <w:tcPr>
            <w:tcW w:w="7088" w:type="dxa"/>
          </w:tcPr>
          <w:p w:rsidR="0010799B" w:rsidRPr="0010799B" w:rsidRDefault="0010799B" w:rsidP="0010799B">
            <w:pPr>
              <w:tabs>
                <w:tab w:val="left" w:pos="993"/>
              </w:tabs>
              <w:spacing w:line="276" w:lineRule="auto"/>
              <w:ind w:firstLine="851"/>
              <w:jc w:val="both"/>
              <w:rPr>
                <w:rFonts w:ascii="Times New Roman" w:hAnsi="Times New Roman" w:cs="Times New Roman"/>
                <w:sz w:val="24"/>
                <w:szCs w:val="24"/>
              </w:rPr>
            </w:pPr>
            <w:r w:rsidRPr="0010799B">
              <w:rPr>
                <w:rFonts w:ascii="Times New Roman" w:hAnsi="Times New Roman" w:cs="Times New Roman"/>
                <w:sz w:val="24"/>
                <w:szCs w:val="24"/>
              </w:rPr>
              <w:t>Nutarimo projektu yra pritariama i</w:t>
            </w:r>
            <w:r w:rsidR="00933611">
              <w:rPr>
                <w:rFonts w:ascii="Times New Roman" w:hAnsi="Times New Roman" w:cs="Times New Roman"/>
                <w:sz w:val="24"/>
                <w:szCs w:val="24"/>
              </w:rPr>
              <w:t>r</w:t>
            </w:r>
            <w:r w:rsidRPr="0010799B">
              <w:rPr>
                <w:rFonts w:ascii="Times New Roman" w:hAnsi="Times New Roman" w:cs="Times New Roman"/>
                <w:sz w:val="24"/>
                <w:szCs w:val="24"/>
              </w:rPr>
              <w:t xml:space="preserve"> Seimui teikiamas Lietuvos Respublikos viešojo sektoriaus darbuotojų registro įstatymo projektas (toliau – Projektas).</w:t>
            </w:r>
          </w:p>
          <w:p w:rsidR="0010799B" w:rsidRPr="0010799B" w:rsidRDefault="0010799B" w:rsidP="0010799B">
            <w:pPr>
              <w:tabs>
                <w:tab w:val="left" w:pos="993"/>
              </w:tabs>
              <w:spacing w:line="276" w:lineRule="auto"/>
              <w:ind w:firstLine="851"/>
              <w:jc w:val="both"/>
              <w:rPr>
                <w:rFonts w:ascii="Times New Roman" w:hAnsi="Times New Roman" w:cs="Times New Roman"/>
                <w:sz w:val="24"/>
                <w:szCs w:val="24"/>
              </w:rPr>
            </w:pPr>
            <w:r w:rsidRPr="0010799B">
              <w:rPr>
                <w:rFonts w:ascii="Times New Roman" w:hAnsi="Times New Roman" w:cs="Times New Roman"/>
                <w:sz w:val="24"/>
                <w:szCs w:val="24"/>
              </w:rPr>
              <w:t xml:space="preserve">Projekte pateiktas </w:t>
            </w:r>
            <w:r w:rsidR="00933611">
              <w:rPr>
                <w:rFonts w:ascii="Times New Roman" w:hAnsi="Times New Roman" w:cs="Times New Roman"/>
                <w:sz w:val="24"/>
                <w:szCs w:val="24"/>
              </w:rPr>
              <w:t>pa</w:t>
            </w:r>
            <w:r w:rsidRPr="0010799B">
              <w:rPr>
                <w:rFonts w:ascii="Times New Roman" w:hAnsi="Times New Roman" w:cs="Times New Roman"/>
                <w:sz w:val="24"/>
                <w:szCs w:val="24"/>
              </w:rPr>
              <w:t xml:space="preserve">siūlymas steigti atskirą valstybės registrą – Viešojo sektoriaus darbuotojų registrą (toliau – Registras), kuris būtų kuriamas reorganizuojant Valstybės tarnautojų registrą ir Vidaus reikalų pareigūnų registrą, šiuos sujungiant. Nurodyta, kad šis registras padėtų valdyti Projekte nurodomų institucijų žmogiškuosius išteklius, be to, tai taptų patogiu informacinių ir komunikacinių technologijų įrankiu centralizuotam viešojo sektoriaus įstaigų personalo administravimo ir buhalterinės apskaitos tvarkymui. Projekto 5 straipsnio 1 dalies 4 punktu siūloma, kad vienas iš Registro objektų būtų duomenys apie teisėjus. </w:t>
            </w:r>
          </w:p>
          <w:p w:rsidR="0010799B" w:rsidRPr="0010799B" w:rsidRDefault="0010799B" w:rsidP="0010799B">
            <w:pPr>
              <w:tabs>
                <w:tab w:val="left" w:pos="993"/>
              </w:tabs>
              <w:spacing w:line="276" w:lineRule="auto"/>
              <w:ind w:firstLine="851"/>
              <w:jc w:val="both"/>
              <w:rPr>
                <w:rFonts w:ascii="Times New Roman" w:hAnsi="Times New Roman" w:cs="Times New Roman"/>
                <w:sz w:val="24"/>
                <w:szCs w:val="24"/>
              </w:rPr>
            </w:pPr>
            <w:r w:rsidRPr="0010799B">
              <w:rPr>
                <w:rFonts w:ascii="Times New Roman" w:hAnsi="Times New Roman" w:cs="Times New Roman"/>
                <w:sz w:val="24"/>
                <w:szCs w:val="24"/>
              </w:rPr>
              <w:lastRenderedPageBreak/>
              <w:t>Administracija, įvertinusi Projektu teikiamų pasiūlymų pobūdį ir tikslą, pažymi, kad su Projekto rengėjų siūlymu įtraukti teisėjus į Registre tvarkomų objektų sąrašą nesutinka. Pastebėtina, kad Administracija šį nesutikimą jau yra išdėsčiusi Lietuvos Respublikos vidaus reikalų ministerijai 2018 m. lapkričio 16 d. teiktame rašte Nr. 4R-1728-(6.6) ,,Dėl Lietuvos Respublikos viešojo sektoriaus darbuotojų registro įstatymo ir su juo susijusių įstatymų projektų derinimo“, tačiau matyti, kad Projektų rengėjas į Administracijos išsakytus argumentus neatsižvelgė.</w:t>
            </w:r>
          </w:p>
          <w:p w:rsidR="0010799B" w:rsidRPr="0010799B" w:rsidRDefault="0010799B" w:rsidP="0010799B">
            <w:pPr>
              <w:tabs>
                <w:tab w:val="left" w:pos="993"/>
              </w:tabs>
              <w:spacing w:line="276" w:lineRule="auto"/>
              <w:ind w:firstLine="851"/>
              <w:jc w:val="both"/>
              <w:rPr>
                <w:rFonts w:ascii="Times New Roman" w:hAnsi="Times New Roman" w:cs="Times New Roman"/>
                <w:color w:val="FF0000"/>
                <w:sz w:val="24"/>
                <w:szCs w:val="24"/>
              </w:rPr>
            </w:pPr>
            <w:r w:rsidRPr="0010799B">
              <w:rPr>
                <w:rFonts w:ascii="Times New Roman" w:hAnsi="Times New Roman" w:cs="Times New Roman"/>
                <w:color w:val="000000"/>
                <w:sz w:val="24"/>
                <w:szCs w:val="24"/>
              </w:rPr>
              <w:t xml:space="preserve">Administracija nori dar kartą atkreipti Projekto rengėjų dėmesį, kad 2002 m. kovo 14 d., įgyvendinant Lietuvos Respublikos Konstitucinio Teismo (toliau – Konstitucinis Teismas) 1999 m. gruodžio 21 d. nutarime pateiktus išaiškinimus dėl teismų ir teisėjų nepriklausomumo garantijų užtikrinimo, buvo priimtas Lietuvos Respublikos nacionalinės teismų administracijos įstatymas (toliau – Administracijos įstatymas), kuriuo įsteigta teismus ir teismų savivaldos institucijas aptarnaujanti biudžetinė įstaiga – Administracija.  Minėtu įstatymu Administracijai buvo deleguota  atlikti funkcijas, kurios apima visus teisėjų profesinės veiklos etapus, taip pat valstybinių pensijų skyrimą bei mokėjimą. Įgyvendindama šias funkcijas ir </w:t>
            </w:r>
            <w:r w:rsidRPr="0010799B">
              <w:rPr>
                <w:rFonts w:ascii="Times New Roman" w:hAnsi="Times New Roman" w:cs="Times New Roman"/>
                <w:sz w:val="24"/>
                <w:szCs w:val="24"/>
              </w:rPr>
              <w:t xml:space="preserve">vadovaudamasi Lietuvos Respublikos teismų įstatymu (toliau – Teismų įstatymas), Nacionalinės teismų administracijos nuostatais, </w:t>
            </w:r>
            <w:r w:rsidRPr="0010799B">
              <w:rPr>
                <w:rFonts w:ascii="Times New Roman" w:hAnsi="Times New Roman" w:cs="Times New Roman"/>
                <w:color w:val="000000"/>
                <w:sz w:val="24"/>
                <w:szCs w:val="24"/>
              </w:rPr>
              <w:t xml:space="preserve">Administracija tvarko teisėjų duomenų bazę ir teisėjų asmens bylas, tvarko pretendentų į laisvas apylinkės teismo teisėjų vietas sąrašą ir jų asmens bylas (Administracijos įstatymo 2 straipsnio 8 ir 9 punktai ). Be to, Administracija taip pat tvarko Teisėjų karjeros siekiančių asmenų registrą, tvarko teisėjų, pageidaujančių būti perkeltais į kitą tos pačios pakopos teismą arba kitos jurisdikcijos tos pačios pakopos teismą, ir teisėjų, siekiančių karjeros tos pačios pakopos teismuose, duomenų bazes, tvarko asmenų, pageidaujančių laikyti pretendentų į teisėjus egzaminą, duomenų bazę ir jų asmens bylas, ir tokius duomenis apie į nurodytą registrą ir duomenų bazes įrašytus asmenis perduoda </w:t>
            </w:r>
            <w:r w:rsidRPr="0010799B">
              <w:rPr>
                <w:rFonts w:ascii="Times New Roman" w:hAnsi="Times New Roman" w:cs="Times New Roman"/>
                <w:color w:val="000000"/>
                <w:sz w:val="24"/>
                <w:szCs w:val="24"/>
              </w:rPr>
              <w:lastRenderedPageBreak/>
              <w:t xml:space="preserve">Respublikos Prezidentui, Teisėjų tarybai ir Pretendentų į teisėjus atrankos komisijai (Administracijos įstatymo 2 straipsnio 10–12 punktai). </w:t>
            </w:r>
          </w:p>
          <w:p w:rsidR="0010799B" w:rsidRPr="0010799B" w:rsidRDefault="0010799B" w:rsidP="0010799B">
            <w:pPr>
              <w:tabs>
                <w:tab w:val="left" w:pos="993"/>
              </w:tabs>
              <w:spacing w:line="276" w:lineRule="auto"/>
              <w:ind w:firstLine="851"/>
              <w:jc w:val="both"/>
              <w:rPr>
                <w:rFonts w:ascii="Times New Roman" w:hAnsi="Times New Roman" w:cs="Times New Roman"/>
                <w:bCs/>
                <w:iCs/>
                <w:sz w:val="24"/>
                <w:szCs w:val="24"/>
              </w:rPr>
            </w:pPr>
            <w:r w:rsidRPr="0010799B">
              <w:rPr>
                <w:rFonts w:ascii="Times New Roman" w:hAnsi="Times New Roman" w:cs="Times New Roman"/>
                <w:bCs/>
                <w:iCs/>
                <w:sz w:val="24"/>
                <w:szCs w:val="24"/>
              </w:rPr>
              <w:t xml:space="preserve">Pažymėtina, kad teisėjų duomenų įtraukimas į Registrą negalėtų turėti įtakos viešojo sektoriaus personalo administravimo optimizavimui, žmogiškųjų išteklių valdymui, biudžeto planavimui reikalingiems sprendimams priimti, nes teisėjų skaičiaus nustatymas, jų karjeros klausimų sprendimas nepriklauso vykdomosios valdžios kompetencijai. </w:t>
            </w:r>
            <w:r w:rsidRPr="0010799B">
              <w:rPr>
                <w:rFonts w:ascii="Times New Roman" w:hAnsi="Times New Roman" w:cs="Times New Roman"/>
                <w:sz w:val="24"/>
                <w:szCs w:val="24"/>
              </w:rPr>
              <w:t xml:space="preserve">Be to, tikėtina, kad iš esmės visa Administracijoje kaupiama ir tvarkoma informacija dubliuotųsi su Registre planuojama tvarkyti informacija, todėl Projekto rengėjų siūlymas tvarkyti tapačią informaciją keliems subjektams nėra racionalus ir pagrįstas.  </w:t>
            </w:r>
            <w:r w:rsidRPr="0010799B">
              <w:rPr>
                <w:rFonts w:ascii="Times New Roman" w:hAnsi="Times New Roman" w:cs="Times New Roman"/>
                <w:bCs/>
                <w:iCs/>
                <w:sz w:val="24"/>
                <w:szCs w:val="24"/>
              </w:rPr>
              <w:t xml:space="preserve">Pastebėtina ir tai, kad nei iš Projekto, nei iš jo aiškinamajame rašte pateiktos argumentacijos nėra aišku, kokius duomenis apie teisėjus kauptų ir tvarkytų Registras, kaip, kokių institucijų ir kokiu pagrindu jie būtų naudojami. Nėra jokio objektyvaus pagrindimo ir dėl to, kaip centralizuotas duomenų apie teisėjus kaupimas prisidėtų prie efektyvesnio žmogiškųjų išteklių teismų sistemoje valdymo. </w:t>
            </w:r>
          </w:p>
          <w:p w:rsidR="0010799B" w:rsidRPr="0010799B" w:rsidRDefault="0010799B" w:rsidP="0010799B">
            <w:pPr>
              <w:tabs>
                <w:tab w:val="left" w:pos="993"/>
              </w:tabs>
              <w:spacing w:line="276" w:lineRule="auto"/>
              <w:ind w:firstLine="851"/>
              <w:jc w:val="both"/>
              <w:rPr>
                <w:rFonts w:ascii="Times New Roman" w:hAnsi="Times New Roman" w:cs="Times New Roman"/>
                <w:sz w:val="24"/>
                <w:szCs w:val="24"/>
              </w:rPr>
            </w:pPr>
            <w:r w:rsidRPr="0010799B">
              <w:rPr>
                <w:rFonts w:ascii="Times New Roman" w:hAnsi="Times New Roman" w:cs="Times New Roman"/>
                <w:sz w:val="24"/>
                <w:szCs w:val="24"/>
              </w:rPr>
              <w:t>Įvertinus išdėstytus argumentus, Administracija neįžvelgia poreikio į bendrą viešojo sektoriaus darbuotojų registrą įtraukti teisėjus, siekiant patogaus bei funkcionalaus žmogiškųjų išteklių valdymo instrumento sukūrimo visoms valstybinę valdžią vykdančioms institucijoms.</w:t>
            </w:r>
          </w:p>
          <w:p w:rsidR="0010799B" w:rsidRPr="0010799B" w:rsidRDefault="0010799B" w:rsidP="0010799B">
            <w:pPr>
              <w:pStyle w:val="Tekstas"/>
              <w:spacing w:before="0" w:after="0" w:line="276" w:lineRule="auto"/>
              <w:ind w:right="0" w:firstLine="851"/>
              <w:rPr>
                <w:color w:val="000000" w:themeColor="text1"/>
                <w:shd w:val="clear" w:color="auto" w:fill="FFFFFF"/>
              </w:rPr>
            </w:pPr>
            <w:r w:rsidRPr="0010799B">
              <w:rPr>
                <w:bCs/>
                <w:iCs/>
                <w:color w:val="000000"/>
              </w:rPr>
              <w:t xml:space="preserve">Administracijai </w:t>
            </w:r>
            <w:r w:rsidRPr="0010799B">
              <w:rPr>
                <w:color w:val="000000"/>
              </w:rPr>
              <w:t xml:space="preserve">taip pat </w:t>
            </w:r>
            <w:r w:rsidRPr="0010799B">
              <w:rPr>
                <w:bCs/>
                <w:iCs/>
                <w:color w:val="000000"/>
              </w:rPr>
              <w:t>kyla abejonių dėl duomenų apie teisėjus perdavimo tvarkyti Registre atitikties</w:t>
            </w:r>
            <w:r w:rsidRPr="0010799B">
              <w:rPr>
                <w:bCs/>
                <w:iCs/>
                <w:color w:val="000000" w:themeColor="text1"/>
              </w:rPr>
              <w:t xml:space="preserve"> konstituciniam teismų sistemos, teisėjo nepriklausomumo principui.</w:t>
            </w:r>
            <w:r w:rsidRPr="0010799B">
              <w:rPr>
                <w:b/>
                <w:i/>
                <w:color w:val="000000" w:themeColor="text1"/>
              </w:rPr>
              <w:t xml:space="preserve"> </w:t>
            </w:r>
            <w:r w:rsidRPr="0010799B">
              <w:rPr>
                <w:color w:val="000000" w:themeColor="text1"/>
                <w:shd w:val="clear" w:color="auto" w:fill="FFFFFF"/>
              </w:rPr>
              <w:t>Konstitucinis Teismas savo aktuose (</w:t>
            </w:r>
            <w:r w:rsidRPr="0010799B">
              <w:rPr>
                <w:i/>
                <w:iCs/>
                <w:color w:val="000000" w:themeColor="text1"/>
                <w:shd w:val="clear" w:color="auto" w:fill="FFFFFF"/>
              </w:rPr>
              <w:t>inter alia</w:t>
            </w:r>
            <w:r w:rsidRPr="0010799B">
              <w:rPr>
                <w:color w:val="000000" w:themeColor="text1"/>
                <w:shd w:val="clear" w:color="auto" w:fill="FFFFFF"/>
              </w:rPr>
              <w:t> 1995 m. gruodžio 6 d., 1999 m. gruodžio 21 d., 2001 m. liepos 12 d., 2004 m. gruodžio 13 d. nutarimuose) yra ne kartą konstatavęs, kad: teisminės valdžios visavertiškumas ir nepriklausomumas suponuoja jos savireguliaciją ir savivaldą, apimančią </w:t>
            </w:r>
            <w:r w:rsidRPr="0010799B">
              <w:rPr>
                <w:i/>
                <w:iCs/>
                <w:color w:val="000000" w:themeColor="text1"/>
                <w:shd w:val="clear" w:color="auto" w:fill="FFFFFF"/>
              </w:rPr>
              <w:t>inter alia</w:t>
            </w:r>
            <w:r w:rsidRPr="0010799B">
              <w:rPr>
                <w:color w:val="000000" w:themeColor="text1"/>
                <w:shd w:val="clear" w:color="auto" w:fill="FFFFFF"/>
              </w:rPr>
              <w:t xml:space="preserve"> teismų darbo organizavimą, teisėjų profesinio korpuso veiklą; užtikrinant teisėjo ir teismų nepriklausomumą ypač </w:t>
            </w:r>
            <w:r w:rsidRPr="0010799B">
              <w:rPr>
                <w:color w:val="000000" w:themeColor="text1"/>
                <w:shd w:val="clear" w:color="auto" w:fill="FFFFFF"/>
              </w:rPr>
              <w:lastRenderedPageBreak/>
              <w:t xml:space="preserve">svarbu aiškiai atriboti teismų veiklą nuo vykdomosios valdžios; teismų veikla nėra ir negali būti laikoma valdymo sritimi, priskirta kuriai nors vykdomosios valdžios institucijai; teismų administravimas turi būti organizuojamas taip, kad nebūtų pažeidžiamas tikrasis teisėjų nepriklausomumas. </w:t>
            </w:r>
          </w:p>
          <w:p w:rsidR="0010799B" w:rsidRPr="0010799B" w:rsidRDefault="0010799B" w:rsidP="0010799B">
            <w:pPr>
              <w:pStyle w:val="Tekstas"/>
              <w:spacing w:before="0" w:after="0" w:line="276" w:lineRule="auto"/>
              <w:ind w:right="0" w:firstLine="851"/>
              <w:rPr>
                <w:b/>
                <w:bCs/>
                <w:i/>
                <w:iCs/>
                <w:color w:val="FF0000"/>
              </w:rPr>
            </w:pPr>
            <w:r w:rsidRPr="0010799B">
              <w:rPr>
                <w:color w:val="000000" w:themeColor="text1"/>
              </w:rPr>
              <w:t>Įstatymo projektų derinimo pažymoje nurodoma, kad Registras bus skirtas žmogiškiesiems ištekliams valdyti įstatymų nustatyta tvarka ir jokios įtakos teismų sprendimams bylose bei teisingumo vykdymui neturės ir turėti iš esmės negali.</w:t>
            </w:r>
            <w:r w:rsidRPr="0010799B">
              <w:t xml:space="preserve"> Atkreiptinas dėmesys į tai, kad</w:t>
            </w:r>
            <w:r w:rsidRPr="0010799B">
              <w:rPr>
                <w:b/>
                <w:bCs/>
                <w:i/>
                <w:iCs/>
              </w:rPr>
              <w:t xml:space="preserve"> teismų nepriklausomumas lemia jų organizacinį savarankiškumą, kuris įgyvendinamas per teismų savivaldą, ir ši sąvoka neturėtų būti suprantama vien tik kaip teismo sprendimo priėmimas bei teisingumo vykdymas. </w:t>
            </w:r>
          </w:p>
          <w:p w:rsidR="0010799B" w:rsidRPr="0010799B" w:rsidRDefault="0010799B" w:rsidP="0010799B">
            <w:pPr>
              <w:pStyle w:val="Tekstas"/>
              <w:spacing w:before="0" w:after="0" w:line="276" w:lineRule="auto"/>
              <w:ind w:right="0" w:firstLine="851"/>
              <w:rPr>
                <w:color w:val="000000" w:themeColor="text1"/>
              </w:rPr>
            </w:pPr>
            <w:r w:rsidRPr="0010799B">
              <w:rPr>
                <w:color w:val="000000" w:themeColor="text1"/>
              </w:rPr>
              <w:t xml:space="preserve">Tai, kad šiuo metu Valstybės tarnautojų registre ir Valstybės tarnautojų informacinėje sistemoje yra kaupiami teismų sistemoje dirbančių valstybės tarnautojų ir darbuotojų, dirbančių pagal darbo sutartis, duomenys, niekaip nepagrindžia objektyvaus poreikio į naujai kuriamą Registrą įtraukti ir duomenis apie teisėjus. </w:t>
            </w:r>
          </w:p>
          <w:p w:rsidR="0010799B" w:rsidRPr="0010799B" w:rsidRDefault="0010799B" w:rsidP="0010799B">
            <w:pPr>
              <w:pStyle w:val="Tekstas"/>
              <w:spacing w:before="0" w:after="0" w:line="276" w:lineRule="auto"/>
              <w:ind w:right="0" w:firstLine="851"/>
              <w:rPr>
                <w:color w:val="000000"/>
              </w:rPr>
            </w:pPr>
            <w:r w:rsidRPr="0010799B">
              <w:rPr>
                <w:color w:val="000000" w:themeColor="text1"/>
              </w:rPr>
              <w:t xml:space="preserve">Galiausiai, Projekto 5 straipsnio 1 dalies 2 punktu prie Registro objektų yra priskirti </w:t>
            </w:r>
            <w:r w:rsidRPr="0010799B">
              <w:t xml:space="preserve">ir valstybės pareigūnai. Pastebėtina, kad pagal Teismų įstatymo 41 straipsnio 1 dalį, teisėjas apibūdinamas kaip valstybės </w:t>
            </w:r>
            <w:r w:rsidRPr="0010799B">
              <w:rPr>
                <w:color w:val="000000"/>
              </w:rPr>
              <w:t>pareigūnas, kuris turi Teismų įstatyme bei kituose įstatymuose numatytus valstybės valdžios įgaliojimus. Taigi, jei Projekto 5 straipsnio 1 dalies 2 punktas apima ir teisėjus, šiam punktui taikytinos visos aukščiau Administracijos išdėstytos pastabos.</w:t>
            </w:r>
          </w:p>
          <w:p w:rsidR="0010799B" w:rsidRPr="0010799B" w:rsidRDefault="0010799B" w:rsidP="0010799B">
            <w:pPr>
              <w:pStyle w:val="Komentarotekstas"/>
              <w:spacing w:line="276" w:lineRule="auto"/>
              <w:ind w:firstLine="851"/>
              <w:jc w:val="both"/>
              <w:rPr>
                <w:bCs/>
                <w:iCs/>
                <w:color w:val="000000"/>
                <w:sz w:val="24"/>
                <w:szCs w:val="24"/>
              </w:rPr>
            </w:pPr>
            <w:r w:rsidRPr="0010799B">
              <w:rPr>
                <w:noProof/>
                <w:sz w:val="24"/>
                <w:szCs w:val="24"/>
              </w:rPr>
              <w:t xml:space="preserve"> Administracija, atsižvelgdama į tai, kas išdėstyta, </w:t>
            </w:r>
            <w:r w:rsidRPr="0010799B">
              <w:rPr>
                <w:bCs/>
                <w:iCs/>
                <w:noProof/>
                <w:sz w:val="24"/>
                <w:szCs w:val="24"/>
              </w:rPr>
              <w:t>siūlo teisėjus išbraukti iš numatomo įsteigti Registro objektų.</w:t>
            </w:r>
          </w:p>
          <w:p w:rsidR="0010799B" w:rsidRPr="0010799B" w:rsidRDefault="0010799B" w:rsidP="0010799B">
            <w:pPr>
              <w:spacing w:line="276" w:lineRule="auto"/>
              <w:jc w:val="both"/>
              <w:rPr>
                <w:rFonts w:ascii="Times New Roman" w:hAnsi="Times New Roman" w:cs="Times New Roman"/>
                <w:sz w:val="24"/>
                <w:szCs w:val="24"/>
              </w:rPr>
            </w:pPr>
          </w:p>
        </w:tc>
        <w:tc>
          <w:tcPr>
            <w:tcW w:w="5666" w:type="dxa"/>
            <w:vMerge/>
          </w:tcPr>
          <w:p w:rsidR="0010799B" w:rsidRPr="0010799B" w:rsidRDefault="0010799B" w:rsidP="0010799B">
            <w:pPr>
              <w:spacing w:line="276" w:lineRule="auto"/>
              <w:jc w:val="both"/>
              <w:rPr>
                <w:rFonts w:ascii="Times New Roman" w:hAnsi="Times New Roman" w:cs="Times New Roman"/>
                <w:sz w:val="24"/>
                <w:szCs w:val="24"/>
              </w:rPr>
            </w:pPr>
          </w:p>
        </w:tc>
      </w:tr>
      <w:tr w:rsidR="0010799B" w:rsidRPr="0010799B" w:rsidTr="00442641">
        <w:trPr>
          <w:tblHeader/>
        </w:trPr>
        <w:tc>
          <w:tcPr>
            <w:tcW w:w="2268" w:type="dxa"/>
          </w:tcPr>
          <w:p w:rsidR="0010799B" w:rsidRPr="0010799B" w:rsidRDefault="0010799B" w:rsidP="0010799B">
            <w:pPr>
              <w:spacing w:line="276" w:lineRule="auto"/>
              <w:rPr>
                <w:rFonts w:ascii="Times New Roman" w:hAnsi="Times New Roman" w:cs="Times New Roman"/>
                <w:sz w:val="24"/>
                <w:szCs w:val="24"/>
              </w:rPr>
            </w:pPr>
            <w:r w:rsidRPr="0010799B">
              <w:rPr>
                <w:rFonts w:ascii="Times New Roman" w:hAnsi="Times New Roman" w:cs="Times New Roman"/>
                <w:sz w:val="24"/>
                <w:szCs w:val="24"/>
              </w:rPr>
              <w:lastRenderedPageBreak/>
              <w:t>Krašto apsaugos ministerijos 2019-11-06 raštas Nr. 12-01-1721</w:t>
            </w:r>
          </w:p>
        </w:tc>
        <w:tc>
          <w:tcPr>
            <w:tcW w:w="7088" w:type="dxa"/>
          </w:tcPr>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Nepritariame siūlymui Viešojo sektoriaus darbuotojų registro įstatymo 5 straipsnio 1 dalies 6 punktu į Viešojo sektoriaus darbuotojų registrą įtraukti profesinės karo tarnybos karius dėl šių priežasčių:</w:t>
            </w:r>
          </w:p>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lastRenderedPageBreak/>
              <w:t>1. Krašto apsaugos sistemos (toliau¬ – KAS) karinį personalą sudaro profesinės karo tarnybos kariai (toliau – PKT kariai), aktyviojo rezervo kariai, parengtojo rezervo kariai ir kariūnai, todėl  tik PKT karių įtraukimas į Viešojo sektoriaus darbuotojų registrą neįgyvendintų įstatymų projektų aiškinamajame rašte iškelto tikslo centralizuoti personalo administravimo ir buhalterinės apskaitos funkcijas. Karių administravimas skirtingose informacinėse sistemose neužtikrintų efektyvaus KAS karinio personalo administravimo.</w:t>
            </w:r>
          </w:p>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2. KAS personalui administruoti naudojama Personalo valdymo informacinė sistema, kuri veikia tinkle, turinčiame slaptumo žymą „Riboto naudojimo“, o su šia sistema dirbantis personalas privalo turėti atitinkamą slaptumo žymą. Siekiant neatskleisti karinių padalinių sukomplektavimo ir užpildymo, jų pajėgumo vystymo ar duomenų valdymo, taip pat užtikrinti informacinių sistemų apsaugą nuo kibernetinių grėsmių, ši sistema nėra prieinama kitoms (ne KAS) institucijoms. Trečiųjų asmenų disponavimas informacija, susijusia su KAS personalo asmeniniais ir tarnybiniais duomenis, keltų grėsmę nacionaliniam saugumui.</w:t>
            </w:r>
          </w:p>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3. Vadovaujantis Lietuvos Respublikos valstybės ir tarnybos paslapčių įstatymo (toliau – VTPĮ) 7 straipsnio 1 dalies 27 punktu, „duomenys apie KAS specialiosios paskirties karinių vienetų &lt;...&gt; personalinę sudėtį“ gali sudaryti valstybės paslaptį, o VTPĮ 7 straipsnio 2 dalies 7 punktas numato, kad „suvestiniai detalūs duomenys apie Lietuvos kariuomenės &lt;...&gt; kiekybinę ir personalinę sudėtį, taip pat Lietuvos kariuomenės specialiosios paskirties padalinių struktūrą &lt;...&gt;“ gali sudaryti tarnybos paslaptį. Registre prieinami PKT karių duomenys atskleistų konkrečių kariuomenės dalinių užpildymą, t. y. kiekybinę ir personalinę sudėtį, o tai būtų nesuderinama su VTPĮ 7 straipsnio 2 dalies 7 punkto nuostatomis.</w:t>
            </w:r>
          </w:p>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 xml:space="preserve">Lietuvos Respublikos paslapčių apsaugos koordinavimo komisijos 2018 m. lapkričio 15 d. protokole Nr. 56-7 nurodyta, kad, atsižvelgiant į karių rotacijos principą (kai dėl kario tarnybos Lietuvos kariuomenės </w:t>
            </w:r>
            <w:r w:rsidRPr="0010799B">
              <w:rPr>
                <w:rFonts w:ascii="Times New Roman" w:hAnsi="Times New Roman" w:cs="Times New Roman"/>
                <w:sz w:val="24"/>
                <w:szCs w:val="24"/>
              </w:rPr>
              <w:lastRenderedPageBreak/>
              <w:t>specialiosios paskirties padaliniuose kario duomenys iš registro pašalinami, o po kelerių metų vėl įrašomi į registrą), net tokių duomenų, kurie nepatenka į VTPĮ išdėstytą įslaptintos informacijos kategorijų sąrašą ir nesudaro valstybės ar tarnybos paslapties, teikimas bendram registrui (t. y. Lietuvos Respublikos apdraustųjų valstybiniu socialiniu draudimu ir valstybinio socialinio draudimo išmokų gavėjų registro duomenų bazė) gali atskleisti įslaptintą informaciją, todėl nuspręsta, kad Generolo Jono Žemaičio Lietuvos karo akademijoje tarnaujančių apdraustųjų duomenys negali būti perkeliami iš Valstybinio socialinio draudimo fondo valdybos Karinių ir joms prilygintų struktūrų skyriaus į bendrąją registro duomenų bazę.</w:t>
            </w:r>
          </w:p>
          <w:p w:rsidR="0010799B" w:rsidRPr="0010799B" w:rsidRDefault="0010799B" w:rsidP="0010799B">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Atsižvelgiant į tai, darytina išvada, kad neįslaptintų PKT karių duomenų teikimas Viešojo sektoriaus darbuotojų registrui galėtų atskleisti įslaptintą informaciją.</w:t>
            </w:r>
          </w:p>
          <w:p w:rsidR="0010799B" w:rsidRPr="0010799B" w:rsidRDefault="0010799B" w:rsidP="0065396F">
            <w:pPr>
              <w:spacing w:line="276" w:lineRule="auto"/>
              <w:jc w:val="both"/>
              <w:rPr>
                <w:rFonts w:ascii="Times New Roman" w:hAnsi="Times New Roman" w:cs="Times New Roman"/>
                <w:sz w:val="24"/>
                <w:szCs w:val="24"/>
              </w:rPr>
            </w:pPr>
            <w:r w:rsidRPr="0010799B">
              <w:rPr>
                <w:rFonts w:ascii="Times New Roman" w:hAnsi="Times New Roman" w:cs="Times New Roman"/>
                <w:sz w:val="24"/>
                <w:szCs w:val="24"/>
              </w:rPr>
              <w:t>4. Nepaprastosios, karo padėties atveju, taip pat paskelbus mobilizaciją, atsižvelgiant į tai, kad personalo administravimo funkcija būtų vykdoma ekstremaliomis sąlygomis, ją pavesta vykdyti PKT kariams. Taip pat atkreiptinas dėmesys, kad atsižvelgiant į kario tarnybos specifiką (kario tarnybos dienos ir suminė savaitės tarnybos trukmė nėra apribota ir priklauso nuo tarnybos poreikių, kariai dalyvauja mokymuose, lauko pratybose, vyksta į tarptautines operacijas bei atlieka tarnybą NATO / ES institucijose), jų tarnybai taip pat taikomos pagal NATO reikalavimus nustatytos standartinės veiklos procedūros, reglamentuojančios personalo administravimą.</w:t>
            </w:r>
          </w:p>
        </w:tc>
        <w:tc>
          <w:tcPr>
            <w:tcW w:w="5666" w:type="dxa"/>
            <w:vMerge/>
          </w:tcPr>
          <w:p w:rsidR="0010799B" w:rsidRPr="0010799B" w:rsidRDefault="0010799B" w:rsidP="0010799B">
            <w:pPr>
              <w:spacing w:line="276" w:lineRule="auto"/>
              <w:jc w:val="both"/>
              <w:rPr>
                <w:rFonts w:ascii="Times New Roman" w:hAnsi="Times New Roman" w:cs="Times New Roman"/>
                <w:sz w:val="24"/>
                <w:szCs w:val="24"/>
              </w:rPr>
            </w:pPr>
          </w:p>
        </w:tc>
      </w:tr>
      <w:tr w:rsidR="0010799B" w:rsidRPr="0010799B" w:rsidTr="00442641">
        <w:trPr>
          <w:tblHeader/>
        </w:trPr>
        <w:tc>
          <w:tcPr>
            <w:tcW w:w="2268" w:type="dxa"/>
          </w:tcPr>
          <w:p w:rsidR="0010799B" w:rsidRPr="0010799B" w:rsidRDefault="0010799B" w:rsidP="0010799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Specialiųjų tyrimų tarnybos 2019-10-31 raštas Nr. </w:t>
            </w:r>
            <w:r w:rsidRPr="0010799B">
              <w:rPr>
                <w:rFonts w:ascii="Times New Roman" w:hAnsi="Times New Roman" w:cs="Times New Roman"/>
                <w:sz w:val="24"/>
                <w:szCs w:val="24"/>
              </w:rPr>
              <w:t>4-01-9248</w:t>
            </w:r>
          </w:p>
        </w:tc>
        <w:tc>
          <w:tcPr>
            <w:tcW w:w="7088" w:type="dxa"/>
          </w:tcPr>
          <w:p w:rsidR="0010799B" w:rsidRDefault="0010799B" w:rsidP="0010799B">
            <w:pPr>
              <w:pStyle w:val="Sraopastraipa"/>
              <w:numPr>
                <w:ilvl w:val="0"/>
                <w:numId w:val="14"/>
              </w:numPr>
              <w:tabs>
                <w:tab w:val="left" w:pos="1134"/>
              </w:tabs>
              <w:spacing w:line="276" w:lineRule="auto"/>
              <w:ind w:left="0" w:firstLine="851"/>
              <w:jc w:val="both"/>
              <w:rPr>
                <w:rFonts w:ascii="Times New Roman" w:hAnsi="Times New Roman"/>
                <w:bCs/>
                <w:sz w:val="24"/>
                <w:szCs w:val="24"/>
              </w:rPr>
            </w:pPr>
            <w:r>
              <w:rPr>
                <w:rFonts w:ascii="Times New Roman" w:hAnsi="Times New Roman"/>
                <w:bCs/>
                <w:sz w:val="24"/>
                <w:szCs w:val="24"/>
              </w:rPr>
              <w:t>Ir toliau palaikome</w:t>
            </w:r>
            <w:r w:rsidRPr="00EC1286">
              <w:rPr>
                <w:rFonts w:ascii="Times New Roman" w:hAnsi="Times New Roman"/>
                <w:bCs/>
                <w:sz w:val="24"/>
                <w:szCs w:val="24"/>
              </w:rPr>
              <w:t xml:space="preserve"> pozicij</w:t>
            </w:r>
            <w:r>
              <w:rPr>
                <w:rFonts w:ascii="Times New Roman" w:hAnsi="Times New Roman"/>
                <w:bCs/>
                <w:sz w:val="24"/>
                <w:szCs w:val="24"/>
              </w:rPr>
              <w:t>ą, kad STT darbuotojų ir pareigūnų duomenys neturėtų būti tvarkomi  numatome steigti registre, nes:</w:t>
            </w:r>
          </w:p>
          <w:p w:rsidR="0010799B" w:rsidRDefault="0010799B" w:rsidP="0010799B">
            <w:pPr>
              <w:pStyle w:val="Sraopastraipa"/>
              <w:numPr>
                <w:ilvl w:val="1"/>
                <w:numId w:val="14"/>
              </w:numPr>
              <w:tabs>
                <w:tab w:val="left" w:pos="1134"/>
              </w:tabs>
              <w:spacing w:line="276" w:lineRule="auto"/>
              <w:ind w:left="0" w:firstLine="851"/>
              <w:jc w:val="both"/>
              <w:rPr>
                <w:rFonts w:ascii="Times New Roman" w:hAnsi="Times New Roman"/>
                <w:bCs/>
                <w:sz w:val="24"/>
                <w:szCs w:val="24"/>
              </w:rPr>
            </w:pPr>
            <w:r>
              <w:rPr>
                <w:rFonts w:ascii="Times New Roman" w:hAnsi="Times New Roman"/>
                <w:bCs/>
                <w:sz w:val="24"/>
                <w:szCs w:val="24"/>
              </w:rPr>
              <w:t>Kaip nurodėme</w:t>
            </w:r>
            <w:r w:rsidRPr="00EC1286">
              <w:rPr>
                <w:rFonts w:ascii="Times New Roman" w:hAnsi="Times New Roman"/>
                <w:bCs/>
                <w:sz w:val="24"/>
                <w:szCs w:val="24"/>
              </w:rPr>
              <w:t xml:space="preserve"> 2018 m. liepos 15 d. rašte Nr. 4-01-9130 </w:t>
            </w:r>
            <w:r w:rsidRPr="00EC1286">
              <w:rPr>
                <w:rFonts w:ascii="Times New Roman" w:hAnsi="Times New Roman"/>
                <w:bCs/>
                <w:i/>
                <w:sz w:val="24"/>
                <w:szCs w:val="24"/>
              </w:rPr>
              <w:t xml:space="preserve">„STT pareigūnai ir darbuotojai, dirbantys pagal darbo sutartis, dėl savo veiklos nepriklausomumo ir specifiškumo neturėtų būti Lietuvos Respublikos viešojo sektoriaus darbuotojų registro įstatymo objektai, nes STT nėra Vidaus reikalų ministerijai pavaldi teisėsaugos institucija, </w:t>
            </w:r>
            <w:r w:rsidRPr="00EC1286">
              <w:rPr>
                <w:rFonts w:ascii="Times New Roman" w:hAnsi="Times New Roman"/>
                <w:bCs/>
                <w:i/>
                <w:sz w:val="24"/>
                <w:szCs w:val="24"/>
              </w:rPr>
              <w:lastRenderedPageBreak/>
              <w:t xml:space="preserve">o STT pareigūnai ir darbuotojai, dirbantys pagal darbo sutartis, nėra valstybės tarnautojai. Be to, STT buhalterinę apskaitą ir personalo administravimą tvarko pati, minėtų funkcijų centralizuotai neperims Nacionalinis bendrųjų funkcijų centras. Paminėtina ir tai, kad Valstybinio socialinio draudimo fondo valdyboje STT pareigūnų duomenys taip pat yra tvarkomi atskirai nuo centrinės duomenų bazės – Karinių ir joms prilygintų struktūrų skyriaus duomenų bazėje – dėl „būtina žinoti“ principo, numatyto  Lietuvos Respublikos valstybės ir tarnybos paslapčių įstatyme. Atkreiptinas dėmesys ir į tai, kad duomenys apie STT kriminalinės žvalgybos struktūrinių padalinių pareigybes, kiekybinę ir personalinę sudėtį, vadovaujantis Valstybės ir tarnybos paslapčių įstatymo 7 straipsnio 2 dalies 18 punktu, sudaro tarnybos paslaptį.“ </w:t>
            </w:r>
            <w:r>
              <w:rPr>
                <w:rFonts w:ascii="Times New Roman" w:hAnsi="Times New Roman"/>
                <w:bCs/>
                <w:sz w:val="24"/>
                <w:szCs w:val="24"/>
              </w:rPr>
              <w:t>T</w:t>
            </w:r>
            <w:r w:rsidRPr="00EC1286">
              <w:rPr>
                <w:rFonts w:ascii="Times New Roman" w:hAnsi="Times New Roman"/>
                <w:bCs/>
                <w:sz w:val="24"/>
                <w:szCs w:val="24"/>
              </w:rPr>
              <w:t>aigi</w:t>
            </w:r>
            <w:r>
              <w:rPr>
                <w:rFonts w:ascii="Times New Roman" w:hAnsi="Times New Roman"/>
                <w:bCs/>
                <w:sz w:val="24"/>
                <w:szCs w:val="24"/>
              </w:rPr>
              <w:t xml:space="preserve"> šiuo atveju ypatingai yra svarbus STT darbuotojų duomenų konfidencialumas, kurio sumažinimas gali turėti neigiamos įtakos nacionalinio saugumo užtikrinimui</w:t>
            </w:r>
            <w:r w:rsidRPr="00EC1286">
              <w:rPr>
                <w:rFonts w:ascii="Times New Roman" w:hAnsi="Times New Roman"/>
                <w:bCs/>
                <w:sz w:val="24"/>
                <w:szCs w:val="24"/>
              </w:rPr>
              <w:t xml:space="preserve">. </w:t>
            </w:r>
          </w:p>
          <w:p w:rsidR="0010799B" w:rsidRDefault="0010799B" w:rsidP="0010799B">
            <w:pPr>
              <w:pStyle w:val="Sraopastraipa"/>
              <w:numPr>
                <w:ilvl w:val="1"/>
                <w:numId w:val="14"/>
              </w:numPr>
              <w:tabs>
                <w:tab w:val="left" w:pos="1134"/>
              </w:tabs>
              <w:spacing w:line="276" w:lineRule="auto"/>
              <w:ind w:left="0" w:firstLine="851"/>
              <w:jc w:val="both"/>
              <w:rPr>
                <w:rFonts w:ascii="Times New Roman" w:hAnsi="Times New Roman"/>
                <w:bCs/>
                <w:sz w:val="24"/>
                <w:szCs w:val="24"/>
              </w:rPr>
            </w:pPr>
            <w:r>
              <w:rPr>
                <w:rFonts w:ascii="Times New Roman" w:hAnsi="Times New Roman"/>
                <w:bCs/>
                <w:sz w:val="24"/>
                <w:szCs w:val="24"/>
              </w:rPr>
              <w:t xml:space="preserve"> </w:t>
            </w:r>
            <w:r w:rsidRPr="00EC1286">
              <w:rPr>
                <w:rFonts w:ascii="Times New Roman" w:hAnsi="Times New Roman"/>
                <w:bCs/>
                <w:sz w:val="24"/>
                <w:szCs w:val="24"/>
              </w:rPr>
              <w:t xml:space="preserve">STT įstatymas nustato, jog STT didžiausią leistiną pareigūnų ir darbuotojų pareigybių skaičių nustato Seimo valdyba, o STT pareigybių sąrašą, pareigūnų ir darbuotojų pareigybių aprašymus tvirtina STT direktorius, </w:t>
            </w:r>
            <w:r>
              <w:rPr>
                <w:rFonts w:ascii="Times New Roman" w:hAnsi="Times New Roman"/>
                <w:bCs/>
                <w:sz w:val="24"/>
                <w:szCs w:val="24"/>
              </w:rPr>
              <w:t>taip yra</w:t>
            </w:r>
            <w:r w:rsidRPr="00EC1286">
              <w:rPr>
                <w:rFonts w:ascii="Times New Roman" w:hAnsi="Times New Roman"/>
                <w:bCs/>
                <w:sz w:val="24"/>
                <w:szCs w:val="24"/>
              </w:rPr>
              <w:t xml:space="preserve"> užtikrinamas STT pareigybių skaičiaus pagrįstumas. </w:t>
            </w:r>
          </w:p>
          <w:p w:rsidR="0010799B" w:rsidRPr="00EC1286" w:rsidRDefault="0010799B" w:rsidP="0010799B">
            <w:pPr>
              <w:pStyle w:val="Sraopastraipa"/>
              <w:numPr>
                <w:ilvl w:val="1"/>
                <w:numId w:val="14"/>
              </w:numPr>
              <w:tabs>
                <w:tab w:val="left" w:pos="1134"/>
              </w:tabs>
              <w:spacing w:line="276" w:lineRule="auto"/>
              <w:ind w:left="0" w:firstLine="851"/>
              <w:jc w:val="both"/>
              <w:rPr>
                <w:rFonts w:ascii="Times New Roman" w:hAnsi="Times New Roman"/>
                <w:bCs/>
                <w:sz w:val="24"/>
                <w:szCs w:val="24"/>
              </w:rPr>
            </w:pPr>
            <w:r>
              <w:rPr>
                <w:rFonts w:ascii="Times New Roman" w:hAnsi="Times New Roman"/>
                <w:bCs/>
                <w:sz w:val="24"/>
                <w:szCs w:val="24"/>
              </w:rPr>
              <w:t xml:space="preserve"> STT darbuotojų ir pareigūnų duomenys šiuo metu yra tvarkomi tam skirtoje saugioje STT informacinės sistemos dalyje, todėl nėra tikslinga dalį minėtų duomenų tvarkyti dar vienoje informacinėje sistemoje, nes taip būtų sumažintas duomenų tvarkymo saugumas ir nuoseklumas.</w:t>
            </w:r>
          </w:p>
          <w:p w:rsidR="0010799B" w:rsidRPr="0010799B" w:rsidRDefault="0010799B" w:rsidP="0010799B">
            <w:pPr>
              <w:spacing w:line="276" w:lineRule="auto"/>
              <w:jc w:val="both"/>
              <w:rPr>
                <w:rFonts w:ascii="Times New Roman" w:hAnsi="Times New Roman" w:cs="Times New Roman"/>
                <w:sz w:val="24"/>
                <w:szCs w:val="24"/>
              </w:rPr>
            </w:pPr>
          </w:p>
        </w:tc>
        <w:tc>
          <w:tcPr>
            <w:tcW w:w="5666" w:type="dxa"/>
            <w:vMerge/>
          </w:tcPr>
          <w:p w:rsidR="0010799B" w:rsidRPr="0010799B" w:rsidRDefault="0010799B" w:rsidP="0010799B">
            <w:pPr>
              <w:spacing w:line="276" w:lineRule="auto"/>
              <w:jc w:val="both"/>
              <w:rPr>
                <w:rFonts w:ascii="Times New Roman" w:hAnsi="Times New Roman" w:cs="Times New Roman"/>
                <w:sz w:val="24"/>
                <w:szCs w:val="24"/>
              </w:rPr>
            </w:pPr>
          </w:p>
        </w:tc>
      </w:tr>
      <w:tr w:rsidR="007D3974" w:rsidRPr="0010799B" w:rsidTr="00442641">
        <w:trPr>
          <w:tblHeader/>
        </w:trPr>
        <w:tc>
          <w:tcPr>
            <w:tcW w:w="2268" w:type="dxa"/>
          </w:tcPr>
          <w:p w:rsidR="007D3974" w:rsidRPr="0010799B" w:rsidRDefault="0010799B" w:rsidP="0010799B">
            <w:pPr>
              <w:spacing w:line="276" w:lineRule="auto"/>
              <w:rPr>
                <w:rFonts w:ascii="Times New Roman" w:hAnsi="Times New Roman" w:cs="Times New Roman"/>
                <w:sz w:val="24"/>
                <w:szCs w:val="24"/>
              </w:rPr>
            </w:pPr>
            <w:r>
              <w:rPr>
                <w:rFonts w:ascii="Times New Roman" w:hAnsi="Times New Roman" w:cs="Times New Roman"/>
                <w:sz w:val="24"/>
                <w:szCs w:val="24"/>
              </w:rPr>
              <w:t xml:space="preserve">Specialiųjų tyrimų tarnybos 2019-10-31 raštas Nr. </w:t>
            </w:r>
            <w:r w:rsidRPr="0010799B">
              <w:rPr>
                <w:rFonts w:ascii="Times New Roman" w:hAnsi="Times New Roman" w:cs="Times New Roman"/>
                <w:sz w:val="24"/>
                <w:szCs w:val="24"/>
              </w:rPr>
              <w:t>4-01-9248</w:t>
            </w:r>
          </w:p>
        </w:tc>
        <w:tc>
          <w:tcPr>
            <w:tcW w:w="7088" w:type="dxa"/>
          </w:tcPr>
          <w:p w:rsidR="0010799B" w:rsidRPr="0010799B" w:rsidRDefault="0010799B" w:rsidP="0010799B">
            <w:pPr>
              <w:pStyle w:val="Sraopastraipa"/>
              <w:numPr>
                <w:ilvl w:val="0"/>
                <w:numId w:val="14"/>
              </w:numPr>
              <w:tabs>
                <w:tab w:val="left" w:pos="743"/>
              </w:tabs>
              <w:spacing w:line="276" w:lineRule="auto"/>
              <w:ind w:left="0" w:firstLine="360"/>
              <w:jc w:val="both"/>
              <w:rPr>
                <w:rFonts w:ascii="Times New Roman" w:hAnsi="Times New Roman"/>
                <w:bCs/>
                <w:sz w:val="24"/>
                <w:szCs w:val="24"/>
              </w:rPr>
            </w:pPr>
            <w:r w:rsidRPr="0010799B">
              <w:rPr>
                <w:rFonts w:ascii="Times New Roman" w:hAnsi="Times New Roman"/>
                <w:bCs/>
                <w:i/>
                <w:iCs/>
                <w:sz w:val="24"/>
                <w:szCs w:val="24"/>
              </w:rPr>
              <w:t>Registre turėtų būti tvarkomi visų  valstybės ir savivaldybių įmonių, akcinių bendrovių viešųjų įstaigų, kurių savininkas ar vienas iš dalininkų yra valstybė ar savivaldybė darbuotojų duomenys</w:t>
            </w:r>
            <w:r w:rsidRPr="0010799B">
              <w:rPr>
                <w:rFonts w:ascii="Times New Roman" w:hAnsi="Times New Roman"/>
                <w:bCs/>
                <w:sz w:val="24"/>
                <w:szCs w:val="24"/>
              </w:rPr>
              <w:t>, o ne tik tų, kurios turi viešojo administravimo įgaliojimus. Aktualu tai, kad projekto 2 straipsnio 2 dalies 3 punkte nustatyta, kad registras yra skirtas padėti valdyti ir „</w:t>
            </w:r>
            <w:r w:rsidRPr="0010799B">
              <w:rPr>
                <w:rFonts w:ascii="Times New Roman" w:hAnsi="Times New Roman"/>
                <w:bCs/>
                <w:i/>
                <w:iCs/>
                <w:sz w:val="24"/>
                <w:szCs w:val="24"/>
                <w:u w:val="single"/>
              </w:rPr>
              <w:t>viešojo administravimo įgaliojimus turinčių</w:t>
            </w:r>
            <w:r w:rsidRPr="0010799B">
              <w:rPr>
                <w:rFonts w:ascii="Times New Roman" w:hAnsi="Times New Roman"/>
                <w:bCs/>
                <w:i/>
                <w:iCs/>
                <w:sz w:val="24"/>
                <w:szCs w:val="24"/>
              </w:rPr>
              <w:t xml:space="preserve"> valstybės ir </w:t>
            </w:r>
            <w:r w:rsidRPr="0010799B">
              <w:rPr>
                <w:rFonts w:ascii="Times New Roman" w:hAnsi="Times New Roman"/>
                <w:bCs/>
                <w:i/>
                <w:iCs/>
                <w:sz w:val="24"/>
                <w:szCs w:val="24"/>
              </w:rPr>
              <w:lastRenderedPageBreak/>
              <w:t>savivaldybių įmonių, viešųjų įstaigų, kurių savininkas ar vienas iš dalininkų yra valstybė ar savivaldybė, žmogiškuosius išteklius.“ Š</w:t>
            </w:r>
            <w:r w:rsidRPr="0010799B">
              <w:rPr>
                <w:rFonts w:ascii="Times New Roman" w:hAnsi="Times New Roman"/>
                <w:bCs/>
                <w:sz w:val="24"/>
                <w:szCs w:val="24"/>
              </w:rPr>
              <w:t>iuo atveju atsižvelgiant į nepotizmo problematika kylančią</w:t>
            </w:r>
            <w:r w:rsidRPr="006079A5">
              <w:t xml:space="preserve"> </w:t>
            </w:r>
            <w:r w:rsidRPr="0010799B">
              <w:rPr>
                <w:rFonts w:ascii="Times New Roman" w:hAnsi="Times New Roman"/>
                <w:bCs/>
                <w:sz w:val="24"/>
                <w:szCs w:val="24"/>
              </w:rPr>
              <w:t>valstybės ir savivaldybių įmonėse, akcinėse bendrovėse, viešosiose įstaigose, iš to kylančią korupcijos riziką, manytume, kad projekte nereikėtų minėtų subjektų siaurinti iki tų, kurie turi viešojo administravimo įgaliojimus, taip pat atsižvelgiant į tai, kad terminas – „įmonė“ praktikoje gali būti suprantamas siaurinamai ir taip registre nebūtų tvarkomi duomenys įmonių, kurios veiklos forma akcinė bendrovė,  projektą siūlytina papildyti įmonės veiklos forma – akcine bendrove.</w:t>
            </w:r>
          </w:p>
          <w:p w:rsidR="007D3974" w:rsidRPr="0010799B" w:rsidRDefault="007D3974" w:rsidP="0010799B">
            <w:pPr>
              <w:spacing w:line="276" w:lineRule="auto"/>
              <w:jc w:val="both"/>
              <w:rPr>
                <w:rFonts w:ascii="Times New Roman" w:hAnsi="Times New Roman" w:cs="Times New Roman"/>
                <w:sz w:val="24"/>
                <w:szCs w:val="24"/>
              </w:rPr>
            </w:pPr>
          </w:p>
        </w:tc>
        <w:tc>
          <w:tcPr>
            <w:tcW w:w="5666" w:type="dxa"/>
          </w:tcPr>
          <w:p w:rsidR="007D3974" w:rsidRDefault="00B52E45" w:rsidP="0010799B">
            <w:pPr>
              <w:spacing w:line="276" w:lineRule="auto"/>
              <w:jc w:val="both"/>
              <w:rPr>
                <w:rFonts w:ascii="Times New Roman" w:hAnsi="Times New Roman" w:cs="Times New Roman"/>
                <w:b/>
                <w:sz w:val="24"/>
                <w:szCs w:val="24"/>
              </w:rPr>
            </w:pPr>
            <w:r w:rsidRPr="00B52E45">
              <w:rPr>
                <w:rFonts w:ascii="Times New Roman" w:hAnsi="Times New Roman" w:cs="Times New Roman"/>
                <w:b/>
                <w:sz w:val="24"/>
                <w:szCs w:val="24"/>
              </w:rPr>
              <w:lastRenderedPageBreak/>
              <w:t xml:space="preserve">Nepritarta. </w:t>
            </w:r>
          </w:p>
          <w:p w:rsidR="00B52E45" w:rsidRPr="00B52E45" w:rsidRDefault="00B52E45" w:rsidP="0010799B">
            <w:pPr>
              <w:spacing w:line="276" w:lineRule="auto"/>
              <w:jc w:val="both"/>
              <w:rPr>
                <w:rFonts w:ascii="Times New Roman" w:hAnsi="Times New Roman" w:cs="Times New Roman"/>
                <w:sz w:val="24"/>
                <w:szCs w:val="24"/>
              </w:rPr>
            </w:pPr>
            <w:r>
              <w:rPr>
                <w:rFonts w:ascii="Times New Roman" w:hAnsi="Times New Roman" w:cs="Times New Roman"/>
                <w:sz w:val="24"/>
                <w:szCs w:val="24"/>
              </w:rPr>
              <w:t>Vidaus reikalų ministerija ketina šių juridinių asmenų darbuotojus į Registrą įtraukti etapais ateityje.</w:t>
            </w:r>
          </w:p>
        </w:tc>
      </w:tr>
    </w:tbl>
    <w:p w:rsidR="0010799B" w:rsidRDefault="0010799B" w:rsidP="00442641">
      <w:pPr>
        <w:spacing w:after="0" w:line="240" w:lineRule="auto"/>
        <w:rPr>
          <w:rFonts w:ascii="Times New Roman" w:hAnsi="Times New Roman" w:cs="Times New Roman"/>
          <w:sz w:val="24"/>
          <w:szCs w:val="24"/>
        </w:rPr>
      </w:pPr>
    </w:p>
    <w:p w:rsidR="0010799B" w:rsidRDefault="0010799B" w:rsidP="00442641">
      <w:pPr>
        <w:spacing w:after="0" w:line="240" w:lineRule="auto"/>
        <w:rPr>
          <w:rFonts w:ascii="Times New Roman" w:hAnsi="Times New Roman" w:cs="Times New Roman"/>
          <w:sz w:val="24"/>
          <w:szCs w:val="24"/>
        </w:rPr>
      </w:pPr>
    </w:p>
    <w:p w:rsidR="00B30415" w:rsidRDefault="00B30415" w:rsidP="00B30415">
      <w:pPr>
        <w:spacing w:after="0" w:line="240" w:lineRule="auto"/>
        <w:jc w:val="center"/>
        <w:rPr>
          <w:rFonts w:ascii="Times New Roman" w:hAnsi="Times New Roman" w:cs="Times New Roman"/>
          <w:sz w:val="24"/>
          <w:szCs w:val="24"/>
        </w:rPr>
      </w:pPr>
      <w:r w:rsidRPr="00202A6E">
        <w:rPr>
          <w:rFonts w:ascii="Times New Roman" w:hAnsi="Times New Roman" w:cs="Times New Roman"/>
          <w:sz w:val="24"/>
          <w:szCs w:val="24"/>
        </w:rPr>
        <w:t>_____________________________</w:t>
      </w:r>
    </w:p>
    <w:p w:rsidR="00B30415" w:rsidRPr="00202A6E" w:rsidRDefault="00B30415" w:rsidP="00B30415">
      <w:pPr>
        <w:spacing w:after="0" w:line="360" w:lineRule="auto"/>
        <w:jc w:val="both"/>
        <w:rPr>
          <w:rFonts w:ascii="Times New Roman" w:hAnsi="Times New Roman" w:cs="Times New Roman"/>
          <w:sz w:val="24"/>
          <w:szCs w:val="24"/>
        </w:rPr>
      </w:pPr>
    </w:p>
    <w:p w:rsidR="00AD4EB0" w:rsidRDefault="00AD4EB0"/>
    <w:sectPr w:rsidR="00AD4EB0" w:rsidSect="00A51C52">
      <w:headerReference w:type="default" r:id="rId8"/>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AAA" w:rsidRDefault="00361AAA" w:rsidP="00BA38C2">
      <w:pPr>
        <w:spacing w:after="0" w:line="240" w:lineRule="auto"/>
      </w:pPr>
      <w:r>
        <w:separator/>
      </w:r>
    </w:p>
  </w:endnote>
  <w:endnote w:type="continuationSeparator" w:id="0">
    <w:p w:rsidR="00361AAA" w:rsidRDefault="00361AAA" w:rsidP="00BA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AAA" w:rsidRDefault="00361AAA" w:rsidP="00BA38C2">
      <w:pPr>
        <w:spacing w:after="0" w:line="240" w:lineRule="auto"/>
      </w:pPr>
      <w:r>
        <w:separator/>
      </w:r>
    </w:p>
  </w:footnote>
  <w:footnote w:type="continuationSeparator" w:id="0">
    <w:p w:rsidR="00361AAA" w:rsidRDefault="00361AAA" w:rsidP="00BA3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029003"/>
      <w:docPartObj>
        <w:docPartGallery w:val="Page Numbers (Top of Page)"/>
        <w:docPartUnique/>
      </w:docPartObj>
    </w:sdtPr>
    <w:sdtEndPr>
      <w:rPr>
        <w:rFonts w:ascii="Times New Roman" w:hAnsi="Times New Roman" w:cs="Times New Roman"/>
        <w:sz w:val="24"/>
        <w:szCs w:val="24"/>
      </w:rPr>
    </w:sdtEndPr>
    <w:sdtContent>
      <w:p w:rsidR="00A51C52" w:rsidRPr="00BA38C2" w:rsidRDefault="008015C4">
        <w:pPr>
          <w:pStyle w:val="Antrats"/>
          <w:jc w:val="center"/>
          <w:rPr>
            <w:rFonts w:ascii="Times New Roman" w:hAnsi="Times New Roman" w:cs="Times New Roman"/>
            <w:sz w:val="24"/>
            <w:szCs w:val="24"/>
          </w:rPr>
        </w:pPr>
        <w:r w:rsidRPr="00BA38C2">
          <w:rPr>
            <w:rFonts w:ascii="Times New Roman" w:hAnsi="Times New Roman" w:cs="Times New Roman"/>
            <w:sz w:val="24"/>
            <w:szCs w:val="24"/>
          </w:rPr>
          <w:fldChar w:fldCharType="begin"/>
        </w:r>
        <w:r w:rsidRPr="00BA38C2">
          <w:rPr>
            <w:rFonts w:ascii="Times New Roman" w:hAnsi="Times New Roman" w:cs="Times New Roman"/>
            <w:sz w:val="24"/>
            <w:szCs w:val="24"/>
          </w:rPr>
          <w:instrText>PAGE   \* MERGEFORMAT</w:instrText>
        </w:r>
        <w:r w:rsidRPr="00BA38C2">
          <w:rPr>
            <w:rFonts w:ascii="Times New Roman" w:hAnsi="Times New Roman" w:cs="Times New Roman"/>
            <w:sz w:val="24"/>
            <w:szCs w:val="24"/>
          </w:rPr>
          <w:fldChar w:fldCharType="separate"/>
        </w:r>
        <w:r w:rsidR="00531E4E">
          <w:rPr>
            <w:rFonts w:ascii="Times New Roman" w:hAnsi="Times New Roman" w:cs="Times New Roman"/>
            <w:noProof/>
            <w:sz w:val="24"/>
            <w:szCs w:val="24"/>
          </w:rPr>
          <w:t>2</w:t>
        </w:r>
        <w:r w:rsidRPr="00BA38C2">
          <w:rPr>
            <w:rFonts w:ascii="Times New Roman" w:hAnsi="Times New Roman" w:cs="Times New Roman"/>
            <w:sz w:val="24"/>
            <w:szCs w:val="24"/>
          </w:rPr>
          <w:fldChar w:fldCharType="end"/>
        </w:r>
      </w:p>
    </w:sdtContent>
  </w:sdt>
  <w:p w:rsidR="00A51C52" w:rsidRDefault="00A51C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BF9"/>
    <w:multiLevelType w:val="hybridMultilevel"/>
    <w:tmpl w:val="71CADCD0"/>
    <w:lvl w:ilvl="0" w:tplc="9EE0A94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F26BC"/>
    <w:multiLevelType w:val="hybridMultilevel"/>
    <w:tmpl w:val="A26A64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3854D2"/>
    <w:multiLevelType w:val="hybridMultilevel"/>
    <w:tmpl w:val="43C65154"/>
    <w:lvl w:ilvl="0" w:tplc="48CAE4AC">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32FFE"/>
    <w:multiLevelType w:val="hybridMultilevel"/>
    <w:tmpl w:val="62D063AC"/>
    <w:lvl w:ilvl="0" w:tplc="67F457F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0787BC1"/>
    <w:multiLevelType w:val="multilevel"/>
    <w:tmpl w:val="C176653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7C49A2"/>
    <w:multiLevelType w:val="hybridMultilevel"/>
    <w:tmpl w:val="A1FAA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D57C08"/>
    <w:multiLevelType w:val="hybridMultilevel"/>
    <w:tmpl w:val="925E999E"/>
    <w:lvl w:ilvl="0" w:tplc="2E3ABDBE">
      <w:start w:val="1"/>
      <w:numFmt w:val="decimal"/>
      <w:lvlText w:val="%1."/>
      <w:lvlJc w:val="left"/>
      <w:pPr>
        <w:ind w:left="1145" w:hanging="465"/>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49A33987"/>
    <w:multiLevelType w:val="hybridMultilevel"/>
    <w:tmpl w:val="3078ED4A"/>
    <w:lvl w:ilvl="0" w:tplc="67F457F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4B5116C0"/>
    <w:multiLevelType w:val="hybridMultilevel"/>
    <w:tmpl w:val="20DACA4E"/>
    <w:lvl w:ilvl="0" w:tplc="C41AD67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15:restartNumberingAfterBreak="0">
    <w:nsid w:val="509F2225"/>
    <w:multiLevelType w:val="hybridMultilevel"/>
    <w:tmpl w:val="1DC2EE54"/>
    <w:lvl w:ilvl="0" w:tplc="56CAE19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52EE2C90"/>
    <w:multiLevelType w:val="hybridMultilevel"/>
    <w:tmpl w:val="5B2C1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3657BB"/>
    <w:multiLevelType w:val="multilevel"/>
    <w:tmpl w:val="DBF83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BA4F94"/>
    <w:multiLevelType w:val="hybridMultilevel"/>
    <w:tmpl w:val="85AC9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A70178"/>
    <w:multiLevelType w:val="hybridMultilevel"/>
    <w:tmpl w:val="60587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0C6DC1"/>
    <w:multiLevelType w:val="multilevel"/>
    <w:tmpl w:val="2FBC98B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4"/>
  </w:num>
  <w:num w:numId="2">
    <w:abstractNumId w:val="11"/>
  </w:num>
  <w:num w:numId="3">
    <w:abstractNumId w:val="7"/>
  </w:num>
  <w:num w:numId="4">
    <w:abstractNumId w:val="3"/>
  </w:num>
  <w:num w:numId="5">
    <w:abstractNumId w:val="9"/>
  </w:num>
  <w:num w:numId="6">
    <w:abstractNumId w:val="5"/>
  </w:num>
  <w:num w:numId="7">
    <w:abstractNumId w:val="0"/>
  </w:num>
  <w:num w:numId="8">
    <w:abstractNumId w:val="8"/>
  </w:num>
  <w:num w:numId="9">
    <w:abstractNumId w:val="2"/>
  </w:num>
  <w:num w:numId="10">
    <w:abstractNumId w:val="6"/>
  </w:num>
  <w:num w:numId="11">
    <w:abstractNumId w:val="13"/>
  </w:num>
  <w:num w:numId="12">
    <w:abstractNumId w:val="12"/>
  </w:num>
  <w:num w:numId="13">
    <w:abstractNumId w:val="1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61"/>
    <w:rsid w:val="00001770"/>
    <w:rsid w:val="00052EB2"/>
    <w:rsid w:val="00061D76"/>
    <w:rsid w:val="0010799B"/>
    <w:rsid w:val="00131D82"/>
    <w:rsid w:val="0014576D"/>
    <w:rsid w:val="00182757"/>
    <w:rsid w:val="001A6229"/>
    <w:rsid w:val="001A6FEB"/>
    <w:rsid w:val="001C2ACC"/>
    <w:rsid w:val="0021687C"/>
    <w:rsid w:val="0024586C"/>
    <w:rsid w:val="00294AAB"/>
    <w:rsid w:val="002F1A9E"/>
    <w:rsid w:val="003032E8"/>
    <w:rsid w:val="003478FE"/>
    <w:rsid w:val="00361AAA"/>
    <w:rsid w:val="00362190"/>
    <w:rsid w:val="003C1618"/>
    <w:rsid w:val="003E1CD0"/>
    <w:rsid w:val="00425E48"/>
    <w:rsid w:val="004372B1"/>
    <w:rsid w:val="004409D8"/>
    <w:rsid w:val="00440DAC"/>
    <w:rsid w:val="00442641"/>
    <w:rsid w:val="004851E3"/>
    <w:rsid w:val="004C7D1F"/>
    <w:rsid w:val="004D1FC6"/>
    <w:rsid w:val="005020A4"/>
    <w:rsid w:val="00531E4E"/>
    <w:rsid w:val="0056438E"/>
    <w:rsid w:val="005D0467"/>
    <w:rsid w:val="0065396F"/>
    <w:rsid w:val="006A6EE8"/>
    <w:rsid w:val="00703596"/>
    <w:rsid w:val="0072408F"/>
    <w:rsid w:val="00724728"/>
    <w:rsid w:val="0074040A"/>
    <w:rsid w:val="00747EA9"/>
    <w:rsid w:val="007D3974"/>
    <w:rsid w:val="008015C4"/>
    <w:rsid w:val="00836AF1"/>
    <w:rsid w:val="00876F9C"/>
    <w:rsid w:val="008B4E95"/>
    <w:rsid w:val="008C33C7"/>
    <w:rsid w:val="008E0F21"/>
    <w:rsid w:val="00925D56"/>
    <w:rsid w:val="00933611"/>
    <w:rsid w:val="009719C2"/>
    <w:rsid w:val="00981E94"/>
    <w:rsid w:val="00996122"/>
    <w:rsid w:val="009C7FFD"/>
    <w:rsid w:val="009E4BD2"/>
    <w:rsid w:val="009E6C25"/>
    <w:rsid w:val="009F662B"/>
    <w:rsid w:val="00A51C52"/>
    <w:rsid w:val="00A573D9"/>
    <w:rsid w:val="00AA5603"/>
    <w:rsid w:val="00AD4EB0"/>
    <w:rsid w:val="00B27368"/>
    <w:rsid w:val="00B30415"/>
    <w:rsid w:val="00B52E45"/>
    <w:rsid w:val="00B810C4"/>
    <w:rsid w:val="00BA38C2"/>
    <w:rsid w:val="00BE7D45"/>
    <w:rsid w:val="00C040FC"/>
    <w:rsid w:val="00CD3389"/>
    <w:rsid w:val="00CE1822"/>
    <w:rsid w:val="00D2282F"/>
    <w:rsid w:val="00D80EC4"/>
    <w:rsid w:val="00D85461"/>
    <w:rsid w:val="00D94CD3"/>
    <w:rsid w:val="00E35BA1"/>
    <w:rsid w:val="00E415FB"/>
    <w:rsid w:val="00ED0A05"/>
    <w:rsid w:val="00FE6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8D83A-E9D7-415B-B9CA-EBE43D4B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415"/>
  </w:style>
  <w:style w:type="paragraph" w:styleId="Antrat1">
    <w:name w:val="heading 1"/>
    <w:basedOn w:val="prastasis"/>
    <w:next w:val="prastasis"/>
    <w:link w:val="Antrat1Diagrama"/>
    <w:uiPriority w:val="99"/>
    <w:qFormat/>
    <w:rsid w:val="00B30415"/>
    <w:pPr>
      <w:keepNext/>
      <w:spacing w:after="0" w:line="240" w:lineRule="auto"/>
      <w:jc w:val="both"/>
      <w:outlineLvl w:val="0"/>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9"/>
    <w:qFormat/>
    <w:rsid w:val="00B30415"/>
    <w:pPr>
      <w:keepNext/>
      <w:spacing w:after="0" w:line="240" w:lineRule="auto"/>
      <w:ind w:firstLine="720"/>
      <w:jc w:val="both"/>
      <w:outlineLvl w:val="1"/>
    </w:pPr>
    <w:rPr>
      <w:rFonts w:ascii="Times New Roman" w:eastAsia="Times New Roman" w:hAnsi="Times New Roman" w:cs="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30415"/>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B30415"/>
    <w:rPr>
      <w:rFonts w:ascii="Times New Roman" w:eastAsia="Times New Roman" w:hAnsi="Times New Roman" w:cs="Times New Roman"/>
      <w:b/>
      <w:sz w:val="20"/>
      <w:szCs w:val="20"/>
    </w:rPr>
  </w:style>
  <w:style w:type="table" w:styleId="Lentelstinklelis">
    <w:name w:val="Table Grid"/>
    <w:basedOn w:val="prastojilentel"/>
    <w:uiPriority w:val="39"/>
    <w:rsid w:val="00B30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0415"/>
    <w:pPr>
      <w:ind w:left="720"/>
      <w:contextualSpacing/>
    </w:pPr>
  </w:style>
  <w:style w:type="paragraph" w:styleId="Pagrindinistekstas">
    <w:name w:val="Body Text"/>
    <w:basedOn w:val="prastasis"/>
    <w:link w:val="PagrindinistekstasDiagrama"/>
    <w:rsid w:val="00B30415"/>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B30415"/>
    <w:rPr>
      <w:rFonts w:ascii="Times New Roman" w:eastAsia="Times New Roman" w:hAnsi="Times New Roman" w:cs="Times New Roman"/>
      <w:sz w:val="24"/>
      <w:szCs w:val="24"/>
      <w:lang w:eastAsia="lt-LT"/>
    </w:rPr>
  </w:style>
  <w:style w:type="paragraph" w:styleId="Antrats">
    <w:name w:val="header"/>
    <w:basedOn w:val="prastasis"/>
    <w:link w:val="AntratsDiagrama"/>
    <w:unhideWhenUsed/>
    <w:rsid w:val="00B30415"/>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30415"/>
  </w:style>
  <w:style w:type="paragraph" w:customStyle="1" w:styleId="Tekstas">
    <w:name w:val="Tekstas"/>
    <w:basedOn w:val="prastasis"/>
    <w:link w:val="TekstasDiagrama"/>
    <w:rsid w:val="00B30415"/>
    <w:pPr>
      <w:spacing w:before="40" w:after="40" w:line="240" w:lineRule="auto"/>
      <w:ind w:right="40" w:firstLine="1247"/>
      <w:jc w:val="both"/>
    </w:pPr>
    <w:rPr>
      <w:rFonts w:ascii="Times New Roman" w:eastAsia="Times New Roman" w:hAnsi="Times New Roman" w:cs="Times New Roman"/>
      <w:sz w:val="24"/>
      <w:szCs w:val="24"/>
    </w:rPr>
  </w:style>
  <w:style w:type="paragraph" w:styleId="Betarp">
    <w:name w:val="No Spacing"/>
    <w:uiPriority w:val="1"/>
    <w:qFormat/>
    <w:rsid w:val="00B30415"/>
    <w:pPr>
      <w:spacing w:after="0" w:line="240" w:lineRule="auto"/>
    </w:pPr>
    <w:rPr>
      <w:rFonts w:ascii="Times New Roman" w:eastAsia="Times New Roman" w:hAnsi="Times New Roman" w:cs="Times New Roman"/>
      <w:sz w:val="24"/>
      <w:szCs w:val="24"/>
    </w:rPr>
  </w:style>
  <w:style w:type="character" w:customStyle="1" w:styleId="CharStyle4">
    <w:name w:val="CharStyle4"/>
    <w:basedOn w:val="Numatytasispastraiposriftas"/>
    <w:qFormat/>
    <w:rsid w:val="0056438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Stiprusparykinimas">
    <w:name w:val="Stiprus paryškinimas"/>
    <w:qFormat/>
    <w:rsid w:val="0056438E"/>
    <w:rPr>
      <w:b/>
      <w:bCs/>
    </w:rPr>
  </w:style>
  <w:style w:type="paragraph" w:styleId="Porat">
    <w:name w:val="footer"/>
    <w:basedOn w:val="prastasis"/>
    <w:link w:val="PoratDiagrama"/>
    <w:uiPriority w:val="99"/>
    <w:unhideWhenUsed/>
    <w:rsid w:val="00BA38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38C2"/>
  </w:style>
  <w:style w:type="paragraph" w:customStyle="1" w:styleId="tekstas0">
    <w:name w:val="tekstas"/>
    <w:basedOn w:val="prastasis"/>
    <w:rsid w:val="0036219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440DAC"/>
    <w:pPr>
      <w:spacing w:after="120"/>
      <w:ind w:left="283"/>
    </w:pPr>
  </w:style>
  <w:style w:type="character" w:customStyle="1" w:styleId="PagrindiniotekstotraukaDiagrama">
    <w:name w:val="Pagrindinio teksto įtrauka Diagrama"/>
    <w:basedOn w:val="Numatytasispastraiposriftas"/>
    <w:link w:val="Pagrindiniotekstotrauka"/>
    <w:rsid w:val="00440DAC"/>
  </w:style>
  <w:style w:type="character" w:styleId="Komentaronuoroda">
    <w:name w:val="annotation reference"/>
    <w:basedOn w:val="Numatytasispastraiposriftas"/>
    <w:uiPriority w:val="99"/>
    <w:semiHidden/>
    <w:unhideWhenUsed/>
    <w:rsid w:val="0072408F"/>
    <w:rPr>
      <w:sz w:val="16"/>
      <w:szCs w:val="16"/>
    </w:rPr>
  </w:style>
  <w:style w:type="paragraph" w:styleId="Komentarotekstas">
    <w:name w:val="annotation text"/>
    <w:basedOn w:val="prastasis"/>
    <w:link w:val="KomentarotekstasDiagrama"/>
    <w:uiPriority w:val="99"/>
    <w:unhideWhenUsed/>
    <w:rsid w:val="0072408F"/>
    <w:pPr>
      <w:suppressAutoHyphens/>
      <w:spacing w:after="0" w:line="240"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basedOn w:val="Numatytasispastraiposriftas"/>
    <w:link w:val="Komentarotekstas"/>
    <w:uiPriority w:val="99"/>
    <w:rsid w:val="0072408F"/>
    <w:rPr>
      <w:rFonts w:ascii="Times New Roman" w:eastAsia="Times New Roman" w:hAnsi="Times New Roman" w:cs="Times New Roman"/>
      <w:sz w:val="20"/>
      <w:szCs w:val="20"/>
      <w:lang w:eastAsia="ar-SA"/>
    </w:rPr>
  </w:style>
  <w:style w:type="paragraph" w:styleId="Debesliotekstas">
    <w:name w:val="Balloon Text"/>
    <w:basedOn w:val="prastasis"/>
    <w:link w:val="DebesliotekstasDiagrama"/>
    <w:uiPriority w:val="99"/>
    <w:semiHidden/>
    <w:unhideWhenUsed/>
    <w:rsid w:val="007240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408F"/>
    <w:rPr>
      <w:rFonts w:ascii="Segoe UI" w:hAnsi="Segoe UI" w:cs="Segoe UI"/>
      <w:sz w:val="18"/>
      <w:szCs w:val="18"/>
    </w:rPr>
  </w:style>
  <w:style w:type="character" w:styleId="Hipersaitas">
    <w:name w:val="Hyperlink"/>
    <w:basedOn w:val="Numatytasispastraiposriftas"/>
    <w:uiPriority w:val="99"/>
    <w:semiHidden/>
    <w:unhideWhenUsed/>
    <w:rsid w:val="008015C4"/>
    <w:rPr>
      <w:color w:val="0000FF"/>
      <w:u w:val="single"/>
    </w:rPr>
  </w:style>
  <w:style w:type="character" w:styleId="Perirtashipersaitas">
    <w:name w:val="FollowedHyperlink"/>
    <w:basedOn w:val="Numatytasispastraiposriftas"/>
    <w:uiPriority w:val="99"/>
    <w:semiHidden/>
    <w:unhideWhenUsed/>
    <w:rsid w:val="00925D56"/>
    <w:rPr>
      <w:color w:val="954F72" w:themeColor="followedHyperlink"/>
      <w:u w:val="single"/>
    </w:rPr>
  </w:style>
  <w:style w:type="paragraph" w:styleId="Puslapioinaostekstas">
    <w:name w:val="footnote text"/>
    <w:basedOn w:val="prastasis"/>
    <w:link w:val="PuslapioinaostekstasDiagrama"/>
    <w:uiPriority w:val="99"/>
    <w:semiHidden/>
    <w:unhideWhenUsed/>
    <w:rsid w:val="00061D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61D76"/>
    <w:rPr>
      <w:sz w:val="20"/>
      <w:szCs w:val="20"/>
    </w:rPr>
  </w:style>
  <w:style w:type="character" w:styleId="Puslapioinaosnuoroda">
    <w:name w:val="footnote reference"/>
    <w:basedOn w:val="Numatytasispastraiposriftas"/>
    <w:uiPriority w:val="99"/>
    <w:semiHidden/>
    <w:unhideWhenUsed/>
    <w:rsid w:val="00061D76"/>
    <w:rPr>
      <w:vertAlign w:val="superscript"/>
    </w:rPr>
  </w:style>
  <w:style w:type="paragraph" w:styleId="Komentarotema">
    <w:name w:val="annotation subject"/>
    <w:basedOn w:val="Komentarotekstas"/>
    <w:next w:val="Komentarotekstas"/>
    <w:link w:val="KomentarotemaDiagrama"/>
    <w:uiPriority w:val="99"/>
    <w:semiHidden/>
    <w:unhideWhenUsed/>
    <w:rsid w:val="00442641"/>
    <w:pPr>
      <w:suppressAutoHyphens w:val="0"/>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42641"/>
    <w:rPr>
      <w:rFonts w:ascii="Times New Roman" w:eastAsia="Times New Roman" w:hAnsi="Times New Roman" w:cs="Times New Roman"/>
      <w:b/>
      <w:bCs/>
      <w:sz w:val="20"/>
      <w:szCs w:val="20"/>
      <w:lang w:eastAsia="ar-SA"/>
    </w:rPr>
  </w:style>
  <w:style w:type="character" w:customStyle="1" w:styleId="TekstasDiagrama">
    <w:name w:val="Tekstas Diagrama"/>
    <w:link w:val="Tekstas"/>
    <w:locked/>
    <w:rsid w:val="001079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961601">
      <w:bodyDiv w:val="1"/>
      <w:marLeft w:val="0"/>
      <w:marRight w:val="0"/>
      <w:marTop w:val="0"/>
      <w:marBottom w:val="0"/>
      <w:divBdr>
        <w:top w:val="none" w:sz="0" w:space="0" w:color="auto"/>
        <w:left w:val="none" w:sz="0" w:space="0" w:color="auto"/>
        <w:bottom w:val="none" w:sz="0" w:space="0" w:color="auto"/>
        <w:right w:val="none" w:sz="0" w:space="0" w:color="auto"/>
      </w:divBdr>
    </w:div>
    <w:div w:id="141736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4660E-95BA-44C5-B381-D1DD9F5D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10</Pages>
  <Words>13878</Words>
  <Characters>7911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Adrianas Mečkovskis</dc:creator>
  <cp:keywords/>
  <dc:description/>
  <cp:lastModifiedBy>Adrianas Mečkovskis</cp:lastModifiedBy>
  <cp:revision>41</cp:revision>
  <dcterms:created xsi:type="dcterms:W3CDTF">2019-10-17T06:09:00Z</dcterms:created>
  <dcterms:modified xsi:type="dcterms:W3CDTF">2019-12-04T06:50:00Z</dcterms:modified>
</cp:coreProperties>
</file>