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6C1D9C" w:rsidRPr="00411537" w:rsidTr="0097676F">
        <w:tc>
          <w:tcPr>
            <w:tcW w:w="9639" w:type="dxa"/>
            <w:tcBorders>
              <w:top w:val="nil"/>
              <w:left w:val="nil"/>
              <w:bottom w:val="nil"/>
              <w:right w:val="nil"/>
            </w:tcBorders>
          </w:tcPr>
          <w:p w:rsidR="006C1D9C" w:rsidRPr="00411537" w:rsidRDefault="006658AC" w:rsidP="00411537">
            <w:pPr>
              <w:spacing w:line="288" w:lineRule="auto"/>
              <w:jc w:val="center"/>
              <w:rPr>
                <w:sz w:val="24"/>
                <w:szCs w:val="24"/>
              </w:rPr>
            </w:pPr>
            <w:bookmarkStart w:id="0" w:name="_GoBack"/>
            <w:bookmarkEnd w:id="0"/>
            <w:r>
              <w:rPr>
                <w:noProof/>
                <w:lang w:eastAsia="lt-LT"/>
              </w:rPr>
              <w:drawing>
                <wp:inline distT="0" distB="0" distL="0" distR="0">
                  <wp:extent cx="504825" cy="614045"/>
                  <wp:effectExtent l="0" t="0" r="9525" b="0"/>
                  <wp:docPr id="1" name="Picture 1" descr="ValstHtaikomi_ver_12"/>
                  <wp:cNvGraphicFramePr/>
                  <a:graphic xmlns:a="http://schemas.openxmlformats.org/drawingml/2006/main">
                    <a:graphicData uri="http://schemas.openxmlformats.org/drawingml/2006/picture">
                      <pic:pic xmlns:pic="http://schemas.openxmlformats.org/drawingml/2006/picture">
                        <pic:nvPicPr>
                          <pic:cNvPr id="1" name="Picture 1" descr="ValstHtaikomi_ver_1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val="0"/>
                              </a:ext>
                            </a:extLst>
                          </a:blip>
                          <a:srcRect/>
                          <a:stretch>
                            <a:fillRect/>
                          </a:stretch>
                        </pic:blipFill>
                        <pic:spPr bwMode="auto">
                          <a:xfrm>
                            <a:off x="0" y="0"/>
                            <a:ext cx="504825" cy="614045"/>
                          </a:xfrm>
                          <a:prstGeom prst="rect">
                            <a:avLst/>
                          </a:prstGeom>
                          <a:noFill/>
                          <a:ln>
                            <a:noFill/>
                          </a:ln>
                        </pic:spPr>
                      </pic:pic>
                    </a:graphicData>
                  </a:graphic>
                </wp:inline>
              </w:drawing>
            </w:r>
          </w:p>
          <w:p w:rsidR="006C1D9C" w:rsidRPr="009748F6" w:rsidRDefault="006C1D9C" w:rsidP="00411537">
            <w:pPr>
              <w:spacing w:line="288" w:lineRule="auto"/>
              <w:jc w:val="center"/>
            </w:pPr>
          </w:p>
          <w:p w:rsidR="007432B3" w:rsidRDefault="006C1D9C" w:rsidP="00411537">
            <w:pPr>
              <w:pStyle w:val="Heading1"/>
              <w:spacing w:before="0" w:line="288" w:lineRule="auto"/>
              <w:rPr>
                <w:rFonts w:ascii="Times New Roman" w:hAnsi="Times New Roman"/>
                <w:sz w:val="24"/>
                <w:szCs w:val="24"/>
              </w:rPr>
            </w:pPr>
            <w:r w:rsidRPr="00411537">
              <w:rPr>
                <w:rFonts w:ascii="Times New Roman" w:hAnsi="Times New Roman"/>
                <w:sz w:val="24"/>
                <w:szCs w:val="24"/>
              </w:rPr>
              <w:t>LIETUVOS RESP</w:t>
            </w:r>
            <w:r w:rsidR="00EB3105" w:rsidRPr="00411537">
              <w:rPr>
                <w:rFonts w:ascii="Times New Roman" w:hAnsi="Times New Roman"/>
                <w:sz w:val="24"/>
                <w:szCs w:val="24"/>
              </w:rPr>
              <w:t xml:space="preserve">UBLIKOS PREZIDENTO </w:t>
            </w:r>
          </w:p>
          <w:p w:rsidR="00EB3105" w:rsidRPr="00411537" w:rsidRDefault="007432B3" w:rsidP="00411537">
            <w:pPr>
              <w:pStyle w:val="Heading1"/>
              <w:spacing w:before="0" w:line="288" w:lineRule="auto"/>
              <w:rPr>
                <w:rFonts w:ascii="Times New Roman" w:hAnsi="Times New Roman"/>
                <w:sz w:val="24"/>
                <w:szCs w:val="24"/>
              </w:rPr>
            </w:pPr>
            <w:r>
              <w:rPr>
                <w:rFonts w:ascii="Times New Roman" w:hAnsi="Times New Roman"/>
                <w:sz w:val="24"/>
                <w:szCs w:val="24"/>
              </w:rPr>
              <w:t>KANCELIARIJA</w:t>
            </w:r>
            <w:r w:rsidR="00EB3105" w:rsidRPr="00411537">
              <w:rPr>
                <w:rFonts w:ascii="Times New Roman" w:hAnsi="Times New Roman"/>
                <w:sz w:val="24"/>
                <w:szCs w:val="24"/>
              </w:rPr>
              <w:t xml:space="preserve"> </w:t>
            </w:r>
          </w:p>
          <w:p w:rsidR="006C1D9C" w:rsidRPr="00411537" w:rsidRDefault="006C1D9C" w:rsidP="00411537">
            <w:pPr>
              <w:pStyle w:val="Heading1"/>
              <w:spacing w:before="0" w:line="288" w:lineRule="auto"/>
              <w:rPr>
                <w:rFonts w:ascii="Times New Roman" w:hAnsi="Times New Roman"/>
                <w:sz w:val="24"/>
                <w:szCs w:val="24"/>
              </w:rPr>
            </w:pPr>
          </w:p>
        </w:tc>
      </w:tr>
    </w:tbl>
    <w:p w:rsidR="006C1D9C" w:rsidRPr="00411537" w:rsidRDefault="006C1D9C" w:rsidP="00411537">
      <w:pPr>
        <w:spacing w:line="288" w:lineRule="auto"/>
        <w:jc w:val="both"/>
        <w:rPr>
          <w:sz w:val="24"/>
          <w:szCs w:val="24"/>
        </w:rPr>
      </w:pPr>
    </w:p>
    <w:p w:rsidR="00092E2F" w:rsidRDefault="00092E2F" w:rsidP="00092E2F">
      <w:pPr>
        <w:outlineLvl w:val="0"/>
        <w:rPr>
          <w:b/>
          <w:sz w:val="24"/>
          <w:szCs w:val="24"/>
        </w:rPr>
      </w:pPr>
      <w:r w:rsidRPr="00092E2F">
        <w:rPr>
          <w:b/>
          <w:sz w:val="24"/>
          <w:szCs w:val="24"/>
        </w:rPr>
        <w:t xml:space="preserve">DĖL </w:t>
      </w:r>
      <w:r>
        <w:rPr>
          <w:b/>
          <w:sz w:val="24"/>
          <w:szCs w:val="24"/>
        </w:rPr>
        <w:t>TEISĖS AKTŲ PROJEKTŲ</w:t>
      </w:r>
    </w:p>
    <w:p w:rsidR="00092E2F" w:rsidRDefault="00092E2F" w:rsidP="00092E2F">
      <w:pPr>
        <w:spacing w:line="288" w:lineRule="auto"/>
        <w:jc w:val="both"/>
        <w:rPr>
          <w:sz w:val="24"/>
          <w:szCs w:val="24"/>
        </w:rPr>
      </w:pPr>
    </w:p>
    <w:p w:rsidR="00092E2F" w:rsidRPr="00092E2F" w:rsidRDefault="00092E2F" w:rsidP="00092E2F">
      <w:pPr>
        <w:outlineLvl w:val="0"/>
        <w:rPr>
          <w:sz w:val="24"/>
          <w:szCs w:val="24"/>
        </w:rPr>
      </w:pPr>
      <w:r w:rsidRPr="00092E2F">
        <w:rPr>
          <w:sz w:val="24"/>
          <w:szCs w:val="24"/>
        </w:rPr>
        <w:t>Pateikiame nuomonę dėl siūlomo reguliavimo pakeitimo</w:t>
      </w:r>
      <w:r>
        <w:rPr>
          <w:sz w:val="24"/>
          <w:szCs w:val="24"/>
        </w:rPr>
        <w:t>.</w:t>
      </w:r>
    </w:p>
    <w:p w:rsidR="00092E2F" w:rsidRPr="00F17888" w:rsidRDefault="00092E2F" w:rsidP="00092E2F">
      <w:pPr>
        <w:outlineLvl w:val="0"/>
        <w:rPr>
          <w:b/>
          <w:sz w:val="24"/>
          <w:szCs w:val="24"/>
        </w:rPr>
      </w:pPr>
    </w:p>
    <w:p w:rsidR="00092E2F" w:rsidRPr="00E43011" w:rsidRDefault="00092E2F" w:rsidP="00092E2F">
      <w:pPr>
        <w:tabs>
          <w:tab w:val="left" w:pos="1134"/>
        </w:tabs>
        <w:jc w:val="both"/>
        <w:rPr>
          <w:b/>
          <w:sz w:val="24"/>
          <w:szCs w:val="24"/>
        </w:rPr>
      </w:pPr>
      <w:r w:rsidRPr="00E43011">
        <w:rPr>
          <w:b/>
          <w:sz w:val="24"/>
          <w:szCs w:val="24"/>
        </w:rPr>
        <w:t>1. Dėl santuokos nutraukimo bendru sutikimu, gyvenimo skyrium susitarimo</w:t>
      </w:r>
    </w:p>
    <w:p w:rsidR="00092E2F" w:rsidRDefault="00092E2F" w:rsidP="00092E2F">
      <w:pPr>
        <w:jc w:val="both"/>
        <w:outlineLvl w:val="0"/>
        <w:rPr>
          <w:sz w:val="24"/>
          <w:szCs w:val="24"/>
        </w:rPr>
      </w:pPr>
      <w:r w:rsidRPr="00F17888">
        <w:rPr>
          <w:sz w:val="24"/>
          <w:szCs w:val="24"/>
        </w:rPr>
        <w:t xml:space="preserve">Iš esmės </w:t>
      </w:r>
      <w:r>
        <w:rPr>
          <w:sz w:val="24"/>
          <w:szCs w:val="24"/>
        </w:rPr>
        <w:t>pritartina siūlymui atsisakyti teisminės tvarkos nutraukiant santuoką šalių sutarimu/gyvenimą skyriui. Manytina, kad nesant ginčo tarp šalių, taip pat nesant poreikio užtikrinti vaikų teises (notarinė tvarka taikoma tik nesant nepilnamečių vaikų), civilines pasekmes sukuriantis veiksmas gali būti atliekamas ne teismo tvarka. Tačiau siūlomas reguliavimas turi būti tikslinamas, atsižvelgiant į šiuo aspektus:</w:t>
      </w:r>
    </w:p>
    <w:p w:rsidR="00092E2F" w:rsidRPr="003A1C89" w:rsidRDefault="00092E2F" w:rsidP="00092E2F">
      <w:pPr>
        <w:pStyle w:val="ListParagraph"/>
        <w:numPr>
          <w:ilvl w:val="0"/>
          <w:numId w:val="6"/>
        </w:num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Trečiųjų asmenų – kreditorių interesų užtikrinimas. Šiuo metu sutuoktiniai privalo patiekti teismui įrodymus, kad apie santuokos nutraukimo inicijavimą yra pranešta kreditoriams. Atitinkama pareiga turėtų būti numatyta ir notariniame procese, svarstytina, ar neturėtų būti ir griežtinama/konkretinama, pvz., numatant pareigą sutuoktiniams pateikti ne tik kreditorių ir pranešimų jiems duomenis, </w:t>
      </w:r>
      <w:r w:rsidRPr="003A1C89">
        <w:rPr>
          <w:rFonts w:ascii="Times New Roman" w:hAnsi="Times New Roman" w:cs="Times New Roman"/>
          <w:sz w:val="24"/>
          <w:szCs w:val="24"/>
        </w:rPr>
        <w:t>bet ir susitarimą ar kreditoriaus raštišką patvirtinimą, kad sudaryta sutartis nepažeidžia kreditoriaus teisių;</w:t>
      </w:r>
    </w:p>
    <w:p w:rsidR="00092E2F" w:rsidRPr="003A1C89" w:rsidRDefault="00092E2F" w:rsidP="00092E2F">
      <w:pPr>
        <w:pStyle w:val="ListParagraph"/>
        <w:numPr>
          <w:ilvl w:val="0"/>
          <w:numId w:val="6"/>
        </w:numPr>
        <w:spacing w:after="0" w:line="240" w:lineRule="auto"/>
        <w:jc w:val="both"/>
        <w:outlineLvl w:val="0"/>
        <w:rPr>
          <w:rFonts w:ascii="Times New Roman" w:hAnsi="Times New Roman" w:cs="Times New Roman"/>
          <w:sz w:val="24"/>
          <w:szCs w:val="24"/>
        </w:rPr>
      </w:pPr>
      <w:r w:rsidRPr="003A1C89">
        <w:rPr>
          <w:rFonts w:ascii="Times New Roman" w:hAnsi="Times New Roman" w:cs="Times New Roman"/>
          <w:sz w:val="24"/>
          <w:szCs w:val="24"/>
        </w:rPr>
        <w:t>Dėl pilnamečių vaikų (</w:t>
      </w:r>
      <w:r w:rsidRPr="003A1C89">
        <w:rPr>
          <w:rFonts w:ascii="Times New Roman" w:eastAsia="Times New Roman" w:hAnsi="Times New Roman" w:cs="Times New Roman"/>
          <w:bCs/>
          <w:sz w:val="24"/>
          <w:szCs w:val="24"/>
        </w:rPr>
        <w:t>3.54</w:t>
      </w:r>
      <w:r w:rsidRPr="003A1C89">
        <w:rPr>
          <w:rFonts w:ascii="Times New Roman" w:eastAsia="Times New Roman" w:hAnsi="Times New Roman" w:cs="Times New Roman"/>
          <w:bCs/>
          <w:sz w:val="24"/>
          <w:szCs w:val="24"/>
          <w:vertAlign w:val="superscript"/>
        </w:rPr>
        <w:t>1</w:t>
      </w:r>
      <w:r w:rsidRPr="003A1C89">
        <w:rPr>
          <w:rFonts w:ascii="Times New Roman" w:eastAsia="Times New Roman" w:hAnsi="Times New Roman" w:cs="Times New Roman"/>
          <w:bCs/>
          <w:sz w:val="24"/>
          <w:szCs w:val="24"/>
        </w:rPr>
        <w:t xml:space="preserve">  str. 2 d.) išlaikymo. Formuluotė „prireikus ir savo pilnamečių vaikų išlaikymo“ nėra tiksli. Ši norma gali būti interpretuojama kaip apimanti CK </w:t>
      </w:r>
      <w:r w:rsidRPr="003A1C89">
        <w:rPr>
          <w:rFonts w:ascii="Times New Roman" w:hAnsi="Times New Roman" w:cs="Times New Roman"/>
          <w:bCs/>
          <w:color w:val="000000"/>
          <w:sz w:val="24"/>
          <w:szCs w:val="24"/>
        </w:rPr>
        <w:t>3.192</w:t>
      </w:r>
      <w:r w:rsidRPr="003A1C89">
        <w:rPr>
          <w:rFonts w:ascii="Times New Roman" w:hAnsi="Times New Roman" w:cs="Times New Roman"/>
          <w:bCs/>
          <w:color w:val="000000"/>
          <w:sz w:val="24"/>
          <w:szCs w:val="24"/>
          <w:vertAlign w:val="superscript"/>
        </w:rPr>
        <w:t>1 </w:t>
      </w:r>
      <w:r w:rsidRPr="003A1C89">
        <w:rPr>
          <w:rFonts w:ascii="Times New Roman" w:hAnsi="Times New Roman" w:cs="Times New Roman"/>
          <w:bCs/>
          <w:color w:val="000000"/>
          <w:sz w:val="24"/>
          <w:szCs w:val="24"/>
        </w:rPr>
        <w:t xml:space="preserve">straipsnio atvejį, tačiau santuokos nutraukimo sutartyje negali būti susitarta dėl trečiojo asmens teisių. Jei ši norma suprantama tik CK 3.194 straipsnio kontekste, sutartinis pagrindas galimas, tačiau tokiu atveju reikėtų iš naujo įvertinti, ar tuos atvejus, kai sutuoktiniai turi neįgalų pilnametį vaiką, nereikėtų prilyginti nepilnamečių vaikų turėjimui, ir palikti teisminę santuokos nutraukimo tvarką. </w:t>
      </w:r>
    </w:p>
    <w:p w:rsidR="00092E2F" w:rsidRPr="004376D7" w:rsidRDefault="00092E2F" w:rsidP="00092E2F">
      <w:pPr>
        <w:pStyle w:val="ListParagraph"/>
        <w:numPr>
          <w:ilvl w:val="0"/>
          <w:numId w:val="6"/>
        </w:numPr>
        <w:spacing w:after="0" w:line="240" w:lineRule="auto"/>
        <w:jc w:val="both"/>
        <w:outlineLvl w:val="0"/>
        <w:rPr>
          <w:rFonts w:ascii="Times New Roman" w:hAnsi="Times New Roman" w:cs="Times New Roman"/>
          <w:sz w:val="24"/>
          <w:szCs w:val="24"/>
        </w:rPr>
      </w:pPr>
      <w:r>
        <w:rPr>
          <w:rFonts w:ascii="Times New Roman" w:hAnsi="Times New Roman" w:cs="Times New Roman"/>
          <w:bCs/>
          <w:color w:val="000000"/>
          <w:sz w:val="24"/>
          <w:szCs w:val="24"/>
        </w:rPr>
        <w:t xml:space="preserve">Siūlytina aiškiai sureguliuoti tvarką, kuri kompensuotų galimybę apeliacine tvarka skųsti patvirtintą, bet neįsigaliojusią sutartį, peržiūrėti notaro patvirtintos sutarties įsigaliojimo terminą, įtvirtinti nuostatas dėl neįsigaliojusios sudarytos sutarties ginčijimo tvarką. Tai pat detalizuoti jau įsigaliojusios sutarties keitimo tvarką – ar ji keičiama vėl notarine tvarka (jei šalys sutaria), ar teismine tvarka. </w:t>
      </w:r>
    </w:p>
    <w:p w:rsidR="00092E2F" w:rsidRPr="004376D7" w:rsidRDefault="00092E2F" w:rsidP="00092E2F">
      <w:pPr>
        <w:jc w:val="both"/>
        <w:outlineLvl w:val="0"/>
        <w:rPr>
          <w:sz w:val="24"/>
          <w:szCs w:val="24"/>
        </w:rPr>
      </w:pPr>
    </w:p>
    <w:p w:rsidR="00092E2F" w:rsidRPr="00092E2F" w:rsidRDefault="00092E2F" w:rsidP="00092E2F">
      <w:pPr>
        <w:jc w:val="both"/>
        <w:outlineLvl w:val="0"/>
        <w:rPr>
          <w:b/>
          <w:sz w:val="24"/>
          <w:szCs w:val="24"/>
        </w:rPr>
      </w:pPr>
      <w:r w:rsidRPr="001A1445">
        <w:rPr>
          <w:b/>
          <w:sz w:val="24"/>
          <w:szCs w:val="24"/>
        </w:rPr>
        <w:t>2. Dėl šeimos turto perleidimo (CK 3.85 str. 2 d.)</w:t>
      </w:r>
    </w:p>
    <w:p w:rsidR="00092E2F" w:rsidRPr="001A1445" w:rsidRDefault="00092E2F" w:rsidP="00092E2F">
      <w:pPr>
        <w:jc w:val="both"/>
        <w:outlineLvl w:val="0"/>
        <w:rPr>
          <w:sz w:val="24"/>
          <w:szCs w:val="24"/>
        </w:rPr>
      </w:pPr>
      <w:r w:rsidRPr="001A1445">
        <w:rPr>
          <w:sz w:val="24"/>
          <w:szCs w:val="24"/>
        </w:rPr>
        <w:t>Nepritariame siūlymui apskritai atisakyti leidimų</w:t>
      </w:r>
      <w:r>
        <w:rPr>
          <w:sz w:val="24"/>
          <w:szCs w:val="24"/>
        </w:rPr>
        <w:t>. Gali būti s</w:t>
      </w:r>
      <w:r w:rsidRPr="001A1445">
        <w:rPr>
          <w:sz w:val="24"/>
          <w:szCs w:val="24"/>
        </w:rPr>
        <w:t>varstytinas variantas dėl tokio leidimo išdavimo ne teismo, o notarine tvarka, užtikrinant vaiko teisių institucijos dalyvavimą, pvz. pateikiant išvadą.</w:t>
      </w:r>
    </w:p>
    <w:p w:rsidR="00092E2F" w:rsidRPr="001A1445" w:rsidRDefault="00092E2F" w:rsidP="00092E2F">
      <w:pPr>
        <w:jc w:val="both"/>
        <w:outlineLvl w:val="0"/>
      </w:pPr>
    </w:p>
    <w:p w:rsidR="00092E2F" w:rsidRPr="00092E2F" w:rsidRDefault="00092E2F" w:rsidP="00092E2F">
      <w:pPr>
        <w:pStyle w:val="Header"/>
        <w:jc w:val="both"/>
        <w:rPr>
          <w:b/>
          <w:sz w:val="24"/>
          <w:szCs w:val="24"/>
        </w:rPr>
      </w:pPr>
      <w:r w:rsidRPr="001A1445">
        <w:rPr>
          <w:b/>
          <w:sz w:val="24"/>
          <w:szCs w:val="24"/>
        </w:rPr>
        <w:t xml:space="preserve">3. </w:t>
      </w:r>
      <w:bookmarkStart w:id="1" w:name="_Hlk37175303"/>
      <w:r w:rsidRPr="001A1445">
        <w:rPr>
          <w:b/>
          <w:sz w:val="24"/>
          <w:szCs w:val="24"/>
        </w:rPr>
        <w:t xml:space="preserve">Dėl 3.140 straipsnio pakeitimo ir 3.144 straipsnio pakeitimo. </w:t>
      </w:r>
      <w:bookmarkEnd w:id="1"/>
    </w:p>
    <w:p w:rsidR="00092E2F" w:rsidRPr="004376D7" w:rsidRDefault="00092E2F" w:rsidP="00092E2F">
      <w:pPr>
        <w:jc w:val="both"/>
        <w:outlineLvl w:val="0"/>
        <w:rPr>
          <w:sz w:val="24"/>
          <w:szCs w:val="24"/>
        </w:rPr>
      </w:pPr>
      <w:r w:rsidRPr="00263DE0">
        <w:rPr>
          <w:sz w:val="24"/>
          <w:szCs w:val="24"/>
        </w:rPr>
        <w:t>Pritari</w:t>
      </w:r>
      <w:r>
        <w:rPr>
          <w:sz w:val="24"/>
          <w:szCs w:val="24"/>
        </w:rPr>
        <w:t>ame</w:t>
      </w:r>
      <w:r w:rsidRPr="00263DE0">
        <w:rPr>
          <w:sz w:val="24"/>
          <w:szCs w:val="24"/>
        </w:rPr>
        <w:t xml:space="preserve"> Lietuvos </w:t>
      </w:r>
      <w:r>
        <w:rPr>
          <w:sz w:val="24"/>
          <w:szCs w:val="24"/>
        </w:rPr>
        <w:t>Aukščiausiojo Teismo</w:t>
      </w:r>
      <w:r w:rsidRPr="00263DE0">
        <w:rPr>
          <w:sz w:val="24"/>
          <w:szCs w:val="24"/>
        </w:rPr>
        <w:t xml:space="preserve"> nuomonė</w:t>
      </w:r>
      <w:r>
        <w:rPr>
          <w:sz w:val="24"/>
          <w:szCs w:val="24"/>
        </w:rPr>
        <w:t xml:space="preserve">je išsakytai pozicijai. </w:t>
      </w:r>
    </w:p>
    <w:p w:rsidR="00092E2F" w:rsidRDefault="00092E2F" w:rsidP="00092E2F">
      <w:pPr>
        <w:rPr>
          <w:b/>
          <w:sz w:val="24"/>
          <w:szCs w:val="24"/>
        </w:rPr>
      </w:pPr>
    </w:p>
    <w:p w:rsidR="006C1D9C" w:rsidRPr="00092E2F" w:rsidRDefault="00092E2F" w:rsidP="00092E2F">
      <w:pPr>
        <w:spacing w:line="288" w:lineRule="auto"/>
        <w:jc w:val="both"/>
        <w:rPr>
          <w:sz w:val="24"/>
          <w:szCs w:val="24"/>
        </w:rPr>
      </w:pPr>
      <w:r w:rsidRPr="00092E2F">
        <w:rPr>
          <w:sz w:val="24"/>
          <w:szCs w:val="24"/>
        </w:rPr>
        <w:t>Lietuvos Respublikos Prezidento patarėja</w:t>
      </w:r>
      <w:r w:rsidRPr="00092E2F">
        <w:rPr>
          <w:sz w:val="24"/>
          <w:szCs w:val="24"/>
        </w:rPr>
        <w:tab/>
      </w:r>
      <w:r w:rsidRPr="00092E2F">
        <w:rPr>
          <w:sz w:val="24"/>
          <w:szCs w:val="24"/>
        </w:rPr>
        <w:tab/>
      </w:r>
      <w:r w:rsidRPr="00092E2F">
        <w:rPr>
          <w:sz w:val="24"/>
          <w:szCs w:val="24"/>
        </w:rPr>
        <w:tab/>
      </w:r>
      <w:r w:rsidRPr="00092E2F">
        <w:rPr>
          <w:sz w:val="24"/>
          <w:szCs w:val="24"/>
        </w:rPr>
        <w:tab/>
        <w:t>Vida Petrylaitė</w:t>
      </w:r>
    </w:p>
    <w:p w:rsidR="006C1D9C" w:rsidRPr="00411537" w:rsidRDefault="006C1D9C" w:rsidP="00092E2F">
      <w:pPr>
        <w:spacing w:line="288" w:lineRule="auto"/>
        <w:jc w:val="both"/>
        <w:rPr>
          <w:sz w:val="24"/>
          <w:szCs w:val="24"/>
        </w:rPr>
      </w:pPr>
    </w:p>
    <w:p w:rsidR="006C1D9C" w:rsidRPr="00411537" w:rsidRDefault="006C1D9C" w:rsidP="00080752">
      <w:pPr>
        <w:spacing w:line="288" w:lineRule="auto"/>
        <w:ind w:firstLine="851"/>
        <w:jc w:val="both"/>
        <w:rPr>
          <w:sz w:val="24"/>
          <w:szCs w:val="24"/>
        </w:rPr>
      </w:pPr>
    </w:p>
    <w:tbl>
      <w:tblPr>
        <w:tblW w:w="0" w:type="auto"/>
        <w:tblLook w:val="04A0"/>
      </w:tblPr>
      <w:tblGrid>
        <w:gridCol w:w="2981"/>
        <w:gridCol w:w="3331"/>
      </w:tblGrid>
      <w:tr w:rsidR="00CB35AA" w:rsidRPr="00E664C8" w:rsidTr="00B83A79">
        <w:tc>
          <w:tcPr>
            <w:tcW w:w="2981" w:type="dxa"/>
          </w:tcPr>
          <w:p w:rsidR="00CB35AA" w:rsidRDefault="00CB35AA" w:rsidP="00E664C8">
            <w:pPr>
              <w:keepNext/>
              <w:spacing w:line="288" w:lineRule="auto"/>
              <w:jc w:val="right"/>
              <w:outlineLvl w:val="3"/>
              <w:rPr>
                <w:bCs/>
                <w:iCs/>
                <w:sz w:val="24"/>
                <w:szCs w:val="24"/>
              </w:rPr>
            </w:pPr>
          </w:p>
        </w:tc>
        <w:tc>
          <w:tcPr>
            <w:tcW w:w="3331" w:type="dxa"/>
            <w:shd w:val="clear" w:color="auto" w:fill="auto"/>
          </w:tcPr>
          <w:p w:rsidR="00CB35AA" w:rsidRPr="00E664C8" w:rsidRDefault="00CB35AA" w:rsidP="00E664C8">
            <w:pPr>
              <w:keepNext/>
              <w:spacing w:line="288" w:lineRule="auto"/>
              <w:jc w:val="right"/>
              <w:outlineLvl w:val="3"/>
              <w:rPr>
                <w:bCs/>
                <w:iCs/>
                <w:sz w:val="24"/>
                <w:szCs w:val="24"/>
              </w:rPr>
            </w:pPr>
          </w:p>
        </w:tc>
      </w:tr>
    </w:tbl>
    <w:p w:rsidR="0002730A" w:rsidRPr="00411537" w:rsidRDefault="0002730A" w:rsidP="002E4C99">
      <w:pPr>
        <w:spacing w:line="288" w:lineRule="auto"/>
        <w:jc w:val="both"/>
        <w:rPr>
          <w:sz w:val="24"/>
          <w:szCs w:val="24"/>
        </w:rPr>
      </w:pPr>
    </w:p>
    <w:sectPr w:rsidR="0002730A" w:rsidRPr="00411537" w:rsidSect="00C43C49">
      <w:headerReference w:type="even" r:id="rId8"/>
      <w:headerReference w:type="default" r:id="rId9"/>
      <w:footerReference w:type="even" r:id="rId10"/>
      <w:footerReference w:type="default" r:id="rId11"/>
      <w:headerReference w:type="first" r:id="rId12"/>
      <w:footerReference w:type="first" r:id="rId13"/>
      <w:pgSz w:w="11907" w:h="16834" w:code="9"/>
      <w:pgMar w:top="1134" w:right="567" w:bottom="1134" w:left="1701" w:header="0" w:footer="219" w:gutter="0"/>
      <w:cols w:space="1296"/>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2FB" w:rsidRDefault="000942FB">
      <w:r>
        <w:separator/>
      </w:r>
    </w:p>
  </w:endnote>
  <w:endnote w:type="continuationSeparator" w:id="0">
    <w:p w:rsidR="000942FB" w:rsidRDefault="00094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47D" w:rsidRDefault="004954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47D" w:rsidRDefault="004954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284"/>
      <w:gridCol w:w="3284"/>
      <w:gridCol w:w="3284"/>
    </w:tblGrid>
    <w:tr w:rsidR="00EC206B" w:rsidTr="00C029A1">
      <w:tc>
        <w:tcPr>
          <w:tcW w:w="3284" w:type="dxa"/>
        </w:tcPr>
        <w:p w:rsidR="00EC206B" w:rsidRDefault="00EC206B" w:rsidP="00C029A1">
          <w:pPr>
            <w:pStyle w:val="Footer"/>
            <w:rPr>
              <w:sz w:val="16"/>
            </w:rPr>
          </w:pPr>
          <w:r>
            <w:rPr>
              <w:sz w:val="16"/>
            </w:rPr>
            <w:br/>
          </w:r>
          <w:r w:rsidR="00C438EA">
            <w:rPr>
              <w:sz w:val="16"/>
            </w:rPr>
            <w:t>B</w:t>
          </w:r>
          <w:r>
            <w:rPr>
              <w:sz w:val="16"/>
            </w:rPr>
            <w:t>iudžetinė įstaiga</w:t>
          </w:r>
        </w:p>
        <w:p w:rsidR="00EC206B" w:rsidRDefault="0049547D" w:rsidP="00C029A1">
          <w:pPr>
            <w:pStyle w:val="Footer"/>
            <w:rPr>
              <w:sz w:val="16"/>
            </w:rPr>
          </w:pPr>
          <w:r>
            <w:rPr>
              <w:sz w:val="16"/>
            </w:rPr>
            <w:t xml:space="preserve">S. Daukanto a. 3, </w:t>
          </w:r>
          <w:r w:rsidR="00EC206B" w:rsidRPr="003A3822">
            <w:rPr>
              <w:sz w:val="16"/>
            </w:rPr>
            <w:t>01122</w:t>
          </w:r>
          <w:r w:rsidR="00EC206B">
            <w:rPr>
              <w:sz w:val="16"/>
            </w:rPr>
            <w:t xml:space="preserve"> Vilnius</w:t>
          </w:r>
        </w:p>
      </w:tc>
      <w:tc>
        <w:tcPr>
          <w:tcW w:w="3284" w:type="dxa"/>
        </w:tcPr>
        <w:p w:rsidR="00EC206B" w:rsidRDefault="00EC206B" w:rsidP="00C029A1">
          <w:pPr>
            <w:pStyle w:val="Footer"/>
            <w:jc w:val="center"/>
            <w:rPr>
              <w:sz w:val="16"/>
            </w:rPr>
          </w:pPr>
        </w:p>
        <w:p w:rsidR="00EC206B" w:rsidRDefault="005E4C56" w:rsidP="00C029A1">
          <w:pPr>
            <w:pStyle w:val="Footer"/>
            <w:rPr>
              <w:sz w:val="16"/>
            </w:rPr>
          </w:pPr>
          <w:r>
            <w:rPr>
              <w:sz w:val="16"/>
            </w:rPr>
            <w:t xml:space="preserve">Tel. 8 706 </w:t>
          </w:r>
          <w:r w:rsidR="00D77158">
            <w:rPr>
              <w:sz w:val="16"/>
            </w:rPr>
            <w:t xml:space="preserve"> </w:t>
          </w:r>
          <w:r>
            <w:rPr>
              <w:sz w:val="16"/>
            </w:rPr>
            <w:t>64 154</w:t>
          </w:r>
        </w:p>
        <w:p w:rsidR="00EC206B" w:rsidRDefault="005E4C56" w:rsidP="00C029A1">
          <w:pPr>
            <w:pStyle w:val="Footer"/>
            <w:rPr>
              <w:sz w:val="16"/>
            </w:rPr>
          </w:pPr>
          <w:r>
            <w:rPr>
              <w:sz w:val="16"/>
            </w:rPr>
            <w:t>Faks. 8 706</w:t>
          </w:r>
          <w:r w:rsidR="00321AD0">
            <w:rPr>
              <w:sz w:val="16"/>
            </w:rPr>
            <w:t xml:space="preserve">  </w:t>
          </w:r>
          <w:r>
            <w:rPr>
              <w:sz w:val="16"/>
            </w:rPr>
            <w:t xml:space="preserve">64 </w:t>
          </w:r>
          <w:r w:rsidR="00EC206B">
            <w:rPr>
              <w:sz w:val="16"/>
            </w:rPr>
            <w:t>145</w:t>
          </w:r>
        </w:p>
        <w:p w:rsidR="00EC206B" w:rsidRPr="004526B1" w:rsidRDefault="00C04264" w:rsidP="00C029A1">
          <w:pPr>
            <w:pStyle w:val="Footer"/>
            <w:rPr>
              <w:color w:val="FF0000"/>
              <w:sz w:val="16"/>
            </w:rPr>
          </w:pPr>
          <w:r>
            <w:rPr>
              <w:sz w:val="16"/>
            </w:rPr>
            <w:t>Svetainės</w:t>
          </w:r>
          <w:r w:rsidR="00CB58A0">
            <w:rPr>
              <w:sz w:val="16"/>
            </w:rPr>
            <w:t xml:space="preserve"> adresas</w:t>
          </w:r>
          <w:r w:rsidR="00AD55EE">
            <w:rPr>
              <w:sz w:val="16"/>
            </w:rPr>
            <w:t>: http://www.prezidentas.lt</w:t>
          </w:r>
        </w:p>
      </w:tc>
      <w:tc>
        <w:tcPr>
          <w:tcW w:w="3284" w:type="dxa"/>
        </w:tcPr>
        <w:p w:rsidR="00EC206B" w:rsidRDefault="00EC206B" w:rsidP="00C029A1">
          <w:pPr>
            <w:pStyle w:val="Footer"/>
            <w:jc w:val="center"/>
            <w:rPr>
              <w:sz w:val="16"/>
            </w:rPr>
          </w:pPr>
        </w:p>
        <w:p w:rsidR="00EC206B" w:rsidRDefault="00EC206B" w:rsidP="00C029A1">
          <w:pPr>
            <w:pStyle w:val="Footer"/>
            <w:rPr>
              <w:sz w:val="16"/>
            </w:rPr>
          </w:pPr>
          <w:r>
            <w:rPr>
              <w:sz w:val="16"/>
            </w:rPr>
            <w:t>Duomenys kaupiami ir saugomi</w:t>
          </w:r>
        </w:p>
        <w:p w:rsidR="00EC206B" w:rsidRDefault="00EC206B" w:rsidP="00C029A1">
          <w:pPr>
            <w:pStyle w:val="Footer"/>
            <w:rPr>
              <w:sz w:val="16"/>
            </w:rPr>
          </w:pPr>
          <w:r>
            <w:rPr>
              <w:sz w:val="16"/>
            </w:rPr>
            <w:t>Juridinių asmenų registre</w:t>
          </w:r>
        </w:p>
        <w:p w:rsidR="00EC206B" w:rsidRDefault="00EC206B" w:rsidP="00C029A1">
          <w:pPr>
            <w:pStyle w:val="Footer"/>
            <w:rPr>
              <w:sz w:val="16"/>
            </w:rPr>
          </w:pPr>
          <w:r>
            <w:rPr>
              <w:sz w:val="16"/>
            </w:rPr>
            <w:t>Kodas 188609016</w:t>
          </w:r>
        </w:p>
      </w:tc>
    </w:tr>
  </w:tbl>
  <w:p w:rsidR="00310412" w:rsidRDefault="00310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2FB" w:rsidRDefault="000942FB">
      <w:r>
        <w:separator/>
      </w:r>
    </w:p>
  </w:footnote>
  <w:footnote w:type="continuationSeparator" w:id="0">
    <w:p w:rsidR="000942FB" w:rsidRDefault="00094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47D" w:rsidRDefault="004954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972270"/>
      <w:docPartObj>
        <w:docPartGallery w:val="Page Numbers (Top of Page)"/>
        <w:docPartUnique/>
      </w:docPartObj>
    </w:sdtPr>
    <w:sdtEndPr>
      <w:rPr>
        <w:noProof/>
        <w:sz w:val="24"/>
        <w:szCs w:val="24"/>
      </w:rPr>
    </w:sdtEndPr>
    <w:sdtContent>
      <w:p w:rsidR="001E0566" w:rsidRDefault="001E0566">
        <w:pPr>
          <w:pStyle w:val="Header"/>
          <w:jc w:val="center"/>
        </w:pPr>
      </w:p>
      <w:p w:rsidR="001E0566" w:rsidRDefault="001E0566">
        <w:pPr>
          <w:pStyle w:val="Header"/>
          <w:jc w:val="center"/>
        </w:pPr>
      </w:p>
      <w:p w:rsidR="001E0566" w:rsidRPr="001E0566" w:rsidRDefault="00AF134C">
        <w:pPr>
          <w:pStyle w:val="Header"/>
          <w:jc w:val="center"/>
          <w:rPr>
            <w:sz w:val="24"/>
            <w:szCs w:val="24"/>
          </w:rPr>
        </w:pPr>
        <w:r w:rsidRPr="001E0566">
          <w:rPr>
            <w:sz w:val="24"/>
            <w:szCs w:val="24"/>
          </w:rPr>
          <w:fldChar w:fldCharType="begin"/>
        </w:r>
        <w:r w:rsidR="001E0566" w:rsidRPr="001E0566">
          <w:rPr>
            <w:sz w:val="24"/>
            <w:szCs w:val="24"/>
          </w:rPr>
          <w:instrText xml:space="preserve"> PAGE   \* MERGEFORMAT </w:instrText>
        </w:r>
        <w:r w:rsidRPr="001E0566">
          <w:rPr>
            <w:sz w:val="24"/>
            <w:szCs w:val="24"/>
          </w:rPr>
          <w:fldChar w:fldCharType="separate"/>
        </w:r>
        <w:r w:rsidR="00092E2F">
          <w:rPr>
            <w:noProof/>
            <w:sz w:val="24"/>
            <w:szCs w:val="24"/>
          </w:rPr>
          <w:t>2</w:t>
        </w:r>
        <w:r w:rsidRPr="001E0566">
          <w:rPr>
            <w:noProof/>
            <w:sz w:val="24"/>
            <w:szCs w:val="24"/>
          </w:rPr>
          <w:fldChar w:fldCharType="end"/>
        </w:r>
      </w:p>
    </w:sdtContent>
  </w:sdt>
  <w:p w:rsidR="001E0566" w:rsidRDefault="001E05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26F" w:rsidRDefault="0098626F" w:rsidP="0098626F">
    <w:pPr>
      <w:pStyle w:val="Header"/>
      <w:jc w:val="both"/>
      <w:rPr>
        <w:sz w:val="24"/>
        <w:szCs w:val="24"/>
      </w:rPr>
    </w:pPr>
  </w:p>
  <w:p w:rsidR="0098626F" w:rsidRDefault="0098626F" w:rsidP="0098626F">
    <w:pPr>
      <w:pStyle w:val="Header"/>
      <w:jc w:val="both"/>
      <w:rPr>
        <w:sz w:val="24"/>
        <w:szCs w:val="24"/>
      </w:rPr>
    </w:pPr>
  </w:p>
  <w:p w:rsidR="0098626F" w:rsidRDefault="0098626F" w:rsidP="0098626F">
    <w:pPr>
      <w:pStyle w:val="Header"/>
      <w:jc w:val="both"/>
      <w:rPr>
        <w:sz w:val="24"/>
        <w:szCs w:val="24"/>
      </w:rPr>
    </w:pPr>
  </w:p>
  <w:p w:rsidR="003A094B" w:rsidRPr="00A54015" w:rsidRDefault="003A094B" w:rsidP="00A54015">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91E72"/>
    <w:multiLevelType w:val="multilevel"/>
    <w:tmpl w:val="414EDFEE"/>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320"/>
        </w:tabs>
        <w:ind w:left="7320" w:hanging="1080"/>
      </w:pPr>
      <w:rPr>
        <w:rFonts w:hint="default"/>
      </w:rPr>
    </w:lvl>
    <w:lvl w:ilvl="2">
      <w:start w:val="1"/>
      <w:numFmt w:val="decimal"/>
      <w:lvlText w:val="%1-%2-%3."/>
      <w:lvlJc w:val="left"/>
      <w:pPr>
        <w:tabs>
          <w:tab w:val="num" w:pos="13560"/>
        </w:tabs>
        <w:ind w:left="13560" w:hanging="1080"/>
      </w:pPr>
      <w:rPr>
        <w:rFonts w:hint="default"/>
      </w:rPr>
    </w:lvl>
    <w:lvl w:ilvl="3">
      <w:start w:val="1"/>
      <w:numFmt w:val="decimal"/>
      <w:lvlText w:val="%1-%2-%3.%4."/>
      <w:lvlJc w:val="left"/>
      <w:pPr>
        <w:tabs>
          <w:tab w:val="num" w:pos="19800"/>
        </w:tabs>
        <w:ind w:left="19800" w:hanging="1080"/>
      </w:pPr>
      <w:rPr>
        <w:rFonts w:hint="default"/>
      </w:rPr>
    </w:lvl>
    <w:lvl w:ilvl="4">
      <w:start w:val="1"/>
      <w:numFmt w:val="decimal"/>
      <w:lvlText w:val="%1-%2-%3.%4.%5."/>
      <w:lvlJc w:val="left"/>
      <w:pPr>
        <w:tabs>
          <w:tab w:val="num" w:pos="26040"/>
        </w:tabs>
        <w:ind w:left="26040" w:hanging="1080"/>
      </w:pPr>
      <w:rPr>
        <w:rFonts w:hint="default"/>
      </w:rPr>
    </w:lvl>
    <w:lvl w:ilvl="5">
      <w:start w:val="1"/>
      <w:numFmt w:val="decimal"/>
      <w:lvlText w:val="%1-%2-%3.%4.%5.%6."/>
      <w:lvlJc w:val="left"/>
      <w:pPr>
        <w:tabs>
          <w:tab w:val="num" w:pos="31680"/>
        </w:tabs>
        <w:ind w:left="32640" w:hanging="14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056"/>
        </w:tabs>
        <w:ind w:left="-20056" w:hanging="1800"/>
      </w:pPr>
      <w:rPr>
        <w:rFonts w:hint="default"/>
      </w:rPr>
    </w:lvl>
    <w:lvl w:ilvl="8">
      <w:start w:val="1"/>
      <w:numFmt w:val="decimal"/>
      <w:lvlText w:val="%1-%2-%3.%4.%5.%6.%7.%8.%9."/>
      <w:lvlJc w:val="left"/>
      <w:pPr>
        <w:tabs>
          <w:tab w:val="num" w:pos="-13816"/>
        </w:tabs>
        <w:ind w:left="-13816" w:hanging="1800"/>
      </w:pPr>
      <w:rPr>
        <w:rFonts w:hint="default"/>
      </w:rPr>
    </w:lvl>
  </w:abstractNum>
  <w:abstractNum w:abstractNumId="1">
    <w:nsid w:val="4537130A"/>
    <w:multiLevelType w:val="multilevel"/>
    <w:tmpl w:val="12247452"/>
    <w:lvl w:ilvl="0">
      <w:start w:val="2009"/>
      <w:numFmt w:val="decimal"/>
      <w:lvlText w:val="%1"/>
      <w:lvlJc w:val="left"/>
      <w:pPr>
        <w:tabs>
          <w:tab w:val="num" w:pos="1140"/>
        </w:tabs>
        <w:ind w:left="1140" w:hanging="1140"/>
      </w:pPr>
      <w:rPr>
        <w:rFonts w:hint="default"/>
      </w:rPr>
    </w:lvl>
    <w:lvl w:ilvl="1">
      <w:start w:val="4"/>
      <w:numFmt w:val="decimalZero"/>
      <w:lvlText w:val="%1-%2"/>
      <w:lvlJc w:val="left"/>
      <w:pPr>
        <w:tabs>
          <w:tab w:val="num" w:pos="4132"/>
        </w:tabs>
        <w:ind w:left="4132" w:hanging="1140"/>
      </w:pPr>
      <w:rPr>
        <w:rFonts w:hint="default"/>
      </w:rPr>
    </w:lvl>
    <w:lvl w:ilvl="2">
      <w:start w:val="12"/>
      <w:numFmt w:val="decimal"/>
      <w:lvlText w:val="%1-%2-%3"/>
      <w:lvlJc w:val="left"/>
      <w:pPr>
        <w:tabs>
          <w:tab w:val="num" w:pos="7124"/>
        </w:tabs>
        <w:ind w:left="7124" w:hanging="1140"/>
      </w:pPr>
      <w:rPr>
        <w:rFonts w:hint="default"/>
      </w:rPr>
    </w:lvl>
    <w:lvl w:ilvl="3">
      <w:start w:val="1"/>
      <w:numFmt w:val="decimal"/>
      <w:lvlText w:val="%1-%2-%3.%4"/>
      <w:lvlJc w:val="left"/>
      <w:pPr>
        <w:tabs>
          <w:tab w:val="num" w:pos="10116"/>
        </w:tabs>
        <w:ind w:left="10116" w:hanging="1140"/>
      </w:pPr>
      <w:rPr>
        <w:rFonts w:hint="default"/>
      </w:rPr>
    </w:lvl>
    <w:lvl w:ilvl="4">
      <w:start w:val="1"/>
      <w:numFmt w:val="decimal"/>
      <w:lvlText w:val="%1-%2-%3.%4.%5"/>
      <w:lvlJc w:val="left"/>
      <w:pPr>
        <w:tabs>
          <w:tab w:val="num" w:pos="13108"/>
        </w:tabs>
        <w:ind w:left="13108" w:hanging="1140"/>
      </w:pPr>
      <w:rPr>
        <w:rFonts w:hint="default"/>
      </w:rPr>
    </w:lvl>
    <w:lvl w:ilvl="5">
      <w:start w:val="1"/>
      <w:numFmt w:val="decimal"/>
      <w:lvlText w:val="%1-%2-%3.%4.%5.%6"/>
      <w:lvlJc w:val="left"/>
      <w:pPr>
        <w:tabs>
          <w:tab w:val="num" w:pos="16100"/>
        </w:tabs>
        <w:ind w:left="16100" w:hanging="1140"/>
      </w:pPr>
      <w:rPr>
        <w:rFonts w:hint="default"/>
      </w:rPr>
    </w:lvl>
    <w:lvl w:ilvl="6">
      <w:start w:val="1"/>
      <w:numFmt w:val="decimal"/>
      <w:lvlText w:val="%1-%2-%3.%4.%5.%6.%7"/>
      <w:lvlJc w:val="left"/>
      <w:pPr>
        <w:tabs>
          <w:tab w:val="num" w:pos="19392"/>
        </w:tabs>
        <w:ind w:left="19392" w:hanging="1440"/>
      </w:pPr>
      <w:rPr>
        <w:rFonts w:hint="default"/>
      </w:rPr>
    </w:lvl>
    <w:lvl w:ilvl="7">
      <w:start w:val="1"/>
      <w:numFmt w:val="decimal"/>
      <w:lvlText w:val="%1-%2-%3.%4.%5.%6.%7.%8"/>
      <w:lvlJc w:val="left"/>
      <w:pPr>
        <w:tabs>
          <w:tab w:val="num" w:pos="22384"/>
        </w:tabs>
        <w:ind w:left="22384" w:hanging="1440"/>
      </w:pPr>
      <w:rPr>
        <w:rFonts w:hint="default"/>
      </w:rPr>
    </w:lvl>
    <w:lvl w:ilvl="8">
      <w:start w:val="1"/>
      <w:numFmt w:val="decimal"/>
      <w:lvlText w:val="%1-%2-%3.%4.%5.%6.%7.%8.%9"/>
      <w:lvlJc w:val="left"/>
      <w:pPr>
        <w:tabs>
          <w:tab w:val="num" w:pos="25736"/>
        </w:tabs>
        <w:ind w:left="25736" w:hanging="1800"/>
      </w:pPr>
      <w:rPr>
        <w:rFonts w:hint="default"/>
      </w:rPr>
    </w:lvl>
  </w:abstractNum>
  <w:abstractNum w:abstractNumId="2">
    <w:nsid w:val="57A17894"/>
    <w:multiLevelType w:val="hybridMultilevel"/>
    <w:tmpl w:val="FA16CB66"/>
    <w:lvl w:ilvl="0" w:tplc="4114277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F25A5D"/>
    <w:multiLevelType w:val="multilevel"/>
    <w:tmpl w:val="BF9E930A"/>
    <w:lvl w:ilvl="0">
      <w:start w:val="2009"/>
      <w:numFmt w:val="decimal"/>
      <w:lvlText w:val="%1-"/>
      <w:lvlJc w:val="left"/>
      <w:pPr>
        <w:tabs>
          <w:tab w:val="num" w:pos="705"/>
        </w:tabs>
        <w:ind w:left="705" w:hanging="705"/>
      </w:pPr>
      <w:rPr>
        <w:rFonts w:hint="default"/>
      </w:rPr>
    </w:lvl>
    <w:lvl w:ilvl="1">
      <w:start w:val="4"/>
      <w:numFmt w:val="decimalZero"/>
      <w:lvlText w:val="%1-%2-"/>
      <w:lvlJc w:val="left"/>
      <w:pPr>
        <w:tabs>
          <w:tab w:val="num" w:pos="6705"/>
        </w:tabs>
        <w:ind w:left="6705" w:hanging="720"/>
      </w:pPr>
      <w:rPr>
        <w:rFonts w:hint="default"/>
      </w:rPr>
    </w:lvl>
    <w:lvl w:ilvl="2">
      <w:start w:val="1"/>
      <w:numFmt w:val="decimal"/>
      <w:lvlText w:val="%1-%2-%3."/>
      <w:lvlJc w:val="left"/>
      <w:pPr>
        <w:tabs>
          <w:tab w:val="num" w:pos="12690"/>
        </w:tabs>
        <w:ind w:left="12690" w:hanging="720"/>
      </w:pPr>
      <w:rPr>
        <w:rFonts w:hint="default"/>
      </w:rPr>
    </w:lvl>
    <w:lvl w:ilvl="3">
      <w:start w:val="1"/>
      <w:numFmt w:val="decimal"/>
      <w:lvlText w:val="%1-%2-%3.%4."/>
      <w:lvlJc w:val="left"/>
      <w:pPr>
        <w:tabs>
          <w:tab w:val="num" w:pos="19035"/>
        </w:tabs>
        <w:ind w:left="19035" w:hanging="1080"/>
      </w:pPr>
      <w:rPr>
        <w:rFonts w:hint="default"/>
      </w:rPr>
    </w:lvl>
    <w:lvl w:ilvl="4">
      <w:start w:val="1"/>
      <w:numFmt w:val="decimal"/>
      <w:lvlText w:val="%1-%2-%3.%4.%5."/>
      <w:lvlJc w:val="left"/>
      <w:pPr>
        <w:tabs>
          <w:tab w:val="num" w:pos="25020"/>
        </w:tabs>
        <w:ind w:left="25020" w:hanging="1080"/>
      </w:pPr>
      <w:rPr>
        <w:rFonts w:hint="default"/>
      </w:rPr>
    </w:lvl>
    <w:lvl w:ilvl="5">
      <w:start w:val="1"/>
      <w:numFmt w:val="decimal"/>
      <w:lvlText w:val="%1-%2-%3.%4.%5.%6."/>
      <w:lvlJc w:val="left"/>
      <w:pPr>
        <w:tabs>
          <w:tab w:val="num" w:pos="31365"/>
        </w:tabs>
        <w:ind w:left="31365" w:hanging="1440"/>
      </w:pPr>
      <w:rPr>
        <w:rFonts w:hint="default"/>
      </w:rPr>
    </w:lvl>
    <w:lvl w:ilvl="6">
      <w:start w:val="1"/>
      <w:numFmt w:val="decimal"/>
      <w:lvlText w:val="%1-%2-%3.%4.%5.%6.%7."/>
      <w:lvlJc w:val="left"/>
      <w:pPr>
        <w:tabs>
          <w:tab w:val="num" w:pos="-28186"/>
        </w:tabs>
        <w:ind w:left="-28186" w:hanging="1440"/>
      </w:pPr>
      <w:rPr>
        <w:rFonts w:hint="default"/>
      </w:rPr>
    </w:lvl>
    <w:lvl w:ilvl="7">
      <w:start w:val="1"/>
      <w:numFmt w:val="decimal"/>
      <w:lvlText w:val="%1-%2-%3.%4.%5.%6.%7.%8."/>
      <w:lvlJc w:val="left"/>
      <w:pPr>
        <w:tabs>
          <w:tab w:val="num" w:pos="-21841"/>
        </w:tabs>
        <w:ind w:left="-21841" w:hanging="1800"/>
      </w:pPr>
      <w:rPr>
        <w:rFonts w:hint="default"/>
      </w:rPr>
    </w:lvl>
    <w:lvl w:ilvl="8">
      <w:start w:val="1"/>
      <w:numFmt w:val="decimal"/>
      <w:lvlText w:val="%1-%2-%3.%4.%5.%6.%7.%8.%9."/>
      <w:lvlJc w:val="left"/>
      <w:pPr>
        <w:tabs>
          <w:tab w:val="num" w:pos="-15856"/>
        </w:tabs>
        <w:ind w:left="-15856" w:hanging="1800"/>
      </w:pPr>
      <w:rPr>
        <w:rFonts w:hint="default"/>
      </w:rPr>
    </w:lvl>
  </w:abstractNum>
  <w:abstractNum w:abstractNumId="4">
    <w:nsid w:val="6FF563AD"/>
    <w:multiLevelType w:val="multilevel"/>
    <w:tmpl w:val="697C20D2"/>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440"/>
        </w:tabs>
        <w:ind w:left="7440" w:hanging="1080"/>
      </w:pPr>
      <w:rPr>
        <w:rFonts w:hint="default"/>
      </w:rPr>
    </w:lvl>
    <w:lvl w:ilvl="2">
      <w:start w:val="1"/>
      <w:numFmt w:val="decimalZero"/>
      <w:lvlText w:val="%1-%2-%3."/>
      <w:lvlJc w:val="left"/>
      <w:pPr>
        <w:tabs>
          <w:tab w:val="num" w:pos="13800"/>
        </w:tabs>
        <w:ind w:left="13800" w:hanging="1080"/>
      </w:pPr>
      <w:rPr>
        <w:rFonts w:hint="default"/>
      </w:rPr>
    </w:lvl>
    <w:lvl w:ilvl="3">
      <w:start w:val="1"/>
      <w:numFmt w:val="decimal"/>
      <w:lvlText w:val="%1-%2-%3.%4."/>
      <w:lvlJc w:val="left"/>
      <w:pPr>
        <w:tabs>
          <w:tab w:val="num" w:pos="20160"/>
        </w:tabs>
        <w:ind w:left="20160" w:hanging="1080"/>
      </w:pPr>
      <w:rPr>
        <w:rFonts w:hint="default"/>
      </w:rPr>
    </w:lvl>
    <w:lvl w:ilvl="4">
      <w:start w:val="1"/>
      <w:numFmt w:val="decimal"/>
      <w:lvlText w:val="%1-%2-%3.%4.%5."/>
      <w:lvlJc w:val="left"/>
      <w:pPr>
        <w:tabs>
          <w:tab w:val="num" w:pos="26520"/>
        </w:tabs>
        <w:ind w:left="26520" w:hanging="1080"/>
      </w:pPr>
      <w:rPr>
        <w:rFonts w:hint="default"/>
      </w:rPr>
    </w:lvl>
    <w:lvl w:ilvl="5">
      <w:start w:val="1"/>
      <w:numFmt w:val="decimal"/>
      <w:lvlText w:val="%1-%2-%3.%4.%5.%6."/>
      <w:lvlJc w:val="left"/>
      <w:pPr>
        <w:tabs>
          <w:tab w:val="num" w:pos="-31680"/>
        </w:tabs>
        <w:ind w:left="-32296" w:hanging="1440"/>
      </w:pPr>
      <w:rPr>
        <w:rFonts w:hint="default"/>
      </w:rPr>
    </w:lvl>
    <w:lvl w:ilvl="6">
      <w:start w:val="1"/>
      <w:numFmt w:val="decimal"/>
      <w:lvlText w:val="%1-%2-%3.%4.%5.%6.%7."/>
      <w:lvlJc w:val="left"/>
      <w:pPr>
        <w:tabs>
          <w:tab w:val="num" w:pos="-25936"/>
        </w:tabs>
        <w:ind w:left="-25936" w:hanging="1440"/>
      </w:pPr>
      <w:rPr>
        <w:rFonts w:hint="default"/>
      </w:rPr>
    </w:lvl>
    <w:lvl w:ilvl="7">
      <w:start w:val="1"/>
      <w:numFmt w:val="decimal"/>
      <w:lvlText w:val="%1-%2-%3.%4.%5.%6.%7.%8."/>
      <w:lvlJc w:val="left"/>
      <w:pPr>
        <w:tabs>
          <w:tab w:val="num" w:pos="-19216"/>
        </w:tabs>
        <w:ind w:left="-19216" w:hanging="1800"/>
      </w:pPr>
      <w:rPr>
        <w:rFonts w:hint="default"/>
      </w:rPr>
    </w:lvl>
    <w:lvl w:ilvl="8">
      <w:start w:val="1"/>
      <w:numFmt w:val="decimal"/>
      <w:lvlText w:val="%1-%2-%3.%4.%5.%6.%7.%8.%9."/>
      <w:lvlJc w:val="left"/>
      <w:pPr>
        <w:tabs>
          <w:tab w:val="num" w:pos="-12856"/>
        </w:tabs>
        <w:ind w:left="-12856" w:hanging="1800"/>
      </w:pPr>
      <w:rPr>
        <w:rFonts w:hint="default"/>
      </w:rPr>
    </w:lvl>
  </w:abstractNum>
  <w:abstractNum w:abstractNumId="5">
    <w:nsid w:val="76101C49"/>
    <w:multiLevelType w:val="multilevel"/>
    <w:tmpl w:val="902433BA"/>
    <w:lvl w:ilvl="0">
      <w:start w:val="2009"/>
      <w:numFmt w:val="decimal"/>
      <w:lvlText w:val="%1"/>
      <w:lvlJc w:val="left"/>
      <w:pPr>
        <w:tabs>
          <w:tab w:val="num" w:pos="1140"/>
        </w:tabs>
        <w:ind w:left="1140" w:hanging="1140"/>
      </w:pPr>
      <w:rPr>
        <w:rFonts w:hint="default"/>
      </w:rPr>
    </w:lvl>
    <w:lvl w:ilvl="1">
      <w:start w:val="4"/>
      <w:numFmt w:val="decimalZero"/>
      <w:lvlText w:val="%1-%2-0"/>
      <w:lvlJc w:val="left"/>
      <w:pPr>
        <w:tabs>
          <w:tab w:val="num" w:pos="7380"/>
        </w:tabs>
        <w:ind w:left="7380" w:hanging="1140"/>
      </w:pPr>
      <w:rPr>
        <w:rFonts w:hint="default"/>
      </w:rPr>
    </w:lvl>
    <w:lvl w:ilvl="2">
      <w:start w:val="1"/>
      <w:numFmt w:val="decimalZero"/>
      <w:lvlText w:val="%1-%2-%3"/>
      <w:lvlJc w:val="left"/>
      <w:pPr>
        <w:tabs>
          <w:tab w:val="num" w:pos="13620"/>
        </w:tabs>
        <w:ind w:left="13620" w:hanging="1140"/>
      </w:pPr>
      <w:rPr>
        <w:rFonts w:hint="default"/>
      </w:rPr>
    </w:lvl>
    <w:lvl w:ilvl="3">
      <w:start w:val="1"/>
      <w:numFmt w:val="decimal"/>
      <w:lvlText w:val="%1-%2-%3.%4"/>
      <w:lvlJc w:val="left"/>
      <w:pPr>
        <w:tabs>
          <w:tab w:val="num" w:pos="19860"/>
        </w:tabs>
        <w:ind w:left="19860" w:hanging="1140"/>
      </w:pPr>
      <w:rPr>
        <w:rFonts w:hint="default"/>
      </w:rPr>
    </w:lvl>
    <w:lvl w:ilvl="4">
      <w:start w:val="1"/>
      <w:numFmt w:val="decimal"/>
      <w:lvlText w:val="%1-%2-%3.%4.%5"/>
      <w:lvlJc w:val="left"/>
      <w:pPr>
        <w:tabs>
          <w:tab w:val="num" w:pos="26100"/>
        </w:tabs>
        <w:ind w:left="26100" w:hanging="1140"/>
      </w:pPr>
      <w:rPr>
        <w:rFonts w:hint="default"/>
      </w:rPr>
    </w:lvl>
    <w:lvl w:ilvl="5">
      <w:start w:val="1"/>
      <w:numFmt w:val="decimal"/>
      <w:lvlText w:val="%1-%2-%3.%4.%5.%6"/>
      <w:lvlJc w:val="left"/>
      <w:pPr>
        <w:tabs>
          <w:tab w:val="num" w:pos="31680"/>
        </w:tabs>
        <w:ind w:left="32340" w:hanging="11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416"/>
        </w:tabs>
        <w:ind w:left="-20416" w:hanging="1440"/>
      </w:pPr>
      <w:rPr>
        <w:rFonts w:hint="default"/>
      </w:rPr>
    </w:lvl>
    <w:lvl w:ilvl="8">
      <w:start w:val="1"/>
      <w:numFmt w:val="decimal"/>
      <w:lvlText w:val="%1-%2-%3.%4.%5.%6.%7.%8.%9"/>
      <w:lvlJc w:val="left"/>
      <w:pPr>
        <w:tabs>
          <w:tab w:val="num" w:pos="-13816"/>
        </w:tabs>
        <w:ind w:left="-13816" w:hanging="1800"/>
      </w:pPr>
      <w:rPr>
        <w:rFont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noPunctuationKerning/>
  <w:characterSpacingControl w:val="doNotCompress"/>
  <w:footnotePr>
    <w:footnote w:id="-1"/>
    <w:footnote w:id="0"/>
  </w:footnotePr>
  <w:endnotePr>
    <w:endnote w:id="-1"/>
    <w:endnote w:id="0"/>
  </w:endnotePr>
  <w:compat/>
  <w:rsids>
    <w:rsidRoot w:val="00F860E6"/>
    <w:rsid w:val="00010B03"/>
    <w:rsid w:val="0002730A"/>
    <w:rsid w:val="00080752"/>
    <w:rsid w:val="00082A29"/>
    <w:rsid w:val="00092E2F"/>
    <w:rsid w:val="000942FB"/>
    <w:rsid w:val="000D3F6A"/>
    <w:rsid w:val="000F3F19"/>
    <w:rsid w:val="00104B41"/>
    <w:rsid w:val="001116D7"/>
    <w:rsid w:val="001366E7"/>
    <w:rsid w:val="00137D7C"/>
    <w:rsid w:val="00163893"/>
    <w:rsid w:val="001D4C95"/>
    <w:rsid w:val="001E0566"/>
    <w:rsid w:val="001F5FD3"/>
    <w:rsid w:val="00266952"/>
    <w:rsid w:val="00267A00"/>
    <w:rsid w:val="00274431"/>
    <w:rsid w:val="0028567B"/>
    <w:rsid w:val="00290CBB"/>
    <w:rsid w:val="00295F87"/>
    <w:rsid w:val="002A756C"/>
    <w:rsid w:val="002C0C96"/>
    <w:rsid w:val="002E37AE"/>
    <w:rsid w:val="002E4C99"/>
    <w:rsid w:val="002F2F83"/>
    <w:rsid w:val="00304B8B"/>
    <w:rsid w:val="00310412"/>
    <w:rsid w:val="00315324"/>
    <w:rsid w:val="00321AD0"/>
    <w:rsid w:val="00334F3F"/>
    <w:rsid w:val="003A094B"/>
    <w:rsid w:val="003A3822"/>
    <w:rsid w:val="00411537"/>
    <w:rsid w:val="00415837"/>
    <w:rsid w:val="004526B1"/>
    <w:rsid w:val="00472DC5"/>
    <w:rsid w:val="004867F8"/>
    <w:rsid w:val="0049547D"/>
    <w:rsid w:val="00495604"/>
    <w:rsid w:val="004B6128"/>
    <w:rsid w:val="004E3F2E"/>
    <w:rsid w:val="005222B3"/>
    <w:rsid w:val="0057751E"/>
    <w:rsid w:val="005B3A40"/>
    <w:rsid w:val="005E4C56"/>
    <w:rsid w:val="00607065"/>
    <w:rsid w:val="00643CC7"/>
    <w:rsid w:val="006450F2"/>
    <w:rsid w:val="0065663A"/>
    <w:rsid w:val="006658AC"/>
    <w:rsid w:val="006832BE"/>
    <w:rsid w:val="00690DE3"/>
    <w:rsid w:val="006B21A3"/>
    <w:rsid w:val="006C1D9C"/>
    <w:rsid w:val="006C5402"/>
    <w:rsid w:val="006E3486"/>
    <w:rsid w:val="006E470C"/>
    <w:rsid w:val="007070F5"/>
    <w:rsid w:val="007432B3"/>
    <w:rsid w:val="00770213"/>
    <w:rsid w:val="007778EC"/>
    <w:rsid w:val="007A140F"/>
    <w:rsid w:val="007B3802"/>
    <w:rsid w:val="007D10F3"/>
    <w:rsid w:val="007E64A8"/>
    <w:rsid w:val="008368FE"/>
    <w:rsid w:val="008A3C23"/>
    <w:rsid w:val="008C07CD"/>
    <w:rsid w:val="008F388A"/>
    <w:rsid w:val="009342C5"/>
    <w:rsid w:val="00971D3A"/>
    <w:rsid w:val="009748F6"/>
    <w:rsid w:val="0097676F"/>
    <w:rsid w:val="0098626F"/>
    <w:rsid w:val="00995F64"/>
    <w:rsid w:val="009B2600"/>
    <w:rsid w:val="009C5661"/>
    <w:rsid w:val="009E6085"/>
    <w:rsid w:val="00A40A46"/>
    <w:rsid w:val="00A54015"/>
    <w:rsid w:val="00A643EF"/>
    <w:rsid w:val="00A75CCD"/>
    <w:rsid w:val="00A769C8"/>
    <w:rsid w:val="00AB27EC"/>
    <w:rsid w:val="00AD0A53"/>
    <w:rsid w:val="00AD55EE"/>
    <w:rsid w:val="00AF134C"/>
    <w:rsid w:val="00B11A27"/>
    <w:rsid w:val="00B15AE3"/>
    <w:rsid w:val="00B339C9"/>
    <w:rsid w:val="00B473B1"/>
    <w:rsid w:val="00B644CD"/>
    <w:rsid w:val="00B83A79"/>
    <w:rsid w:val="00B97240"/>
    <w:rsid w:val="00C029A1"/>
    <w:rsid w:val="00C04264"/>
    <w:rsid w:val="00C16EF6"/>
    <w:rsid w:val="00C26C92"/>
    <w:rsid w:val="00C37640"/>
    <w:rsid w:val="00C438EA"/>
    <w:rsid w:val="00C43C49"/>
    <w:rsid w:val="00C61E66"/>
    <w:rsid w:val="00C764BE"/>
    <w:rsid w:val="00CB35AA"/>
    <w:rsid w:val="00CB58A0"/>
    <w:rsid w:val="00CD0A9B"/>
    <w:rsid w:val="00D21DFA"/>
    <w:rsid w:val="00D77158"/>
    <w:rsid w:val="00DA5DE7"/>
    <w:rsid w:val="00DC765D"/>
    <w:rsid w:val="00E556E5"/>
    <w:rsid w:val="00E60F36"/>
    <w:rsid w:val="00E664C8"/>
    <w:rsid w:val="00E93C84"/>
    <w:rsid w:val="00EB3105"/>
    <w:rsid w:val="00EC053B"/>
    <w:rsid w:val="00EC206B"/>
    <w:rsid w:val="00F16F3F"/>
    <w:rsid w:val="00F21431"/>
    <w:rsid w:val="00F23762"/>
    <w:rsid w:val="00F367CF"/>
    <w:rsid w:val="00F402C8"/>
    <w:rsid w:val="00F44AA2"/>
    <w:rsid w:val="00F47A8A"/>
    <w:rsid w:val="00F666AA"/>
    <w:rsid w:val="00F860E6"/>
    <w:rsid w:val="00F910C1"/>
    <w:rsid w:val="00F9221D"/>
    <w:rsid w:val="00FA2C4B"/>
    <w:rsid w:val="00FB2F4D"/>
    <w:rsid w:val="00FC3242"/>
    <w:rsid w:val="00FC68C9"/>
    <w:rsid w:val="00FF108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9C"/>
    <w:rPr>
      <w:lang w:eastAsia="en-US"/>
    </w:rPr>
  </w:style>
  <w:style w:type="paragraph" w:styleId="Heading1">
    <w:name w:val="heading 1"/>
    <w:basedOn w:val="Normal"/>
    <w:next w:val="Normal"/>
    <w:qFormat/>
    <w:rsid w:val="006C1D9C"/>
    <w:pPr>
      <w:keepNext/>
      <w:spacing w:before="200"/>
      <w:jc w:val="center"/>
      <w:outlineLvl w:val="0"/>
    </w:pPr>
    <w:rPr>
      <w:rFonts w:ascii="TimesLT" w:hAnsi="TimesLT"/>
      <w:b/>
    </w:rPr>
  </w:style>
  <w:style w:type="paragraph" w:styleId="Heading2">
    <w:name w:val="heading 2"/>
    <w:basedOn w:val="Normal"/>
    <w:next w:val="Normal"/>
    <w:qFormat/>
    <w:rsid w:val="006C1D9C"/>
    <w:pPr>
      <w:keepNext/>
      <w:jc w:val="right"/>
      <w:outlineLvl w:val="1"/>
    </w:pPr>
    <w:rPr>
      <w:sz w:val="24"/>
    </w:rPr>
  </w:style>
  <w:style w:type="paragraph" w:styleId="Heading6">
    <w:name w:val="heading 6"/>
    <w:basedOn w:val="Normal"/>
    <w:next w:val="Normal"/>
    <w:qFormat/>
    <w:rsid w:val="006C1D9C"/>
    <w:pPr>
      <w:keepNext/>
      <w:jc w:val="both"/>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1D9C"/>
    <w:pPr>
      <w:tabs>
        <w:tab w:val="center" w:pos="4320"/>
        <w:tab w:val="right" w:pos="8640"/>
      </w:tabs>
    </w:pPr>
  </w:style>
  <w:style w:type="paragraph" w:styleId="Footer">
    <w:name w:val="footer"/>
    <w:basedOn w:val="Normal"/>
    <w:rsid w:val="006C1D9C"/>
    <w:pPr>
      <w:tabs>
        <w:tab w:val="center" w:pos="4320"/>
        <w:tab w:val="right" w:pos="8640"/>
      </w:tabs>
    </w:pPr>
  </w:style>
  <w:style w:type="character" w:styleId="PageNumber">
    <w:name w:val="page number"/>
    <w:basedOn w:val="DefaultParagraphFont"/>
    <w:rsid w:val="006C1D9C"/>
  </w:style>
  <w:style w:type="character" w:styleId="Hyperlink">
    <w:name w:val="Hyperlink"/>
    <w:rsid w:val="00F21431"/>
    <w:rPr>
      <w:color w:val="0000FF"/>
      <w:u w:val="single"/>
    </w:rPr>
  </w:style>
  <w:style w:type="paragraph" w:styleId="BalloonText">
    <w:name w:val="Balloon Text"/>
    <w:basedOn w:val="Normal"/>
    <w:semiHidden/>
    <w:rsid w:val="00C61E66"/>
    <w:rPr>
      <w:rFonts w:ascii="Tahoma" w:hAnsi="Tahoma" w:cs="Tahoma"/>
      <w:sz w:val="16"/>
      <w:szCs w:val="16"/>
    </w:rPr>
  </w:style>
  <w:style w:type="character" w:customStyle="1" w:styleId="HeaderChar">
    <w:name w:val="Header Char"/>
    <w:basedOn w:val="DefaultParagraphFont"/>
    <w:link w:val="Header"/>
    <w:uiPriority w:val="99"/>
    <w:rsid w:val="001E0566"/>
    <w:rPr>
      <w:lang w:eastAsia="en-US"/>
    </w:rPr>
  </w:style>
  <w:style w:type="character" w:customStyle="1" w:styleId="bold1">
    <w:name w:val="bold1"/>
    <w:rsid w:val="00E556E5"/>
    <w:rPr>
      <w:b/>
      <w:bCs/>
    </w:rPr>
  </w:style>
  <w:style w:type="paragraph" w:styleId="ListParagraph">
    <w:name w:val="List Paragraph"/>
    <w:basedOn w:val="Normal"/>
    <w:uiPriority w:val="34"/>
    <w:qFormat/>
    <w:rsid w:val="00092E2F"/>
    <w:pPr>
      <w:spacing w:after="200" w:line="276" w:lineRule="auto"/>
      <w:ind w:left="720"/>
      <w:contextualSpacing/>
    </w:pPr>
    <w:rPr>
      <w:rFonts w:asciiTheme="minorHAnsi" w:eastAsiaTheme="minorEastAsia" w:hAnsiTheme="minorHAnsi" w:cstheme="minorBidi"/>
      <w:sz w:val="22"/>
      <w:szCs w:val="22"/>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Vaida/Desktop/Asmen&#371;%20aptarnavimo%20ir%20dokument&#371;%20valdymo%20skyriaus%20siun&#269;iamo%20ra&#353;to%20forma%20(2010-05-12%20&#303;sakymas%20Nr.%2025A-94).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Asmenų aptarnavimo ir dokumentų valdymo skyriaus siunčiamo rašto forma (2010-05-12 įsakymas Nr. 25A-94)</Template>
  <TotalTime>3</TotalTime>
  <Pages>1</Pages>
  <Words>1665</Words>
  <Characters>950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LRPK</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2020-04-16T06:35:00Z</dcterms:created>
  <dc:creator>Vaida Bugaityte</dc:creator>
  <cp:lastModifiedBy>Jolita</cp:lastModifiedBy>
  <cp:lastPrinted>2018-03-20T11:14:00Z</cp:lastPrinted>
  <dcterms:modified xsi:type="dcterms:W3CDTF">2020-04-16T06:35:00Z</dcterms:modified>
  <cp:revision>2</cp:revision>
</cp:coreProperties>
</file>