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896D" w14:textId="77777777" w:rsidR="00A36E5D" w:rsidRPr="00292CD7" w:rsidRDefault="00A36E5D" w:rsidP="00A36E5D">
      <w:pPr>
        <w:pStyle w:val="Antrat"/>
        <w:rPr>
          <w:sz w:val="24"/>
        </w:rPr>
      </w:pPr>
      <w:r w:rsidRPr="00292CD7">
        <w:rPr>
          <w:color w:val="0000FF"/>
          <w:sz w:val="24"/>
        </w:rPr>
        <w:object w:dxaOrig="4620" w:dyaOrig="5445" w14:anchorId="6AC3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4" o:title=""/>
          </v:shape>
          <o:OLEObject Type="Embed" ProgID="PBrush" ShapeID="_x0000_i1025" DrawAspect="Content" ObjectID="_1615372098" r:id="rId5"/>
        </w:object>
      </w:r>
    </w:p>
    <w:p w14:paraId="208CECF2" w14:textId="77777777" w:rsidR="00A36E5D" w:rsidRPr="00292CD7" w:rsidRDefault="00A36E5D" w:rsidP="00A36E5D">
      <w:pPr>
        <w:pStyle w:val="Antrat"/>
        <w:rPr>
          <w:sz w:val="24"/>
        </w:rPr>
      </w:pPr>
    </w:p>
    <w:p w14:paraId="596ACB4A" w14:textId="77777777" w:rsidR="00A36E5D" w:rsidRPr="00292CD7" w:rsidRDefault="00A36E5D" w:rsidP="00A36E5D">
      <w:pPr>
        <w:pStyle w:val="Antrat"/>
        <w:rPr>
          <w:sz w:val="24"/>
        </w:rPr>
      </w:pPr>
      <w:r w:rsidRPr="00292CD7">
        <w:rPr>
          <w:sz w:val="24"/>
        </w:rPr>
        <w:t>LIETUVOS RESPUBLIKOS VIDAUS REIKALŲ MINISTERIJA</w:t>
      </w:r>
    </w:p>
    <w:p w14:paraId="7105CBBE" w14:textId="77777777" w:rsidR="00A36E5D" w:rsidRPr="00292CD7" w:rsidRDefault="00A36E5D" w:rsidP="00A36E5D"/>
    <w:tbl>
      <w:tblPr>
        <w:tblW w:w="0" w:type="auto"/>
        <w:jc w:val="center"/>
        <w:tblBorders>
          <w:bottom w:val="single" w:sz="4" w:space="0" w:color="auto"/>
        </w:tblBorders>
        <w:tblLayout w:type="fixed"/>
        <w:tblLook w:val="0000" w:firstRow="0" w:lastRow="0" w:firstColumn="0" w:lastColumn="0" w:noHBand="0" w:noVBand="0"/>
      </w:tblPr>
      <w:tblGrid>
        <w:gridCol w:w="9402"/>
      </w:tblGrid>
      <w:tr w:rsidR="00A36E5D" w:rsidRPr="00292CD7" w14:paraId="0A46D7BE" w14:textId="77777777" w:rsidTr="007F5E12">
        <w:trPr>
          <w:trHeight w:hRule="exact" w:val="698"/>
          <w:jc w:val="center"/>
        </w:trPr>
        <w:tc>
          <w:tcPr>
            <w:tcW w:w="9402" w:type="dxa"/>
          </w:tcPr>
          <w:p w14:paraId="06662D84" w14:textId="77777777" w:rsidR="00A36E5D" w:rsidRPr="00292CD7" w:rsidRDefault="00A36E5D" w:rsidP="007F5E12">
            <w:pPr>
              <w:pStyle w:val="Antrats"/>
              <w:tabs>
                <w:tab w:val="left" w:pos="720"/>
              </w:tabs>
              <w:jc w:val="center"/>
              <w:rPr>
                <w:sz w:val="20"/>
              </w:rPr>
            </w:pPr>
            <w:r w:rsidRPr="00292CD7">
              <w:rPr>
                <w:sz w:val="20"/>
              </w:rPr>
              <w:t>Biudžetinė įstaiga,  Šventaragio g. 2,  LT-01510  Vilnius,</w:t>
            </w:r>
          </w:p>
          <w:p w14:paraId="18ECCD3D" w14:textId="77777777" w:rsidR="00A36E5D" w:rsidRPr="00292CD7" w:rsidRDefault="00A36E5D" w:rsidP="007F5E12">
            <w:pPr>
              <w:pStyle w:val="Antrats"/>
              <w:tabs>
                <w:tab w:val="left" w:pos="720"/>
              </w:tabs>
              <w:jc w:val="center"/>
              <w:rPr>
                <w:sz w:val="20"/>
              </w:rPr>
            </w:pPr>
            <w:r w:rsidRPr="00292CD7">
              <w:rPr>
                <w:sz w:val="20"/>
              </w:rPr>
              <w:t xml:space="preserve">tel.: (8 5)  271 7154 / 271 7178,  faks. (8 5)  271 8551,  el. p. </w:t>
            </w:r>
            <w:hyperlink r:id="rId6" w:history="1">
              <w:r w:rsidRPr="00292CD7">
                <w:rPr>
                  <w:rStyle w:val="Hipersaitas"/>
                  <w:color w:val="auto"/>
                  <w:sz w:val="20"/>
                  <w:u w:val="none"/>
                </w:rPr>
                <w:t>bendrasisd@vrm.lt</w:t>
              </w:r>
            </w:hyperlink>
            <w:r w:rsidRPr="00292CD7">
              <w:rPr>
                <w:sz w:val="20"/>
              </w:rPr>
              <w:t xml:space="preserve">. </w:t>
            </w:r>
          </w:p>
          <w:p w14:paraId="4F8A5E0C" w14:textId="77777777" w:rsidR="00A36E5D" w:rsidRPr="00292CD7" w:rsidRDefault="00A36E5D" w:rsidP="007F5E12">
            <w:pPr>
              <w:pStyle w:val="Antrats"/>
              <w:tabs>
                <w:tab w:val="clear" w:pos="4153"/>
                <w:tab w:val="clear" w:pos="8306"/>
              </w:tabs>
              <w:jc w:val="center"/>
              <w:rPr>
                <w:sz w:val="20"/>
              </w:rPr>
            </w:pPr>
            <w:r w:rsidRPr="00292CD7">
              <w:rPr>
                <w:sz w:val="20"/>
              </w:rPr>
              <w:t>Duomenys kaupiami ir saugomi Juridinių asmenų registre, kodas 188601464</w:t>
            </w:r>
          </w:p>
        </w:tc>
      </w:tr>
    </w:tbl>
    <w:p w14:paraId="5ACF3E48" w14:textId="77777777" w:rsidR="00A36E5D" w:rsidRPr="00292CD7" w:rsidRDefault="00A36E5D" w:rsidP="00A36E5D"/>
    <w:p w14:paraId="5B953B14" w14:textId="77777777" w:rsidR="00A36E5D" w:rsidRPr="00292CD7" w:rsidRDefault="00A36E5D" w:rsidP="00A36E5D"/>
    <w:tbl>
      <w:tblPr>
        <w:tblW w:w="9606" w:type="dxa"/>
        <w:tblLayout w:type="fixed"/>
        <w:tblLook w:val="0000" w:firstRow="0" w:lastRow="0" w:firstColumn="0" w:lastColumn="0" w:noHBand="0" w:noVBand="0"/>
      </w:tblPr>
      <w:tblGrid>
        <w:gridCol w:w="4644"/>
        <w:gridCol w:w="504"/>
        <w:gridCol w:w="347"/>
        <w:gridCol w:w="1560"/>
        <w:gridCol w:w="2551"/>
      </w:tblGrid>
      <w:tr w:rsidR="00A36E5D" w:rsidRPr="00292CD7" w14:paraId="0031562C" w14:textId="77777777" w:rsidTr="007F5E12">
        <w:tc>
          <w:tcPr>
            <w:tcW w:w="4644" w:type="dxa"/>
          </w:tcPr>
          <w:p w14:paraId="07084FD3" w14:textId="77777777" w:rsidR="00A36E5D" w:rsidRPr="00292CD7" w:rsidRDefault="00A36E5D" w:rsidP="007F5E12">
            <w:pPr>
              <w:pStyle w:val="Antrats"/>
              <w:tabs>
                <w:tab w:val="clear" w:pos="4153"/>
                <w:tab w:val="clear" w:pos="8306"/>
              </w:tabs>
            </w:pPr>
            <w:r w:rsidRPr="00292CD7">
              <w:t xml:space="preserve">Lietuvos Respublikos Vyriausybės kanceliarijai </w:t>
            </w:r>
          </w:p>
        </w:tc>
        <w:tc>
          <w:tcPr>
            <w:tcW w:w="504" w:type="dxa"/>
          </w:tcPr>
          <w:p w14:paraId="64EB1828" w14:textId="77777777" w:rsidR="00A36E5D" w:rsidRPr="00292CD7" w:rsidRDefault="00A36E5D" w:rsidP="007F5E12">
            <w:pPr>
              <w:pStyle w:val="Antrats"/>
              <w:tabs>
                <w:tab w:val="clear" w:pos="4153"/>
                <w:tab w:val="clear" w:pos="8306"/>
              </w:tabs>
            </w:pPr>
          </w:p>
        </w:tc>
        <w:tc>
          <w:tcPr>
            <w:tcW w:w="347" w:type="dxa"/>
          </w:tcPr>
          <w:p w14:paraId="2A0AB3D0" w14:textId="77777777" w:rsidR="00A36E5D" w:rsidRPr="00292CD7" w:rsidRDefault="00A36E5D" w:rsidP="007F5E12">
            <w:pPr>
              <w:pStyle w:val="Antrats"/>
              <w:tabs>
                <w:tab w:val="clear" w:pos="4153"/>
                <w:tab w:val="clear" w:pos="8306"/>
              </w:tabs>
              <w:jc w:val="right"/>
            </w:pPr>
          </w:p>
          <w:p w14:paraId="77A10102" w14:textId="77777777" w:rsidR="00A36E5D" w:rsidRPr="00292CD7" w:rsidRDefault="00A36E5D" w:rsidP="007F5E12">
            <w:pPr>
              <w:pStyle w:val="Antrats"/>
              <w:tabs>
                <w:tab w:val="clear" w:pos="4153"/>
                <w:tab w:val="clear" w:pos="8306"/>
              </w:tabs>
              <w:jc w:val="right"/>
            </w:pPr>
          </w:p>
        </w:tc>
        <w:tc>
          <w:tcPr>
            <w:tcW w:w="1560" w:type="dxa"/>
          </w:tcPr>
          <w:p w14:paraId="76B0B0BF" w14:textId="77777777" w:rsidR="00A36E5D" w:rsidRPr="00292CD7" w:rsidRDefault="00A36E5D" w:rsidP="007F5E12">
            <w:pPr>
              <w:pStyle w:val="Antrats"/>
              <w:tabs>
                <w:tab w:val="clear" w:pos="4153"/>
                <w:tab w:val="clear" w:pos="8306"/>
              </w:tabs>
            </w:pPr>
          </w:p>
          <w:p w14:paraId="73797583" w14:textId="77777777" w:rsidR="00A36E5D" w:rsidRPr="00A928FD" w:rsidRDefault="00A36E5D" w:rsidP="007F5E12">
            <w:pPr>
              <w:pStyle w:val="Antrats"/>
            </w:pPr>
            <w:r w:rsidRPr="00292CD7">
              <w:t xml:space="preserve">Į </w:t>
            </w:r>
            <w:r>
              <w:t>2019-03-04</w:t>
            </w:r>
          </w:p>
          <w:tbl>
            <w:tblPr>
              <w:tblW w:w="0" w:type="auto"/>
              <w:tblBorders>
                <w:top w:val="nil"/>
                <w:left w:val="nil"/>
                <w:bottom w:val="nil"/>
                <w:right w:val="nil"/>
              </w:tblBorders>
              <w:tblLayout w:type="fixed"/>
              <w:tblLook w:val="0000" w:firstRow="0" w:lastRow="0" w:firstColumn="0" w:lastColumn="0" w:noHBand="0" w:noVBand="0"/>
            </w:tblPr>
            <w:tblGrid>
              <w:gridCol w:w="1123"/>
            </w:tblGrid>
            <w:tr w:rsidR="00A36E5D" w:rsidRPr="00A928FD" w14:paraId="6C3CB36D" w14:textId="77777777" w:rsidTr="007F5E12">
              <w:trPr>
                <w:trHeight w:val="109"/>
              </w:trPr>
              <w:tc>
                <w:tcPr>
                  <w:tcW w:w="1123" w:type="dxa"/>
                </w:tcPr>
                <w:p w14:paraId="159E129C" w14:textId="77777777" w:rsidR="00A36E5D" w:rsidRPr="00A928FD" w:rsidRDefault="00A36E5D" w:rsidP="007F5E12">
                  <w:pPr>
                    <w:pStyle w:val="Antrats"/>
                  </w:pPr>
                  <w:r w:rsidRPr="00A928FD">
                    <w:t xml:space="preserve"> </w:t>
                  </w:r>
                </w:p>
              </w:tc>
            </w:tr>
          </w:tbl>
          <w:p w14:paraId="6FBC44BF" w14:textId="77777777" w:rsidR="00A36E5D" w:rsidRPr="00292CD7" w:rsidRDefault="00A36E5D" w:rsidP="007F5E12">
            <w:pPr>
              <w:pStyle w:val="Antrats"/>
              <w:tabs>
                <w:tab w:val="clear" w:pos="4153"/>
                <w:tab w:val="clear" w:pos="8306"/>
              </w:tabs>
            </w:pPr>
          </w:p>
        </w:tc>
        <w:tc>
          <w:tcPr>
            <w:tcW w:w="2551" w:type="dxa"/>
          </w:tcPr>
          <w:p w14:paraId="24A63FCF" w14:textId="77777777" w:rsidR="00A36E5D" w:rsidRPr="00292CD7" w:rsidRDefault="00A36E5D" w:rsidP="007F5E12">
            <w:pPr>
              <w:pStyle w:val="Antrats"/>
              <w:tabs>
                <w:tab w:val="clear" w:pos="4153"/>
                <w:tab w:val="clear" w:pos="8306"/>
              </w:tabs>
            </w:pPr>
            <w:r w:rsidRPr="00292CD7">
              <w:t xml:space="preserve">Nr.   </w:t>
            </w:r>
          </w:p>
          <w:p w14:paraId="18EABBBF" w14:textId="77777777" w:rsidR="00A36E5D" w:rsidRPr="00292CD7" w:rsidRDefault="00A36E5D" w:rsidP="007F5E12">
            <w:pPr>
              <w:pStyle w:val="Antrats"/>
              <w:tabs>
                <w:tab w:val="clear" w:pos="4153"/>
                <w:tab w:val="clear" w:pos="8306"/>
              </w:tabs>
              <w:rPr>
                <w:szCs w:val="24"/>
              </w:rPr>
            </w:pPr>
            <w:r w:rsidRPr="00292CD7">
              <w:rPr>
                <w:szCs w:val="24"/>
              </w:rPr>
              <w:t xml:space="preserve">Nr. </w:t>
            </w:r>
            <w:r>
              <w:rPr>
                <w:szCs w:val="24"/>
              </w:rPr>
              <w:t>S-704</w:t>
            </w:r>
          </w:p>
        </w:tc>
      </w:tr>
    </w:tbl>
    <w:p w14:paraId="7FC389E8" w14:textId="77777777" w:rsidR="00A36E5D" w:rsidRDefault="00A36E5D" w:rsidP="00A36E5D">
      <w:pPr>
        <w:pStyle w:val="Antrats"/>
        <w:tabs>
          <w:tab w:val="clear" w:pos="4153"/>
          <w:tab w:val="clear" w:pos="8306"/>
        </w:tabs>
        <w:jc w:val="both"/>
        <w:rPr>
          <w:caps/>
          <w:szCs w:val="24"/>
        </w:rPr>
      </w:pPr>
    </w:p>
    <w:p w14:paraId="0B8E84C5" w14:textId="77777777" w:rsidR="00A36E5D" w:rsidRDefault="00A36E5D" w:rsidP="00A36E5D">
      <w:pPr>
        <w:pStyle w:val="Antrats"/>
        <w:tabs>
          <w:tab w:val="clear" w:pos="4153"/>
          <w:tab w:val="clear" w:pos="8306"/>
        </w:tabs>
        <w:jc w:val="both"/>
        <w:rPr>
          <w:caps/>
          <w:szCs w:val="24"/>
        </w:rPr>
      </w:pPr>
    </w:p>
    <w:p w14:paraId="75882240" w14:textId="77777777" w:rsidR="00A36E5D" w:rsidRPr="00292CD7" w:rsidRDefault="00A36E5D" w:rsidP="00A36E5D">
      <w:pPr>
        <w:pStyle w:val="Antrats"/>
        <w:tabs>
          <w:tab w:val="clear" w:pos="4153"/>
          <w:tab w:val="clear" w:pos="8306"/>
        </w:tabs>
        <w:jc w:val="both"/>
        <w:rPr>
          <w:caps/>
          <w:szCs w:val="24"/>
        </w:rPr>
      </w:pPr>
    </w:p>
    <w:p w14:paraId="0296E34C" w14:textId="77777777" w:rsidR="00A36E5D" w:rsidRPr="00292CD7" w:rsidRDefault="00A36E5D" w:rsidP="00A36E5D">
      <w:pPr>
        <w:pStyle w:val="Antrats"/>
        <w:jc w:val="both"/>
        <w:rPr>
          <w:b/>
          <w:bCs/>
          <w:szCs w:val="24"/>
        </w:rPr>
      </w:pPr>
      <w:r w:rsidRPr="00292CD7">
        <w:rPr>
          <w:b/>
          <w:bCs/>
          <w:szCs w:val="24"/>
        </w:rPr>
        <w:t>DĖL LIETUVOS RESPUBLIKOS VYRIAUSYBĖS NUTARIMO PROJEKTO</w:t>
      </w:r>
    </w:p>
    <w:p w14:paraId="719A7967" w14:textId="77777777" w:rsidR="00A36E5D" w:rsidRPr="00A928FD" w:rsidRDefault="00A36E5D" w:rsidP="00A36E5D">
      <w:pPr>
        <w:pStyle w:val="Antrats"/>
        <w:jc w:val="both"/>
        <w:rPr>
          <w:szCs w:val="24"/>
        </w:rPr>
      </w:pPr>
    </w:p>
    <w:p w14:paraId="4E30575C" w14:textId="77777777" w:rsidR="00A36E5D" w:rsidRPr="00A928FD" w:rsidRDefault="00A36E5D" w:rsidP="00A36E5D">
      <w:pPr>
        <w:pStyle w:val="Antrats"/>
        <w:tabs>
          <w:tab w:val="clear" w:pos="4153"/>
          <w:tab w:val="clear" w:pos="8306"/>
        </w:tabs>
        <w:spacing w:line="360" w:lineRule="auto"/>
        <w:jc w:val="both"/>
        <w:rPr>
          <w:caps/>
          <w:szCs w:val="24"/>
        </w:rPr>
      </w:pPr>
    </w:p>
    <w:p w14:paraId="2F944767" w14:textId="77777777" w:rsidR="00A36E5D" w:rsidRPr="00292CD7" w:rsidRDefault="00A36E5D" w:rsidP="00A36E5D">
      <w:pPr>
        <w:tabs>
          <w:tab w:val="left" w:pos="1134"/>
        </w:tabs>
        <w:spacing w:line="320" w:lineRule="atLeast"/>
        <w:ind w:firstLine="851"/>
        <w:jc w:val="both"/>
        <w:rPr>
          <w:bCs/>
          <w:szCs w:val="24"/>
        </w:rPr>
      </w:pPr>
      <w:r w:rsidRPr="00292CD7">
        <w:rPr>
          <w:szCs w:val="24"/>
        </w:rPr>
        <w:t xml:space="preserve">Vidaus reikalų ministerija, įvertinusi </w:t>
      </w:r>
      <w:r w:rsidRPr="009B03F1">
        <w:rPr>
          <w:szCs w:val="24"/>
        </w:rPr>
        <w:t xml:space="preserve">Lietuvos Respublikos Vyriausybės nutarimo „Dėl Lietuvos Respublikos Vyriausybės 1994 m. rugpjūčio 11 d. nutarimo Nr. 728 „Dėl Lietuvos </w:t>
      </w:r>
      <w:r w:rsidRPr="00292CD7">
        <w:rPr>
          <w:szCs w:val="24"/>
        </w:rPr>
        <w:t>Respublikos Vyriausybės darbo reglamento patvirtinimo“ pakeitimo“ projektą (toliau – Projektas),</w:t>
      </w:r>
      <w:r w:rsidRPr="00292CD7">
        <w:rPr>
          <w:bCs/>
          <w:szCs w:val="24"/>
        </w:rPr>
        <w:t xml:space="preserve"> teikia pastabas ir pasiūlymus:</w:t>
      </w:r>
    </w:p>
    <w:p w14:paraId="6684123B" w14:textId="77777777" w:rsidR="00A36E5D" w:rsidRPr="00292CD7" w:rsidRDefault="00A36E5D" w:rsidP="00A36E5D">
      <w:pPr>
        <w:tabs>
          <w:tab w:val="left" w:pos="1134"/>
        </w:tabs>
        <w:spacing w:line="320" w:lineRule="atLeast"/>
        <w:ind w:firstLine="851"/>
        <w:jc w:val="both"/>
        <w:rPr>
          <w:bCs/>
          <w:szCs w:val="24"/>
        </w:rPr>
      </w:pPr>
      <w:r w:rsidRPr="00292CD7">
        <w:rPr>
          <w:bCs/>
          <w:szCs w:val="24"/>
        </w:rPr>
        <w:t xml:space="preserve">1. Projekto 4 punktu Lietuvos Respublikos Vyriausybės darbo reglamento (toliau – Reglamentas) 8 punktas pildomas nauja pastraipa, reglamentuojančia Vyriausybės komiteto, komisijos ar darbo grupės posėdžio garso įrašo darymą. Atkreipiame dėmesį, kad siūlomoje įrašyti pastraipoje nenuosekliai vartojamos formuluotės </w:t>
      </w:r>
      <w:r>
        <w:rPr>
          <w:bCs/>
          <w:szCs w:val="24"/>
        </w:rPr>
        <w:t>–</w:t>
      </w:r>
      <w:r w:rsidRPr="00292CD7">
        <w:rPr>
          <w:bCs/>
          <w:szCs w:val="24"/>
        </w:rPr>
        <w:t xml:space="preserve"> šioje pastraipoj</w:t>
      </w:r>
      <w:r w:rsidRPr="009B03F1">
        <w:rPr>
          <w:bCs/>
          <w:szCs w:val="24"/>
        </w:rPr>
        <w:t xml:space="preserve">e kalbama tiek apie Vyriausybės komiteto, komisijos ar darbo grupės </w:t>
      </w:r>
      <w:r w:rsidRPr="00292CD7">
        <w:rPr>
          <w:bCs/>
          <w:i/>
          <w:szCs w:val="24"/>
        </w:rPr>
        <w:t>posėdžius</w:t>
      </w:r>
      <w:r w:rsidRPr="00292CD7">
        <w:rPr>
          <w:bCs/>
          <w:szCs w:val="24"/>
        </w:rPr>
        <w:t xml:space="preserve">, tiek apie atitinkamus </w:t>
      </w:r>
      <w:r w:rsidRPr="00292CD7">
        <w:rPr>
          <w:bCs/>
          <w:i/>
          <w:szCs w:val="24"/>
        </w:rPr>
        <w:t>pasitarimus.</w:t>
      </w:r>
      <w:r w:rsidRPr="00292CD7">
        <w:rPr>
          <w:bCs/>
          <w:szCs w:val="24"/>
        </w:rPr>
        <w:t xml:space="preserve"> Iš galiojančios redakcijos Reglamento II skyriaus nuostatų spręstina, kad Vyriausybės komiteto, komisijos ar darbo grupės pagrindinė veiklos forma yra posėdžiai, todėl nauja „pasitarimų“ sąvoka įneš</w:t>
      </w:r>
      <w:r>
        <w:rPr>
          <w:bCs/>
          <w:szCs w:val="24"/>
        </w:rPr>
        <w:t>tų</w:t>
      </w:r>
      <w:r w:rsidRPr="009B03F1">
        <w:rPr>
          <w:bCs/>
          <w:szCs w:val="24"/>
        </w:rPr>
        <w:t xml:space="preserve"> painiavos, nes nėra aišku</w:t>
      </w:r>
      <w:r>
        <w:rPr>
          <w:bCs/>
          <w:szCs w:val="24"/>
        </w:rPr>
        <w:t>,</w:t>
      </w:r>
      <w:r w:rsidRPr="00292CD7">
        <w:rPr>
          <w:bCs/>
          <w:szCs w:val="24"/>
        </w:rPr>
        <w:t xml:space="preserve"> kuo šie pasitarimai skirtųsi</w:t>
      </w:r>
      <w:r w:rsidRPr="009B03F1">
        <w:rPr>
          <w:bCs/>
          <w:szCs w:val="24"/>
        </w:rPr>
        <w:t xml:space="preserve"> nuo posėdžių. Manome, kad sąvokos turėtų būti suvienodintos ir </w:t>
      </w:r>
      <w:r w:rsidRPr="00292CD7">
        <w:rPr>
          <w:bCs/>
          <w:szCs w:val="24"/>
        </w:rPr>
        <w:t xml:space="preserve">vietoje „pasitarimų“ siūlome vartoti „posėdžių“ sąvoką. </w:t>
      </w:r>
    </w:p>
    <w:p w14:paraId="73BC5D23" w14:textId="77777777" w:rsidR="00A36E5D" w:rsidRPr="00292CD7" w:rsidRDefault="00A36E5D" w:rsidP="00A36E5D">
      <w:pPr>
        <w:tabs>
          <w:tab w:val="left" w:pos="1134"/>
        </w:tabs>
        <w:spacing w:line="320" w:lineRule="atLeast"/>
        <w:ind w:firstLine="851"/>
        <w:jc w:val="both"/>
        <w:rPr>
          <w:bCs/>
          <w:szCs w:val="24"/>
        </w:rPr>
      </w:pPr>
      <w:r w:rsidRPr="00292CD7">
        <w:rPr>
          <w:bCs/>
          <w:szCs w:val="24"/>
        </w:rPr>
        <w:t>Siūlomoje įrašyti pastraipoje numatoma, kad</w:t>
      </w:r>
      <w:r w:rsidRPr="00292CD7">
        <w:rPr>
          <w:szCs w:val="24"/>
        </w:rPr>
        <w:t xml:space="preserve"> </w:t>
      </w:r>
      <w:r w:rsidRPr="00292CD7">
        <w:rPr>
          <w:bCs/>
          <w:szCs w:val="24"/>
        </w:rPr>
        <w:t>Vyriausybės komiteto, komisijos ar darbo grupės posėdžių</w:t>
      </w:r>
      <w:r w:rsidRPr="00292CD7">
        <w:rPr>
          <w:szCs w:val="24"/>
        </w:rPr>
        <w:t xml:space="preserve"> garso </w:t>
      </w:r>
      <w:r w:rsidRPr="00292CD7">
        <w:rPr>
          <w:bCs/>
          <w:szCs w:val="24"/>
        </w:rPr>
        <w:t>įrašai ištrinami ne vėliau kaip per 2 darbo dienas nuo atitinkamo pasitarimo (posėdžio) dienos. Praktikoje būna situacijų, kai posėdžio protokolas surašomas per ilgesnį terminą, be to, iki jo pasirašymo derinamas su komiteto, komisijos ar darbo grupės nariais. Kadangi Vyriausybės komiteto, komisijos ar darbo grupės posėdžio protokolas yra dokumentas, aprašantis posėdžio eigą bei priimtus nutarimus, siekiant užtikrinti tinkamą protokolų surašymą turėtų būti užtikrinama galimybė iki protokolo pasirašymo prireikus patikrinti, ar posėdžio protokole užfiksuoti sprendimai atitinka faktiškai priimtus posėdžio metu, t.</w:t>
      </w:r>
      <w:r>
        <w:rPr>
          <w:bCs/>
          <w:szCs w:val="24"/>
        </w:rPr>
        <w:t> </w:t>
      </w:r>
      <w:r w:rsidRPr="00292CD7">
        <w:rPr>
          <w:bCs/>
          <w:szCs w:val="24"/>
        </w:rPr>
        <w:t>y. išklausyti posėdžio garso įraš</w:t>
      </w:r>
      <w:r w:rsidRPr="009B03F1">
        <w:rPr>
          <w:bCs/>
          <w:szCs w:val="24"/>
        </w:rPr>
        <w:t xml:space="preserve">ą. </w:t>
      </w:r>
      <w:r w:rsidRPr="00292CD7">
        <w:rPr>
          <w:bCs/>
          <w:szCs w:val="24"/>
        </w:rPr>
        <w:t>Todėl siūlome teisinio reguliavimo alternatyvą ‒ numatyti, kad posėdžių garso įrašai ištrinami ne vėliau kaip kitą darbo dieną nuo atitinkamo posėdžio protokolo pasirašymo dienos.</w:t>
      </w:r>
    </w:p>
    <w:p w14:paraId="1C4E03A6" w14:textId="77777777" w:rsidR="00A36E5D" w:rsidRPr="009B03F1" w:rsidRDefault="00A36E5D" w:rsidP="00A36E5D">
      <w:pPr>
        <w:tabs>
          <w:tab w:val="left" w:pos="1134"/>
        </w:tabs>
        <w:spacing w:line="320" w:lineRule="atLeast"/>
        <w:ind w:firstLine="851"/>
        <w:jc w:val="both"/>
        <w:rPr>
          <w:bCs/>
          <w:szCs w:val="24"/>
        </w:rPr>
      </w:pPr>
      <w:r w:rsidRPr="00292CD7">
        <w:rPr>
          <w:bCs/>
          <w:szCs w:val="24"/>
        </w:rPr>
        <w:t xml:space="preserve">Be to, šioje pastraipoje kalbama tik apie asmenį, atsakingą už garso įrašo darymą bei jo ištrynimą, tačiau nėra nustatyta, kas yra atsakingas už jo saugojimą bei kur ir kaip iki jo sunaikinimo turi būti saugomas šis garso įrašas. Siūlome papildyti Reglamento 9 punkto trečiąją pastraipą nuostata, kad šiuos įrašus kartu su Vyriausybės komiteto, komisijos ar darbo grupės veiklos dokumentais saugo institucija ar įstaiga, ūkiškai ir techniškai aptarnaujanti Vyriausybės komitetą, </w:t>
      </w:r>
      <w:r w:rsidRPr="00292CD7">
        <w:rPr>
          <w:bCs/>
          <w:szCs w:val="24"/>
        </w:rPr>
        <w:lastRenderedPageBreak/>
        <w:t>komisiją ar darbo grupę</w:t>
      </w:r>
      <w:bookmarkStart w:id="0" w:name="_Hlk951976"/>
      <w:r w:rsidRPr="00292CD7">
        <w:rPr>
          <w:szCs w:val="24"/>
          <w:lang w:eastAsia="lt-LT"/>
        </w:rPr>
        <w:t xml:space="preserve"> </w:t>
      </w:r>
      <w:r>
        <w:rPr>
          <w:rStyle w:val="st"/>
        </w:rPr>
        <w:t xml:space="preserve">2016 m. balandžio 27 d. Europos Parlamento ir Tarybos </w:t>
      </w:r>
      <w:r>
        <w:rPr>
          <w:bCs/>
          <w:szCs w:val="24"/>
        </w:rPr>
        <w:t>r</w:t>
      </w:r>
      <w:r w:rsidRPr="00292CD7">
        <w:rPr>
          <w:bCs/>
          <w:szCs w:val="24"/>
        </w:rPr>
        <w:t xml:space="preserve">eglamento (ES) 2016/679 </w:t>
      </w:r>
      <w:bookmarkEnd w:id="0"/>
      <w:r w:rsidRPr="00292CD7">
        <w:rPr>
          <w:bCs/>
          <w:szCs w:val="24"/>
        </w:rPr>
        <w:t>ir Dokumentų ir archyvų įstatymo nustatyta tvarka.</w:t>
      </w:r>
      <w:r w:rsidRPr="009B03F1">
        <w:rPr>
          <w:bCs/>
          <w:szCs w:val="24"/>
        </w:rPr>
        <w:t xml:space="preserve">   </w:t>
      </w:r>
    </w:p>
    <w:p w14:paraId="77EEBB90" w14:textId="77777777" w:rsidR="00A36E5D" w:rsidRPr="00292CD7" w:rsidRDefault="00A36E5D" w:rsidP="00A36E5D">
      <w:pPr>
        <w:tabs>
          <w:tab w:val="left" w:pos="1134"/>
        </w:tabs>
        <w:spacing w:line="320" w:lineRule="atLeast"/>
        <w:ind w:firstLine="851"/>
        <w:jc w:val="both"/>
        <w:rPr>
          <w:bCs/>
          <w:szCs w:val="24"/>
        </w:rPr>
      </w:pPr>
      <w:r w:rsidRPr="00292CD7">
        <w:rPr>
          <w:szCs w:val="24"/>
        </w:rPr>
        <w:t xml:space="preserve">2. </w:t>
      </w:r>
      <w:r w:rsidRPr="00292CD7">
        <w:rPr>
          <w:bCs/>
          <w:szCs w:val="24"/>
        </w:rPr>
        <w:t>Projekto 6 ir 7 punktais Reglamentas pildomas naujais 10</w:t>
      </w:r>
      <w:r w:rsidRPr="00292CD7">
        <w:rPr>
          <w:bCs/>
          <w:szCs w:val="24"/>
          <w:vertAlign w:val="superscript"/>
        </w:rPr>
        <w:t>1</w:t>
      </w:r>
      <w:r w:rsidRPr="00292CD7">
        <w:rPr>
          <w:bCs/>
          <w:szCs w:val="24"/>
        </w:rPr>
        <w:t xml:space="preserve"> ir 10</w:t>
      </w:r>
      <w:r w:rsidRPr="00292CD7">
        <w:rPr>
          <w:bCs/>
          <w:szCs w:val="24"/>
          <w:vertAlign w:val="superscript"/>
        </w:rPr>
        <w:t xml:space="preserve">2 </w:t>
      </w:r>
      <w:r w:rsidRPr="00292CD7">
        <w:rPr>
          <w:bCs/>
          <w:szCs w:val="24"/>
        </w:rPr>
        <w:t xml:space="preserve">punktais, reglamentuojančiais Ministro Pirmininko strateginių projektų portfelio ir Ministerijų, Vyriausybės įstaigų, Vyriausybės kanceliarijos ir kitų Vyriausybei atskaitingų institucijų projektų portfelių sudarymą, tvirtinimą ir valdymą. Pažymėtina, kad šias nuostatas siūloma įrašyti Reglamento </w:t>
      </w:r>
      <w:r w:rsidRPr="00292CD7">
        <w:rPr>
          <w:bCs/>
          <w:szCs w:val="24"/>
        </w:rPr>
        <w:br/>
        <w:t>II skyriuje, kuris reglamentuoja Vyriausybės komitetų, komisijų ar darbo grupių darbo organizavimo tvarką, taigi siūlomos įrašyti nuostatos nėra šio skyriaus reguliavimo dalykas. Be to, atkreiptinas dėmesys, kad 10</w:t>
      </w:r>
      <w:r w:rsidRPr="00292CD7">
        <w:rPr>
          <w:bCs/>
          <w:szCs w:val="24"/>
          <w:vertAlign w:val="superscript"/>
        </w:rPr>
        <w:t>1</w:t>
      </w:r>
      <w:r w:rsidRPr="00292CD7">
        <w:rPr>
          <w:bCs/>
          <w:szCs w:val="24"/>
        </w:rPr>
        <w:t xml:space="preserve"> punkte siūlomos nustatyti Vyriausybės Strateginių projektų portfelio komisijos užduotys neatitinka </w:t>
      </w:r>
      <w:hyperlink r:id="rId7" w:history="1">
        <w:r w:rsidRPr="00292CD7">
          <w:rPr>
            <w:rStyle w:val="Hipersaitas"/>
            <w:bCs/>
            <w:color w:val="000000" w:themeColor="text1"/>
            <w:szCs w:val="24"/>
            <w:u w:val="none"/>
          </w:rPr>
          <w:t xml:space="preserve">Lietuvos Respublikos Vyriausybės 2017 m. rugpjūčio 23 d. nutarimu Nr. 696 „Dėl Lietuvos Respublikos Vyriausybės strateginių projektų portfelio komisijos sudarymo“ šiai komisijai nustatytų užduočių. </w:t>
        </w:r>
      </w:hyperlink>
      <w:r w:rsidRPr="00292CD7">
        <w:rPr>
          <w:bCs/>
          <w:szCs w:val="24"/>
        </w:rPr>
        <w:t>Atsižvelgdami į tai, siūlome tikslinti Strateginių projektų portfelio komisijos funkcijas suderinant jas su Lietuvos Respublikos Vyriausybės 2017 m. rugpjūčio 23 d. nutarimo Nr. 696 nuostatomis arba svarstyti galimybę inicijuoti minimo nutarimo pakeitimą.</w:t>
      </w:r>
    </w:p>
    <w:p w14:paraId="1C9E6F5D" w14:textId="77777777" w:rsidR="00A36E5D" w:rsidRPr="00292CD7" w:rsidRDefault="00A36E5D" w:rsidP="00A36E5D">
      <w:pPr>
        <w:tabs>
          <w:tab w:val="left" w:pos="1134"/>
        </w:tabs>
        <w:spacing w:line="320" w:lineRule="atLeast"/>
        <w:ind w:firstLine="851"/>
        <w:jc w:val="both"/>
        <w:rPr>
          <w:bCs/>
          <w:szCs w:val="24"/>
        </w:rPr>
      </w:pPr>
      <w:r w:rsidRPr="00292CD7">
        <w:rPr>
          <w:bCs/>
          <w:szCs w:val="24"/>
        </w:rPr>
        <w:t xml:space="preserve">3. Projekto 8 punktu Reglamento 11 punktas pildomas nauja pastraipa, nustatančia pareigą planuoti teisės aktų pateikimo Vyriausybei terminus atsižvelgiant į Vyriausybės </w:t>
      </w:r>
      <w:r>
        <w:rPr>
          <w:bCs/>
          <w:szCs w:val="24"/>
        </w:rPr>
        <w:t>pa</w:t>
      </w:r>
      <w:r w:rsidRPr="00292CD7">
        <w:rPr>
          <w:bCs/>
          <w:szCs w:val="24"/>
        </w:rPr>
        <w:t xml:space="preserve">siūlymuose dėl atitinkamos Seimo sesijos darbų programos nustatytus terminus. Mūsų nuomone, siūlomos nuostatos dėl teisės aktų projektų rengimo proceso planavimo yra deklaratyvios. Vien tik šių siūlomų nuostatų priėmimas savaime neužtikrins planavimo proceso pagerėjimo ir savalaikio įstatymų projektų pateikimo Seimui. Pažymėtina ir tai, kad dalis problemų, sudarančių kliūtis institucijai, rengiančiai teisės akto projektą, užtikrinti savalaikį projekto pateikimą, nepriklauso nuo šios institucijos (pvz., suinteresuotos institucijos vėluoja pateikti išvadas) – tai yra sisteminės problemos, sąlygotos šiuo metu teisės aktuose įtvirtinto teisėkūros mechanizmo. Todėl siūlomų nuostatų įrašymas nesukuria jokios pridėtinės vertės ir yra netikslingas.  </w:t>
      </w:r>
    </w:p>
    <w:p w14:paraId="0522F391" w14:textId="77777777" w:rsidR="00A36E5D" w:rsidRPr="00292CD7" w:rsidRDefault="00A36E5D" w:rsidP="00A36E5D">
      <w:pPr>
        <w:tabs>
          <w:tab w:val="left" w:pos="1134"/>
        </w:tabs>
        <w:spacing w:line="320" w:lineRule="atLeast"/>
        <w:ind w:firstLine="851"/>
        <w:jc w:val="both"/>
        <w:rPr>
          <w:bCs/>
          <w:szCs w:val="24"/>
        </w:rPr>
      </w:pPr>
      <w:r w:rsidRPr="00292CD7">
        <w:rPr>
          <w:bCs/>
          <w:szCs w:val="24"/>
        </w:rPr>
        <w:t>Be to, atkreiptinas dėmesys, kad Reglamento 11 punktas nustato subjektus, kurie turi teisę Vyriausybei teikti įstatymų, Vyriausybės nutarimų ir kitų teisės aktų projektus, o nuostatos, kurių turi laikytis teisės aktų projektus rengiančios institucijos (įskaitant nustatytų terminų laikymąsi)</w:t>
      </w:r>
      <w:r>
        <w:rPr>
          <w:bCs/>
          <w:szCs w:val="24"/>
        </w:rPr>
        <w:t>,</w:t>
      </w:r>
      <w:r w:rsidRPr="00292CD7">
        <w:rPr>
          <w:bCs/>
          <w:szCs w:val="24"/>
        </w:rPr>
        <w:t xml:space="preserve"> dėstomos Reglamento 17 punkte. Todėl tuo atveju, jeigu siūlomą nuostatą vis dėlto būtų nuspręsta palikti, laikantis nuoseklumo ji turėtų būti perkelta į 17 punktą.  </w:t>
      </w:r>
    </w:p>
    <w:p w14:paraId="28E6BEAB" w14:textId="77777777" w:rsidR="00A36E5D" w:rsidRPr="00292CD7" w:rsidRDefault="00A36E5D" w:rsidP="00A36E5D">
      <w:pPr>
        <w:tabs>
          <w:tab w:val="left" w:pos="1134"/>
        </w:tabs>
        <w:spacing w:line="320" w:lineRule="atLeast"/>
        <w:ind w:firstLine="851"/>
        <w:jc w:val="both"/>
        <w:rPr>
          <w:bCs/>
          <w:szCs w:val="24"/>
        </w:rPr>
      </w:pPr>
      <w:r w:rsidRPr="00292CD7">
        <w:rPr>
          <w:bCs/>
          <w:szCs w:val="24"/>
        </w:rPr>
        <w:t>4. Projekto 9 punkte Reglamentas pildomas nauju 12</w:t>
      </w:r>
      <w:r w:rsidRPr="00292CD7">
        <w:rPr>
          <w:bCs/>
          <w:szCs w:val="24"/>
          <w:vertAlign w:val="superscript"/>
        </w:rPr>
        <w:t>1</w:t>
      </w:r>
      <w:r w:rsidRPr="00292CD7">
        <w:rPr>
          <w:bCs/>
          <w:szCs w:val="24"/>
        </w:rPr>
        <w:t xml:space="preserve"> punktu, reglamentuojančiu konsultavimąsi su visuomene. Pagal šį punktą konsultavimasis su visuomene turėtų vykti</w:t>
      </w:r>
      <w:r w:rsidRPr="00292CD7">
        <w:rPr>
          <w:b/>
          <w:bCs/>
          <w:lang w:eastAsia="lt-LT"/>
        </w:rPr>
        <w:t xml:space="preserve"> </w:t>
      </w:r>
      <w:r w:rsidRPr="00292CD7">
        <w:rPr>
          <w:bCs/>
          <w:szCs w:val="24"/>
        </w:rPr>
        <w:t>teisėkūros iniciatyvos pareiškimo ir teisės akto projekto rengimo stadijose paskelbiant apie tai portalo „Mano vyriausybė“ interneto svetainėje „E.</w:t>
      </w:r>
      <w:r>
        <w:rPr>
          <w:bCs/>
          <w:szCs w:val="24"/>
        </w:rPr>
        <w:t> </w:t>
      </w:r>
      <w:r w:rsidRPr="00292CD7">
        <w:rPr>
          <w:bCs/>
          <w:szCs w:val="24"/>
        </w:rPr>
        <w:t>pilietis“. Pažymėtina, kad savo esme konsultavimasis su suinteresuotais asmenim</w:t>
      </w:r>
      <w:r>
        <w:rPr>
          <w:bCs/>
          <w:szCs w:val="24"/>
        </w:rPr>
        <w:t>i</w:t>
      </w:r>
      <w:r w:rsidRPr="00292CD7">
        <w:rPr>
          <w:bCs/>
          <w:szCs w:val="24"/>
        </w:rPr>
        <w:t xml:space="preserve">s ir tarpinstitucinis derinimas iš esmės yra tapatūs, nes jų metu siekiama tinkamai įvertinti ir išspręsti su suinteresuotų subjektų kompetencija ar teisėtais interesais susijusius klausimus, </w:t>
      </w:r>
      <w:r>
        <w:rPr>
          <w:bCs/>
          <w:szCs w:val="24"/>
        </w:rPr>
        <w:t xml:space="preserve">taip pat </w:t>
      </w:r>
      <w:r w:rsidRPr="00292CD7">
        <w:rPr>
          <w:bCs/>
          <w:szCs w:val="24"/>
        </w:rPr>
        <w:t>užtikrinti, kad teisinis reguliavimas būtų darnus, tvarus, neprieštaringas ir pagrįstas. Kadangi šiais procesais siekiami teisėkūros tikslai sutampa, efektyviausia būtų jų rezultatus gauti vienu metu. Vienu metu gavus tiek iš suinteresuotų institucijų, tiek iš kitų suinteresuotų subjektų</w:t>
      </w:r>
      <w:r>
        <w:rPr>
          <w:bCs/>
          <w:szCs w:val="24"/>
        </w:rPr>
        <w:t xml:space="preserve"> pasiūlymus,</w:t>
      </w:r>
      <w:r w:rsidRPr="00292CD7">
        <w:rPr>
          <w:bCs/>
          <w:szCs w:val="24"/>
        </w:rPr>
        <w:t xml:space="preserve"> galima sistemiškai ir kompleksiškai įvertinti parengtu projektu sprendžiamas problemas </w:t>
      </w:r>
      <w:r>
        <w:rPr>
          <w:bCs/>
          <w:szCs w:val="24"/>
        </w:rPr>
        <w:t>bei</w:t>
      </w:r>
      <w:r w:rsidRPr="00292CD7">
        <w:rPr>
          <w:bCs/>
          <w:szCs w:val="24"/>
        </w:rPr>
        <w:t xml:space="preserve"> siūlomas priemones j</w:t>
      </w:r>
      <w:r>
        <w:rPr>
          <w:bCs/>
          <w:szCs w:val="24"/>
        </w:rPr>
        <w:t>oms</w:t>
      </w:r>
      <w:r w:rsidRPr="00292CD7">
        <w:rPr>
          <w:bCs/>
          <w:szCs w:val="24"/>
        </w:rPr>
        <w:t xml:space="preserve"> spr</w:t>
      </w:r>
      <w:r>
        <w:rPr>
          <w:bCs/>
          <w:szCs w:val="24"/>
        </w:rPr>
        <w:t>ęsti</w:t>
      </w:r>
      <w:r w:rsidRPr="00292CD7">
        <w:rPr>
          <w:bCs/>
          <w:szCs w:val="24"/>
        </w:rPr>
        <w:t xml:space="preserve"> ir priimti geriausią sprendimą dėl projekto tobulinimo. Siūlomas konsultavimosi su suinteresuotais asmenim</w:t>
      </w:r>
      <w:r>
        <w:rPr>
          <w:bCs/>
          <w:szCs w:val="24"/>
        </w:rPr>
        <w:t>i</w:t>
      </w:r>
      <w:r w:rsidRPr="00292CD7">
        <w:rPr>
          <w:bCs/>
          <w:szCs w:val="24"/>
        </w:rPr>
        <w:t xml:space="preserve">s modelis (išskiriant jį į atskirą etapą) iš esmės yra teisėkūros proceso fragmentavimas. </w:t>
      </w:r>
    </w:p>
    <w:p w14:paraId="372D7A6B" w14:textId="77777777" w:rsidR="00A36E5D" w:rsidRPr="00292CD7" w:rsidRDefault="00A36E5D" w:rsidP="00A36E5D">
      <w:pPr>
        <w:tabs>
          <w:tab w:val="left" w:pos="1134"/>
        </w:tabs>
        <w:spacing w:line="320" w:lineRule="atLeast"/>
        <w:ind w:firstLine="851"/>
        <w:jc w:val="both"/>
        <w:rPr>
          <w:bCs/>
          <w:szCs w:val="24"/>
        </w:rPr>
      </w:pPr>
      <w:r w:rsidRPr="00292CD7">
        <w:rPr>
          <w:bCs/>
          <w:szCs w:val="24"/>
        </w:rPr>
        <w:t xml:space="preserve">Pažymėtina, kad pagal Teisėkūros pagrindų įstatymą teisėkūros atvirumui, skaidrumui, koncentruotumui užtikrinti naudojama Lietuvos Respublikos Seimo kanceliarijos teisės aktų informacinė sistema (toliau – TAIS), kurioje tvarkoma ir skelbiama </w:t>
      </w:r>
      <w:proofErr w:type="spellStart"/>
      <w:r w:rsidRPr="00292CD7">
        <w:rPr>
          <w:bCs/>
          <w:i/>
          <w:szCs w:val="24"/>
        </w:rPr>
        <w:t>inter</w:t>
      </w:r>
      <w:proofErr w:type="spellEnd"/>
      <w:r w:rsidRPr="00292CD7">
        <w:rPr>
          <w:bCs/>
          <w:i/>
          <w:szCs w:val="24"/>
        </w:rPr>
        <w:t xml:space="preserve"> alia</w:t>
      </w:r>
      <w:r w:rsidRPr="00292CD7">
        <w:rPr>
          <w:bCs/>
          <w:szCs w:val="24"/>
        </w:rPr>
        <w:t xml:space="preserve"> informacija apie </w:t>
      </w:r>
      <w:r w:rsidRPr="00292CD7">
        <w:rPr>
          <w:bCs/>
          <w:szCs w:val="24"/>
        </w:rPr>
        <w:lastRenderedPageBreak/>
        <w:t xml:space="preserve">konsultavimąsi su visuomene, įskaitant konsultavimosi laiką, būdą, rezultatus. Kadangi Projekto </w:t>
      </w:r>
      <w:r w:rsidRPr="00292CD7">
        <w:rPr>
          <w:bCs/>
          <w:szCs w:val="24"/>
        </w:rPr>
        <w:br/>
        <w:t xml:space="preserve">9 punkte siūloma nustatyti naują konsultavimosi su visuomene būdą, siūlomas reguliavimas konkuruoja su Teisėkūros įstatyme nustatytu reguliavimu. Tokio reguliavimo poreikis nėra tinkamai pagrįstas (neargumentuojama duomenimis, nenurodomi įgyvendinimo kaštai ir nauda, nepateikiami jokie kiekybiniai ir (ar) kokybiniai vertinimai, nėra aišku, ar siūlomas nustatyti konsultavimosi būdas būtų taikomas kaip </w:t>
      </w:r>
      <w:r w:rsidRPr="00292CD7">
        <w:rPr>
          <w:bCs/>
          <w:i/>
          <w:szCs w:val="24"/>
        </w:rPr>
        <w:t xml:space="preserve">papildoma </w:t>
      </w:r>
      <w:r w:rsidRPr="00292CD7">
        <w:rPr>
          <w:bCs/>
          <w:szCs w:val="24"/>
        </w:rPr>
        <w:t>priemonė konsultavimosi su visuomene efektyvumui užtikrinti</w:t>
      </w:r>
      <w:r>
        <w:rPr>
          <w:bCs/>
          <w:szCs w:val="24"/>
        </w:rPr>
        <w:t>,</w:t>
      </w:r>
      <w:r w:rsidRPr="009B03F1">
        <w:rPr>
          <w:bCs/>
          <w:szCs w:val="24"/>
        </w:rPr>
        <w:t xml:space="preserve"> ar abu šie </w:t>
      </w:r>
      <w:r w:rsidRPr="00292CD7">
        <w:rPr>
          <w:bCs/>
          <w:szCs w:val="24"/>
        </w:rPr>
        <w:t>būdai būtų taikomi alternatyviai ir kt.).</w:t>
      </w:r>
    </w:p>
    <w:p w14:paraId="66BE1B9B" w14:textId="77777777" w:rsidR="00A36E5D" w:rsidRPr="00292CD7" w:rsidRDefault="00A36E5D" w:rsidP="00A36E5D">
      <w:pPr>
        <w:tabs>
          <w:tab w:val="left" w:pos="1134"/>
        </w:tabs>
        <w:spacing w:line="320" w:lineRule="atLeast"/>
        <w:jc w:val="both"/>
        <w:rPr>
          <w:bCs/>
          <w:szCs w:val="24"/>
        </w:rPr>
      </w:pPr>
      <w:r w:rsidRPr="00292CD7">
        <w:rPr>
          <w:bCs/>
          <w:szCs w:val="24"/>
        </w:rPr>
        <w:tab/>
        <w:t>Mūsų nuomone</w:t>
      </w:r>
      <w:r>
        <w:rPr>
          <w:bCs/>
          <w:szCs w:val="24"/>
        </w:rPr>
        <w:t>,</w:t>
      </w:r>
      <w:r w:rsidRPr="009B03F1">
        <w:rPr>
          <w:bCs/>
          <w:szCs w:val="24"/>
        </w:rPr>
        <w:t xml:space="preserve"> TAIS, kaip priemonė suinteresuotoms šalims įsitraukti į teisėkūros procesą, turi visus esminius reikalingus techninius </w:t>
      </w:r>
      <w:r w:rsidRPr="00292CD7">
        <w:rPr>
          <w:bCs/>
          <w:szCs w:val="24"/>
        </w:rPr>
        <w:t>funkcionalumus, taip pat atitinka Teisėkūros pagrindų įstatymo 7 straipsnyje nustatytus reikalavimus. Praktinės problemos, susijusios su galimai nepatenkinamu TAIS naudojimu suinteresuotoms šalims įtraukti į teisėkūros procesą, mūsų vertinimu</w:t>
      </w:r>
      <w:r>
        <w:rPr>
          <w:bCs/>
          <w:szCs w:val="24"/>
        </w:rPr>
        <w:t>,</w:t>
      </w:r>
      <w:r w:rsidRPr="009B03F1">
        <w:rPr>
          <w:bCs/>
          <w:szCs w:val="24"/>
        </w:rPr>
        <w:t xml:space="preserve"> susijusios su kitais aspektais – visų pirma su šios priemonės viešinimo aspektais – keltinas klausimas, ar suinteresuotos šalys turi pakankamai informacijos apie galimybes TAIS priemonėmis įsitraukti į teisėkūros procesą. </w:t>
      </w:r>
      <w:r>
        <w:rPr>
          <w:bCs/>
          <w:szCs w:val="24"/>
        </w:rPr>
        <w:t>Kartu</w:t>
      </w:r>
      <w:r w:rsidRPr="009B03F1">
        <w:rPr>
          <w:bCs/>
          <w:szCs w:val="24"/>
        </w:rPr>
        <w:t xml:space="preserve"> spręstinas ir klausimas dėl TAIS funkcionalumų tobulinimo, didinant TAIS interaktyvumą ir naudojimo patogumą.</w:t>
      </w:r>
    </w:p>
    <w:p w14:paraId="2636071D" w14:textId="77777777" w:rsidR="00A36E5D" w:rsidRPr="00292CD7" w:rsidRDefault="00A36E5D" w:rsidP="00A36E5D">
      <w:pPr>
        <w:tabs>
          <w:tab w:val="left" w:pos="1134"/>
        </w:tabs>
        <w:spacing w:line="320" w:lineRule="atLeast"/>
        <w:jc w:val="both"/>
        <w:rPr>
          <w:bCs/>
          <w:szCs w:val="24"/>
        </w:rPr>
      </w:pPr>
      <w:r w:rsidRPr="00292CD7">
        <w:rPr>
          <w:bCs/>
          <w:szCs w:val="24"/>
        </w:rPr>
        <w:tab/>
      </w:r>
      <w:r>
        <w:rPr>
          <w:bCs/>
          <w:szCs w:val="24"/>
        </w:rPr>
        <w:t>L</w:t>
      </w:r>
      <w:r w:rsidRPr="009B03F1">
        <w:rPr>
          <w:bCs/>
          <w:szCs w:val="24"/>
        </w:rPr>
        <w:t>ydraštyje nurodomos problemos dėl nepakankamo suinteresuotų šalių įtraukimo į teisėkūros procesą turėtų būti sprendžiamos visų pirma tobulinant esamą mechanizmą ir fu</w:t>
      </w:r>
      <w:r w:rsidRPr="00292CD7">
        <w:rPr>
          <w:bCs/>
          <w:szCs w:val="24"/>
        </w:rPr>
        <w:t>nkcionalumus, užuot kūrus naujus teisėkūros proceso etapus, kurių pagrįstumas, kaip minėta, nėra tinkamai argumentuotas ir kurios kuria fragmentacijos riziką. Užtikrinus tinkamą TAIS naudojimo viešinimą ir patobulinus TAIS funkcionalumus</w:t>
      </w:r>
      <w:r>
        <w:rPr>
          <w:bCs/>
          <w:szCs w:val="24"/>
        </w:rPr>
        <w:t>,</w:t>
      </w:r>
      <w:r w:rsidRPr="009B03F1">
        <w:rPr>
          <w:bCs/>
          <w:szCs w:val="24"/>
        </w:rPr>
        <w:t xml:space="preserve"> būtų išspręstos ne tik suinteresuotų šalių įtraukimo į teisėkūros procesą </w:t>
      </w:r>
      <w:r w:rsidRPr="00292CD7">
        <w:rPr>
          <w:bCs/>
          <w:szCs w:val="24"/>
        </w:rPr>
        <w:t>problemos, bet ir būtų teigiamai prisidėta prie visos teisėkūros kokybės.</w:t>
      </w:r>
    </w:p>
    <w:p w14:paraId="01BBBC67" w14:textId="77777777" w:rsidR="00A36E5D" w:rsidRPr="00292CD7" w:rsidRDefault="00A36E5D" w:rsidP="00A36E5D">
      <w:pPr>
        <w:tabs>
          <w:tab w:val="left" w:pos="1134"/>
        </w:tabs>
        <w:spacing w:line="320" w:lineRule="atLeast"/>
        <w:ind w:firstLine="851"/>
        <w:jc w:val="both"/>
        <w:rPr>
          <w:bCs/>
          <w:szCs w:val="24"/>
        </w:rPr>
      </w:pPr>
      <w:r w:rsidRPr="00292CD7">
        <w:rPr>
          <w:szCs w:val="24"/>
        </w:rPr>
        <w:t xml:space="preserve">5. </w:t>
      </w:r>
      <w:r w:rsidRPr="00292CD7">
        <w:rPr>
          <w:bCs/>
          <w:szCs w:val="24"/>
        </w:rPr>
        <w:t>Projekto 13 punkte Reglamento 18 punktas pildomas nuostata, kad paprastai teisės aktų projektai derinti suinteresuotoms institucijoms turi būti pateikti likus ne mažiau kaip 2 mėnesiams iki planuojamos pateikimo Vyriausybei dienos. Pa</w:t>
      </w:r>
      <w:r>
        <w:rPr>
          <w:bCs/>
          <w:szCs w:val="24"/>
        </w:rPr>
        <w:t>žym</w:t>
      </w:r>
      <w:r w:rsidRPr="009B03F1">
        <w:rPr>
          <w:bCs/>
          <w:szCs w:val="24"/>
        </w:rPr>
        <w:t>ėtina, kad šioje nuostat</w:t>
      </w:r>
      <w:r w:rsidRPr="00292CD7">
        <w:rPr>
          <w:bCs/>
          <w:szCs w:val="24"/>
        </w:rPr>
        <w:t>oje stokojama aiškumo, kur (kokiame planavimo dokumente ar pan.) ši pateikimo Vyriausybei diena turi būti užfiksuota, atitinkamai nežinia, kaip reikėtų užtikrinti</w:t>
      </w:r>
      <w:r>
        <w:rPr>
          <w:bCs/>
          <w:szCs w:val="24"/>
        </w:rPr>
        <w:t>,</w:t>
      </w:r>
      <w:r w:rsidRPr="009B03F1">
        <w:rPr>
          <w:bCs/>
          <w:szCs w:val="24"/>
        </w:rPr>
        <w:t xml:space="preserve"> kad institucijos</w:t>
      </w:r>
      <w:r w:rsidRPr="00292CD7">
        <w:rPr>
          <w:bCs/>
          <w:szCs w:val="24"/>
        </w:rPr>
        <w:t xml:space="preserve"> šio termino laikytųsi. Be to, kaip jau minėta šio rašto 3 pastaboje, siūlomos nuostatos dėl teisės aktų projektų derinimo proceso planavimo yra deklaratyvios. Vien tik šių siūlomų nuostatų priėmimas savaime neužtikrins planavimo proceso pagerėjimo ir savalaikio teisės aktų projektų pateikimo Vyriausybei. Pažymėtina, kad jau šiuo metu Reglamento 127 punktas nustato, kad Vyriausybės nutarimų, kaip įgyvendinamųjų teisės aktų, projektai Vyriausybei turi būti pateikti likus ne mažiau kaip 2 mėnesiams iki jų numatomo įsigaliojimo. Papildomi terminai, nustatantys, kada turi būti pradėtas derinimo su institucijomis procesas, siekiant užtikrinti savalaikį jų pateikimą Vyriausybei, tik papildomai formalizuotų teisėkūros procesą, tačiau</w:t>
      </w:r>
      <w:r>
        <w:rPr>
          <w:bCs/>
          <w:szCs w:val="24"/>
        </w:rPr>
        <w:t>,</w:t>
      </w:r>
      <w:r w:rsidRPr="009B03F1">
        <w:rPr>
          <w:bCs/>
          <w:szCs w:val="24"/>
        </w:rPr>
        <w:t xml:space="preserve"> siekiant užtikrinti siūlomomis</w:t>
      </w:r>
      <w:r w:rsidRPr="009B03F1">
        <w:rPr>
          <w:rFonts w:eastAsiaTheme="minorHAnsi"/>
          <w:szCs w:val="22"/>
        </w:rPr>
        <w:t xml:space="preserve"> </w:t>
      </w:r>
      <w:r w:rsidRPr="009B03F1">
        <w:rPr>
          <w:bCs/>
          <w:szCs w:val="24"/>
        </w:rPr>
        <w:t xml:space="preserve">nuostatomis siekiamų tikslų realizavimą, turi būti keičiama esamų keičiamo </w:t>
      </w:r>
      <w:r w:rsidRPr="00292CD7">
        <w:rPr>
          <w:bCs/>
          <w:szCs w:val="24"/>
        </w:rPr>
        <w:t xml:space="preserve">Reglamento nuostatų dėl teisės aktų projektų derinimo taikymo praktika. </w:t>
      </w:r>
    </w:p>
    <w:p w14:paraId="1A377F3B" w14:textId="77777777" w:rsidR="00A36E5D" w:rsidRPr="009B03F1" w:rsidRDefault="00A36E5D" w:rsidP="00A36E5D">
      <w:pPr>
        <w:tabs>
          <w:tab w:val="left" w:pos="1134"/>
        </w:tabs>
        <w:spacing w:line="320" w:lineRule="atLeast"/>
        <w:ind w:firstLine="851"/>
        <w:jc w:val="both"/>
        <w:rPr>
          <w:bCs/>
          <w:szCs w:val="24"/>
        </w:rPr>
      </w:pPr>
      <w:r w:rsidRPr="00292CD7">
        <w:rPr>
          <w:bCs/>
          <w:szCs w:val="24"/>
        </w:rPr>
        <w:t>Pavyzdžiui, keičiamo Reglamento 30 punktas nustato, kad jeigu išvadas teikiantis subjektas nustatytu laiku išvadų nepateikia, laikoma, kad jis teisės akto projektui pritaria. Praktikoje ši nuostata neveikia – neretai gaunamos pastab</w:t>
      </w:r>
      <w:r>
        <w:rPr>
          <w:bCs/>
          <w:szCs w:val="24"/>
        </w:rPr>
        <w:t>o</w:t>
      </w:r>
      <w:r w:rsidRPr="00292CD7">
        <w:rPr>
          <w:bCs/>
          <w:szCs w:val="24"/>
        </w:rPr>
        <w:t xml:space="preserve">s, pateikiamos praleidus nustatytus terminus. Praktikoje taip pat pasitaiko, kad institucijos pastabų nepateikia derinimo metu, tačiau jas teikia projektų svarstymo Vyriausybės kanceliarijoje organizuojamų tarpinstitucinių pasitarimų metu – šiuo aspektu </w:t>
      </w:r>
      <w:r>
        <w:rPr>
          <w:bCs/>
          <w:szCs w:val="24"/>
        </w:rPr>
        <w:t xml:space="preserve">nėra </w:t>
      </w:r>
      <w:r w:rsidRPr="009B03F1">
        <w:rPr>
          <w:bCs/>
          <w:szCs w:val="24"/>
        </w:rPr>
        <w:t>laikoma</w:t>
      </w:r>
      <w:r>
        <w:rPr>
          <w:bCs/>
          <w:szCs w:val="24"/>
        </w:rPr>
        <w:t>si</w:t>
      </w:r>
      <w:r w:rsidRPr="009B03F1">
        <w:rPr>
          <w:bCs/>
          <w:szCs w:val="24"/>
        </w:rPr>
        <w:t xml:space="preserve"> keičiamo reglamento 30 punkto nuostatos. Tokia ydinga praktika ypač apsunkina ir užvilkina teisėkūros procesą, taip pat neleidžia jo planuoti (nes nėra galimybių prognozuoti projekto eigos nežinant</w:t>
      </w:r>
      <w:r>
        <w:rPr>
          <w:bCs/>
          <w:szCs w:val="24"/>
        </w:rPr>
        <w:t>,</w:t>
      </w:r>
      <w:r w:rsidRPr="009B03F1">
        <w:rPr>
          <w:bCs/>
          <w:szCs w:val="24"/>
        </w:rPr>
        <w:t xml:space="preserve"> ar pastabos bus pateiktos) ir savo ruožtu sudaro kliū</w:t>
      </w:r>
      <w:r>
        <w:rPr>
          <w:bCs/>
          <w:szCs w:val="24"/>
        </w:rPr>
        <w:t>čių</w:t>
      </w:r>
      <w:r w:rsidRPr="009B03F1">
        <w:rPr>
          <w:bCs/>
          <w:szCs w:val="24"/>
        </w:rPr>
        <w:t xml:space="preserve"> projektus pateikti laiku.</w:t>
      </w:r>
      <w:r w:rsidRPr="009B03F1">
        <w:rPr>
          <w:rFonts w:eastAsiaTheme="minorHAnsi"/>
          <w:color w:val="000000"/>
          <w:szCs w:val="22"/>
        </w:rPr>
        <w:t xml:space="preserve"> </w:t>
      </w:r>
      <w:r w:rsidRPr="00292CD7">
        <w:rPr>
          <w:bCs/>
          <w:szCs w:val="24"/>
        </w:rPr>
        <w:t xml:space="preserve">Praktikoje taip </w:t>
      </w:r>
      <w:r>
        <w:rPr>
          <w:bCs/>
          <w:szCs w:val="24"/>
        </w:rPr>
        <w:t xml:space="preserve">pat </w:t>
      </w:r>
      <w:r w:rsidRPr="00292CD7">
        <w:rPr>
          <w:bCs/>
          <w:szCs w:val="24"/>
        </w:rPr>
        <w:t xml:space="preserve">pasitaiko, kad subjektai (tiek suinteresuotos institucijos, tiek Vyriausybės </w:t>
      </w:r>
      <w:r w:rsidRPr="00292CD7">
        <w:rPr>
          <w:bCs/>
          <w:szCs w:val="24"/>
        </w:rPr>
        <w:lastRenderedPageBreak/>
        <w:t>kanceliarija), tarpinstitucinių pasitarimų metu pakartotinai vertindami projektus, teikia naujas pastabas dėl projektų nuostatų, kurios nesikeitė nuo pirminio vertinimo. Tai vertintina kaip ydinga ir nekonstruktyvi praktika, kuri vėlgi apsunkina ir vilkina teisėkūros procesą ir</w:t>
      </w:r>
      <w:r>
        <w:rPr>
          <w:bCs/>
          <w:szCs w:val="24"/>
        </w:rPr>
        <w:t>,</w:t>
      </w:r>
      <w:r w:rsidRPr="009B03F1">
        <w:rPr>
          <w:bCs/>
          <w:szCs w:val="24"/>
        </w:rPr>
        <w:t xml:space="preserve"> be kita ko</w:t>
      </w:r>
      <w:r>
        <w:rPr>
          <w:bCs/>
          <w:szCs w:val="24"/>
        </w:rPr>
        <w:t>,</w:t>
      </w:r>
      <w:r w:rsidRPr="009B03F1">
        <w:rPr>
          <w:bCs/>
          <w:szCs w:val="24"/>
        </w:rPr>
        <w:t xml:space="preserve"> sudaro kliū</w:t>
      </w:r>
      <w:r>
        <w:rPr>
          <w:bCs/>
          <w:szCs w:val="24"/>
        </w:rPr>
        <w:t>čių</w:t>
      </w:r>
      <w:r w:rsidRPr="009B03F1">
        <w:rPr>
          <w:bCs/>
          <w:szCs w:val="24"/>
        </w:rPr>
        <w:t xml:space="preserve"> projektus pateikti laiku.</w:t>
      </w:r>
    </w:p>
    <w:p w14:paraId="5E18BCAC" w14:textId="77777777" w:rsidR="00A36E5D" w:rsidRPr="00292CD7" w:rsidRDefault="00A36E5D" w:rsidP="00A36E5D">
      <w:pPr>
        <w:tabs>
          <w:tab w:val="left" w:pos="1134"/>
        </w:tabs>
        <w:spacing w:line="320" w:lineRule="atLeast"/>
        <w:ind w:firstLine="851"/>
        <w:jc w:val="both"/>
        <w:rPr>
          <w:bCs/>
          <w:szCs w:val="24"/>
        </w:rPr>
      </w:pPr>
      <w:r w:rsidRPr="009B03F1">
        <w:rPr>
          <w:bCs/>
          <w:szCs w:val="24"/>
        </w:rPr>
        <w:t>Viena iš priežasčių, mūsų nuomone, yra ta, kad 2017 m</w:t>
      </w:r>
      <w:r>
        <w:rPr>
          <w:bCs/>
          <w:szCs w:val="24"/>
        </w:rPr>
        <w:t>.</w:t>
      </w:r>
      <w:r w:rsidRPr="009B03F1">
        <w:rPr>
          <w:bCs/>
          <w:szCs w:val="24"/>
        </w:rPr>
        <w:t xml:space="preserve"> nuo 10 darbo dienų iki 7 darbo dienų sutrumpinus terminą, per kurį institucijos turi pateikti savo pastabas, institucijos paprasčiausiai nespėja </w:t>
      </w:r>
      <w:r w:rsidRPr="00292CD7">
        <w:rPr>
          <w:bCs/>
          <w:szCs w:val="24"/>
        </w:rPr>
        <w:t xml:space="preserve">laiku įvertinti teisės aktų projektų. Todėl svarstytina galimybė pratęsti keičiamo Reglamento 27 punkto pirmojoje pastraipoje nurodomus minimalius terminus iki buvusių 10 darbo dienų ir (arba) keičiamą Reglamentą papildyti nuostata, kad institucijos, derinimo metu nepateikusios pastabų, jų neteikia ir tarpinstituciniame pasitarime (ar pateiktos pastabos nėra vertinamos), išskyrus atvejus, jeigu po derinimo teisės akto projektas pasikeitė iš esmės ar buvo papildytas nuostatomis, kurių nebuvo derinimo metu. </w:t>
      </w:r>
    </w:p>
    <w:p w14:paraId="760AF2D7" w14:textId="77777777" w:rsidR="00A36E5D" w:rsidRPr="009B03F1" w:rsidRDefault="00A36E5D" w:rsidP="00A36E5D">
      <w:pPr>
        <w:tabs>
          <w:tab w:val="left" w:pos="1134"/>
        </w:tabs>
        <w:spacing w:line="320" w:lineRule="atLeast"/>
        <w:jc w:val="both"/>
        <w:rPr>
          <w:bCs/>
          <w:szCs w:val="24"/>
        </w:rPr>
      </w:pPr>
      <w:r>
        <w:rPr>
          <w:bCs/>
          <w:szCs w:val="24"/>
        </w:rPr>
        <w:tab/>
      </w:r>
      <w:r w:rsidRPr="00292CD7">
        <w:rPr>
          <w:bCs/>
          <w:szCs w:val="24"/>
        </w:rPr>
        <w:t>6. Projekto 15 punkte keičiamo Reglamento 21.2 papunktyje siūlome numatyti išlygą, kad</w:t>
      </w:r>
      <w:r>
        <w:rPr>
          <w:bCs/>
          <w:szCs w:val="24"/>
        </w:rPr>
        <w:t>,</w:t>
      </w:r>
      <w:r w:rsidRPr="009B03F1">
        <w:rPr>
          <w:bCs/>
          <w:szCs w:val="24"/>
        </w:rPr>
        <w:t xml:space="preserve"> rengiant įstatymo projektą, nurodoma informacija gali būti nurodoma ir aiškinamajame rašte, kaip nu</w:t>
      </w:r>
      <w:r>
        <w:rPr>
          <w:bCs/>
          <w:szCs w:val="24"/>
        </w:rPr>
        <w:t>statyta</w:t>
      </w:r>
      <w:r w:rsidRPr="009B03F1">
        <w:rPr>
          <w:bCs/>
          <w:szCs w:val="24"/>
        </w:rPr>
        <w:t xml:space="preserve"> Reglamento 12.6, 21.7 ar 21.9 papunkčiuose. Priešingu atveju b</w:t>
      </w:r>
      <w:r>
        <w:rPr>
          <w:bCs/>
          <w:szCs w:val="24"/>
        </w:rPr>
        <w:t>ūtų</w:t>
      </w:r>
      <w:r w:rsidRPr="009B03F1">
        <w:rPr>
          <w:bCs/>
          <w:szCs w:val="24"/>
        </w:rPr>
        <w:t xml:space="preserve"> sudarytos prielaidos informaciją dubliuoti tiek lydraštyje, tiek aiškinamajame rašte.</w:t>
      </w:r>
    </w:p>
    <w:p w14:paraId="1D131293" w14:textId="77777777" w:rsidR="00A36E5D" w:rsidRPr="00292CD7" w:rsidRDefault="00A36E5D" w:rsidP="00A36E5D">
      <w:pPr>
        <w:tabs>
          <w:tab w:val="left" w:pos="1134"/>
        </w:tabs>
        <w:spacing w:line="320" w:lineRule="atLeast"/>
        <w:jc w:val="both"/>
        <w:rPr>
          <w:bCs/>
          <w:szCs w:val="24"/>
        </w:rPr>
      </w:pPr>
      <w:r>
        <w:rPr>
          <w:bCs/>
          <w:szCs w:val="24"/>
        </w:rPr>
        <w:tab/>
      </w:r>
      <w:r w:rsidRPr="00292CD7">
        <w:rPr>
          <w:bCs/>
          <w:szCs w:val="24"/>
        </w:rPr>
        <w:t xml:space="preserve">7. Projekto 17 punkte Reglamento 27 punktas pildomas nuostata, kad visuomenei pateikti pastabas ir pasiūlymus dėl teisės aktų projektų turi būti numatomas ne trumpesnis kaip 10 darbo dienų terminas. Tokiu būdu nustatomi skirtingi terminai išvadoms pateikti visuomenei ir kitiems išvadas teikiantiems subjektams (Reglamento 27 punkto pirmoji pastraipa). Kadangi pagal dabartinį reguliavimą suinteresuotų institucijų išvadoms pateikti bendra tvarka nustatytas </w:t>
      </w:r>
      <w:r w:rsidRPr="00292CD7">
        <w:rPr>
          <w:bCs/>
          <w:szCs w:val="24"/>
        </w:rPr>
        <w:br/>
        <w:t>7 darbo dienų terminas (išskyrus didelės apimties projektus), pagal siūlomą reguliavimą teisės akto projektą derinanti institucija, gavusi suinteresuotų institucijų išvadas nustatytais terminais, privalės prieš pateikdama jį Vyriausybei sulaukti nustatyto termino visuomenei pateikti pastabas ir pasiūlymus pasibaigimo, taigi bendras teisės aktų projektų derinimo terminas pailgėja. Tačiau iš esmės nėra aišku, kodėl siūloma prailginti terminą pateikti pastabas ir pasiūlymus dėl teisės aktų projektų tik visuomenei, o kitiems išvadas teikiantiems subjektams terminai nėra keičiami. Atsižvelgdami į praktiką i</w:t>
      </w:r>
      <w:r>
        <w:rPr>
          <w:bCs/>
          <w:szCs w:val="24"/>
        </w:rPr>
        <w:t>r</w:t>
      </w:r>
      <w:r w:rsidRPr="009B03F1">
        <w:rPr>
          <w:bCs/>
          <w:szCs w:val="24"/>
        </w:rPr>
        <w:t xml:space="preserve"> atkreipdami dėmesį į tai, kad ministerijos turi pateikti kartu su ministerijai pavaldžiomis įstaigomis apibendrintas išvadas dėl teisės aktų projektų, manome, kad Reglamento 27 punkto pirmojoje pastraipoje nustatyti te</w:t>
      </w:r>
      <w:r w:rsidRPr="00292CD7">
        <w:rPr>
          <w:bCs/>
          <w:szCs w:val="24"/>
        </w:rPr>
        <w:t xml:space="preserve">rminai yra per trumpi. Siūlytina atitinkamai pakeisti terminus ir kitiems išvadas teikiantiems subjektams.  </w:t>
      </w:r>
    </w:p>
    <w:p w14:paraId="7FBC5D9A" w14:textId="77777777" w:rsidR="00A36E5D" w:rsidRDefault="00A36E5D" w:rsidP="00A36E5D">
      <w:pPr>
        <w:tabs>
          <w:tab w:val="left" w:pos="1134"/>
        </w:tabs>
        <w:spacing w:line="320" w:lineRule="atLeast"/>
        <w:ind w:firstLine="851"/>
        <w:jc w:val="both"/>
        <w:rPr>
          <w:bCs/>
          <w:szCs w:val="24"/>
        </w:rPr>
      </w:pPr>
      <w:r>
        <w:rPr>
          <w:bCs/>
          <w:szCs w:val="24"/>
        </w:rPr>
        <w:t>8</w:t>
      </w:r>
      <w:r w:rsidRPr="00292CD7">
        <w:rPr>
          <w:bCs/>
          <w:szCs w:val="24"/>
        </w:rPr>
        <w:t xml:space="preserve">. Atkreipiame dėmesį, kad Projekto 40 punkte keičiamo Reglamento 72 punkte nėra sureguliuoti praktikoje gana dažnai pasitaikantys atvejai, kai Vyriausybės posėdžio darbotvarkė keičiama ministrui prieš pradedant svarstyti darbotvarkės klausimus kreipiantis į Ministrą Pirmininką su pasiūlymu išimti iš darbotvarkės į ją įtrauktą klausimą. Nėra aišku, ar tokiu atveju Ministras Pirmininkas turi pritarti ministro pasiūlymui ir ar tokiu atveju dėl to taip pat turi būti balsuojama. Kadangi Vyriausybė yra viešosios teisės subjektas, o viešosios teisės subjektams galioja principas, kad jie gali veikti tik nustatyto teisinio reguliavimo apimtyje, siūlytume nurodytą situaciją sureglamentuoti analogiškai, kaip dabar numatyta Reglamento 72 punkte papildomų klausimų įtraukimo atveju. </w:t>
      </w:r>
    </w:p>
    <w:p w14:paraId="785FD2BB" w14:textId="77777777" w:rsidR="00A36E5D" w:rsidRPr="00292CD7" w:rsidRDefault="00A36E5D" w:rsidP="00A36E5D">
      <w:pPr>
        <w:tabs>
          <w:tab w:val="left" w:pos="1134"/>
        </w:tabs>
        <w:spacing w:line="320" w:lineRule="atLeast"/>
        <w:ind w:firstLine="851"/>
        <w:jc w:val="both"/>
        <w:rPr>
          <w:bCs/>
          <w:szCs w:val="24"/>
        </w:rPr>
      </w:pPr>
      <w:r>
        <w:rPr>
          <w:bCs/>
          <w:szCs w:val="24"/>
        </w:rPr>
        <w:t>9</w:t>
      </w:r>
      <w:r w:rsidRPr="009B03F1">
        <w:rPr>
          <w:bCs/>
          <w:szCs w:val="24"/>
        </w:rPr>
        <w:t>. Keičiamo Reglamento 93 punkto antrojoje pastraipoje siūloma nustatyti, kad</w:t>
      </w:r>
      <w:r>
        <w:rPr>
          <w:bCs/>
          <w:szCs w:val="24"/>
        </w:rPr>
        <w:t>,</w:t>
      </w:r>
      <w:r w:rsidRPr="009B03F1">
        <w:rPr>
          <w:bCs/>
          <w:szCs w:val="24"/>
        </w:rPr>
        <w:t xml:space="preserve"> prieš teikiant priimtą Vyriausybės n</w:t>
      </w:r>
      <w:r w:rsidRPr="00292CD7">
        <w:rPr>
          <w:bCs/>
          <w:szCs w:val="24"/>
        </w:rPr>
        <w:t>utarimą ministrui pasirašyti, nutarimas ir jo priedai turi būti vizuoti nutarimą rengusios institucijos kalbos redaktoriaus. Atkreiptinas dėmesys, kad ne visada po Vyriausybės posėdžio pri</w:t>
      </w:r>
      <w:r>
        <w:rPr>
          <w:bCs/>
          <w:szCs w:val="24"/>
        </w:rPr>
        <w:t>imtas</w:t>
      </w:r>
      <w:r w:rsidRPr="009B03F1">
        <w:rPr>
          <w:bCs/>
          <w:szCs w:val="24"/>
        </w:rPr>
        <w:t xml:space="preserve"> nutarimas būna redaguojamas, todėl siūlome įvertinti</w:t>
      </w:r>
      <w:r>
        <w:rPr>
          <w:bCs/>
          <w:szCs w:val="24"/>
        </w:rPr>
        <w:t>,</w:t>
      </w:r>
      <w:r w:rsidRPr="009B03F1">
        <w:rPr>
          <w:bCs/>
          <w:szCs w:val="24"/>
        </w:rPr>
        <w:t xml:space="preserve"> ar toks </w:t>
      </w:r>
      <w:r w:rsidRPr="009B03F1">
        <w:rPr>
          <w:bCs/>
          <w:szCs w:val="24"/>
        </w:rPr>
        <w:lastRenderedPageBreak/>
        <w:t xml:space="preserve">reikalavimas neturėtų būti nustatytas tik tuo atveju, jeigu po Vyriausybės posėdžio nutarimas buvo redaguotas. </w:t>
      </w:r>
    </w:p>
    <w:p w14:paraId="0F243E75" w14:textId="77777777" w:rsidR="00A36E5D" w:rsidRPr="00292CD7" w:rsidRDefault="00A36E5D" w:rsidP="00A36E5D">
      <w:pPr>
        <w:tabs>
          <w:tab w:val="left" w:pos="1134"/>
        </w:tabs>
        <w:spacing w:line="320" w:lineRule="atLeast"/>
        <w:jc w:val="both"/>
        <w:rPr>
          <w:bCs/>
          <w:szCs w:val="24"/>
        </w:rPr>
      </w:pPr>
      <w:r w:rsidRPr="00292CD7">
        <w:rPr>
          <w:bCs/>
          <w:szCs w:val="24"/>
        </w:rPr>
        <w:tab/>
        <w:t>Iš Reglamento nuostatų suprantama, kad nutarimą rengusios institucijos kalbos tvarkytojas jį turės vizuoti Dokumentų, informacijos ir veiklos procesų valdymo informacinės sistemos DIVIS Lietuvos Respublikos Vyriausybės dokumentų pasirašymo posistemyje ELPAS. Tačiau teikime nėra atskleista</w:t>
      </w:r>
      <w:r>
        <w:rPr>
          <w:bCs/>
          <w:szCs w:val="24"/>
        </w:rPr>
        <w:t>,</w:t>
      </w:r>
      <w:r w:rsidRPr="009B03F1">
        <w:rPr>
          <w:bCs/>
          <w:szCs w:val="24"/>
        </w:rPr>
        <w:t xml:space="preserve"> kaip praktiškai ši nuostata bus įgyvendinama, kokiu būdu kalbos tvarkytojai turės vizuoti projektu</w:t>
      </w:r>
      <w:r w:rsidRPr="00292CD7">
        <w:rPr>
          <w:bCs/>
          <w:szCs w:val="24"/>
        </w:rPr>
        <w:t>s ar šis procesas bus greitas ir aiškus, ar priimto teisės akto pasirašymo procesas nepailgės.</w:t>
      </w:r>
    </w:p>
    <w:p w14:paraId="7C7CBEFB" w14:textId="77777777" w:rsidR="00A36E5D" w:rsidRDefault="00A36E5D" w:rsidP="00A36E5D">
      <w:pPr>
        <w:tabs>
          <w:tab w:val="left" w:pos="1134"/>
        </w:tabs>
        <w:spacing w:line="320" w:lineRule="atLeast"/>
        <w:jc w:val="both"/>
        <w:rPr>
          <w:bCs/>
          <w:szCs w:val="24"/>
        </w:rPr>
      </w:pPr>
      <w:r w:rsidRPr="00292CD7">
        <w:rPr>
          <w:bCs/>
          <w:szCs w:val="24"/>
        </w:rPr>
        <w:tab/>
      </w:r>
      <w:r>
        <w:rPr>
          <w:bCs/>
          <w:szCs w:val="24"/>
        </w:rPr>
        <w:t>10</w:t>
      </w:r>
      <w:r w:rsidRPr="00292CD7">
        <w:rPr>
          <w:bCs/>
          <w:szCs w:val="24"/>
        </w:rPr>
        <w:t>. Projektu siūlomu 140</w:t>
      </w:r>
      <w:r w:rsidRPr="00292CD7">
        <w:rPr>
          <w:bCs/>
          <w:szCs w:val="24"/>
          <w:vertAlign w:val="superscript"/>
        </w:rPr>
        <w:t xml:space="preserve">1 </w:t>
      </w:r>
      <w:r w:rsidRPr="00292CD7">
        <w:rPr>
          <w:bCs/>
          <w:szCs w:val="24"/>
        </w:rPr>
        <w:t xml:space="preserve">papunkčiu numatoma, kad švenčių ir atmintinų dienų, profesinių švenčių dienų, </w:t>
      </w:r>
      <w:r w:rsidRPr="00292CD7">
        <w:rPr>
          <w:bCs/>
          <w:i/>
          <w:iCs/>
          <w:szCs w:val="24"/>
        </w:rPr>
        <w:t>valstybės ir savivaldybės institucijų, įstaigų ir organizacijų, asociacijų</w:t>
      </w:r>
      <w:r w:rsidRPr="00292CD7">
        <w:rPr>
          <w:bCs/>
          <w:szCs w:val="24"/>
        </w:rPr>
        <w:t xml:space="preserve"> jubiliejinių datų ir kitų svarbių įvykių progomis Lietuvos Respublikos valstybės, švietimo, kultūros, meno ir mokslo veikėjams ir kitiems asmenims bus teikiamos Ministro Pirmininko padėkos. Atsižvelgdami į Valstybės tarnybos įstatymo 2 straipsnio 8 dalyje apibrėžtą valstybės ir savivaldybių institucijų ir įstaigų sąvoką, siūlome tikslinti šio</w:t>
      </w:r>
      <w:r w:rsidRPr="00292CD7">
        <w:rPr>
          <w:bCs/>
          <w:szCs w:val="24"/>
          <w:vertAlign w:val="superscript"/>
        </w:rPr>
        <w:t xml:space="preserve"> </w:t>
      </w:r>
      <w:r w:rsidRPr="00292CD7">
        <w:rPr>
          <w:bCs/>
          <w:szCs w:val="24"/>
        </w:rPr>
        <w:t xml:space="preserve">papunkčio nuostatas nurodant, kad padėkos būtų teikiamos </w:t>
      </w:r>
      <w:r w:rsidRPr="00292CD7">
        <w:rPr>
          <w:bCs/>
          <w:i/>
          <w:iCs/>
          <w:szCs w:val="24"/>
        </w:rPr>
        <w:t>valstybės ir savivaldybių institucijų ir įstaigų, asociacijų ir kitų organizacijų</w:t>
      </w:r>
      <w:r w:rsidRPr="00292CD7">
        <w:rPr>
          <w:bCs/>
          <w:szCs w:val="24"/>
        </w:rPr>
        <w:t xml:space="preserve"> jubiliejinių datų progomis.</w:t>
      </w:r>
      <w:r>
        <w:rPr>
          <w:bCs/>
          <w:szCs w:val="24"/>
        </w:rPr>
        <w:t xml:space="preserve"> </w:t>
      </w:r>
    </w:p>
    <w:p w14:paraId="58B79107" w14:textId="77777777" w:rsidR="00A36E5D" w:rsidRPr="00292CD7" w:rsidRDefault="00A36E5D" w:rsidP="00A36E5D">
      <w:pPr>
        <w:tabs>
          <w:tab w:val="left" w:pos="1134"/>
        </w:tabs>
        <w:spacing w:line="320" w:lineRule="atLeast"/>
        <w:ind w:firstLine="851"/>
        <w:jc w:val="both"/>
        <w:rPr>
          <w:bCs/>
          <w:szCs w:val="24"/>
        </w:rPr>
      </w:pPr>
      <w:r w:rsidRPr="009B03F1">
        <w:rPr>
          <w:bCs/>
          <w:szCs w:val="24"/>
        </w:rPr>
        <w:t>1</w:t>
      </w:r>
      <w:r>
        <w:rPr>
          <w:bCs/>
          <w:szCs w:val="24"/>
        </w:rPr>
        <w:t>1</w:t>
      </w:r>
      <w:r w:rsidRPr="009B03F1">
        <w:rPr>
          <w:bCs/>
          <w:szCs w:val="24"/>
        </w:rPr>
        <w:t>. Taip pat teikiame š</w:t>
      </w:r>
      <w:r w:rsidRPr="00292CD7">
        <w:rPr>
          <w:bCs/>
          <w:szCs w:val="24"/>
        </w:rPr>
        <w:t>į pasiūlymą, tiesiogiai nesusijusį su Projektu siūlomais pakeitimais. Mūsų nuomone</w:t>
      </w:r>
      <w:r>
        <w:rPr>
          <w:bCs/>
          <w:szCs w:val="24"/>
        </w:rPr>
        <w:t>,</w:t>
      </w:r>
      <w:r w:rsidRPr="009B03F1">
        <w:rPr>
          <w:bCs/>
          <w:szCs w:val="24"/>
        </w:rPr>
        <w:t xml:space="preserve"> turi būti iš esmės sprendžiamas klausimas dėl teisės aktų projektų vertinimo Vyriausybės kanceliarijoje m</w:t>
      </w:r>
      <w:r w:rsidRPr="00292CD7">
        <w:rPr>
          <w:bCs/>
          <w:szCs w:val="24"/>
        </w:rPr>
        <w:t>odelio ir Vyriausybės kanceliarijos vaidmens teisėkūroje. Esamas modelis yra orientuotas į procesą (pastabų pateikimą ir projekto grąžinimą), o ne į rezultatą (projekto suderinimą ir sklandžios, savalaikės eigos užtikrinimą). Pa</w:t>
      </w:r>
      <w:r>
        <w:rPr>
          <w:bCs/>
          <w:szCs w:val="24"/>
        </w:rPr>
        <w:t>žym</w:t>
      </w:r>
      <w:r w:rsidRPr="009B03F1">
        <w:rPr>
          <w:bCs/>
          <w:szCs w:val="24"/>
        </w:rPr>
        <w:t>ėtina, kad nors keičiamo reglamento 45.1 papunktyje yra aiškiai ir baigtiniu sąrašu apibrėžta Vyriausybės kanceliarijos Teisės grupės kompetencija</w:t>
      </w:r>
      <w:r w:rsidRPr="00292CD7">
        <w:rPr>
          <w:bCs/>
          <w:szCs w:val="24"/>
        </w:rPr>
        <w:t xml:space="preserve"> </w:t>
      </w:r>
      <w:r>
        <w:rPr>
          <w:bCs/>
          <w:szCs w:val="24"/>
        </w:rPr>
        <w:t>vertinti</w:t>
      </w:r>
      <w:r w:rsidRPr="009B03F1">
        <w:rPr>
          <w:bCs/>
          <w:szCs w:val="24"/>
        </w:rPr>
        <w:t xml:space="preserve"> projekt</w:t>
      </w:r>
      <w:r>
        <w:rPr>
          <w:bCs/>
          <w:szCs w:val="24"/>
        </w:rPr>
        <w:t>us</w:t>
      </w:r>
      <w:r w:rsidRPr="009B03F1">
        <w:rPr>
          <w:bCs/>
          <w:szCs w:val="24"/>
        </w:rPr>
        <w:t xml:space="preserve"> (atitikt</w:t>
      </w:r>
      <w:r>
        <w:rPr>
          <w:bCs/>
          <w:szCs w:val="24"/>
        </w:rPr>
        <w:t>į</w:t>
      </w:r>
      <w:r w:rsidRPr="009B03F1">
        <w:rPr>
          <w:bCs/>
          <w:szCs w:val="24"/>
        </w:rPr>
        <w:t xml:space="preserve"> įstatymams, Vyriausybės nutarimams ir teisinės technikos reikalavi</w:t>
      </w:r>
      <w:r w:rsidRPr="00292CD7">
        <w:rPr>
          <w:bCs/>
          <w:szCs w:val="24"/>
        </w:rPr>
        <w:t>mams), praktikoje Teisės grupė neretai ją viršija. Neretai pastabose keliami klausimai dėl siūlomo reguliavimo tikslingumo, kvestionuojamos rengėjų siūlomos teisinio reguliavimo alternatyvos, keliamos nekonkrečios abejonės dėl pagrįstumo ir pan.</w:t>
      </w:r>
      <w:r>
        <w:rPr>
          <w:bCs/>
          <w:szCs w:val="24"/>
        </w:rPr>
        <w:t>,</w:t>
      </w:r>
      <w:r w:rsidRPr="009B03F1">
        <w:rPr>
          <w:bCs/>
          <w:szCs w:val="24"/>
        </w:rPr>
        <w:t xml:space="preserve"> t.</w:t>
      </w:r>
      <w:r>
        <w:rPr>
          <w:bCs/>
          <w:szCs w:val="24"/>
        </w:rPr>
        <w:t> </w:t>
      </w:r>
      <w:r w:rsidRPr="009B03F1">
        <w:rPr>
          <w:bCs/>
          <w:szCs w:val="24"/>
        </w:rPr>
        <w:t>y. ne</w:t>
      </w:r>
      <w:r w:rsidRPr="00292CD7">
        <w:rPr>
          <w:bCs/>
          <w:szCs w:val="24"/>
        </w:rPr>
        <w:t xml:space="preserve"> tik nepaisoma keičiamo reglamento 45.1 papunkčio nuostatų, bet iš esmės ir įsiterpiama į politikos formavimą, kuris pagal Vyriausybės įstatymo 29 straipsnio 1 dalį pavestas ministrams. Nurodomas teisės akto projekto turinio, t. y. siūlomos valstybės politikos tam tikroje valdymo srityje, kvestionavimas, mūsų nuomone</w:t>
      </w:r>
      <w:r>
        <w:rPr>
          <w:bCs/>
          <w:szCs w:val="24"/>
        </w:rPr>
        <w:t>,</w:t>
      </w:r>
      <w:r w:rsidRPr="009B03F1">
        <w:rPr>
          <w:bCs/>
          <w:szCs w:val="24"/>
        </w:rPr>
        <w:t xml:space="preserve"> nesuderinamas su ministrams nustatyta atsakomybe už jiems pavestas valdymo sriti</w:t>
      </w:r>
      <w:r w:rsidRPr="00292CD7">
        <w:rPr>
          <w:bCs/>
          <w:szCs w:val="24"/>
        </w:rPr>
        <w:t>s. Šiuo aspektu taip pat kritikuotinos keičiamo reglamento 49 ir 50 punktų nuostatos, pagal kurias jei Vyriausybės kanceliarijos padaliniai pateikia esminių ir (ar) daug redakcinio pobūdžio pastabų, teisės akto projektas grąžinamas rengėjams ir turi būti derinamas bei teikiamas pakartotinai, kaip nekonstruktyvios ir biurokratiškos (neorientuotos į rezultatą). Visų pirma pažymėtina, kad taip sudaromos prielaidos be aiškių kriterijų ištęsti teisėkūros procesą (visiškai neaišku, kas laikytina „esmine“ pastaba, tai vertinamojo pobūdžio nuostata, kurios turinys keičiamame reglamente nėra tinkamai atskleidžiamas – ją atskleidžiant tiesiog nurodomi kiti vertinamieji kriterijai). Antra, redakcinio pobūdžio pastabos vien dėl jų skaičiaus nesudaro objektyvaus poreikio grąžinti projekt</w:t>
      </w:r>
      <w:r>
        <w:rPr>
          <w:bCs/>
          <w:szCs w:val="24"/>
        </w:rPr>
        <w:t>ą</w:t>
      </w:r>
      <w:r w:rsidRPr="009B03F1">
        <w:rPr>
          <w:bCs/>
          <w:szCs w:val="24"/>
        </w:rPr>
        <w:t>. Siekiant teisėkūros efektyvumo ir operatyvumo, taip pat nutarimo projektu siekiamų tikslų</w:t>
      </w:r>
      <w:r w:rsidRPr="00292CD7">
        <w:rPr>
          <w:bCs/>
          <w:szCs w:val="24"/>
        </w:rPr>
        <w:t xml:space="preserve"> dėl savalaikio projektų parengimo, laikantis nustatytų reikalavimų Vyriausybei pateiktas ir Vyriausybės kanceliarijoje įvertintas teisės akto projektas nebeturėtų būti grąžinamas rengėjams. Vyriausybės kanceliarijos padaliniai</w:t>
      </w:r>
      <w:r>
        <w:rPr>
          <w:bCs/>
          <w:szCs w:val="24"/>
        </w:rPr>
        <w:t>,</w:t>
      </w:r>
      <w:r w:rsidRPr="009B03F1">
        <w:rPr>
          <w:bCs/>
          <w:szCs w:val="24"/>
        </w:rPr>
        <w:t xml:space="preserve"> turi</w:t>
      </w:r>
      <w:r>
        <w:rPr>
          <w:bCs/>
          <w:szCs w:val="24"/>
        </w:rPr>
        <w:t>ntys</w:t>
      </w:r>
      <w:r w:rsidRPr="009B03F1">
        <w:rPr>
          <w:bCs/>
          <w:szCs w:val="24"/>
        </w:rPr>
        <w:t xml:space="preserve"> pastabų, </w:t>
      </w:r>
      <w:r>
        <w:rPr>
          <w:bCs/>
          <w:szCs w:val="24"/>
        </w:rPr>
        <w:t>galėtų</w:t>
      </w:r>
      <w:r w:rsidRPr="009B03F1">
        <w:rPr>
          <w:bCs/>
          <w:szCs w:val="24"/>
        </w:rPr>
        <w:t xml:space="preserve"> organizuoti teisės akto projekto suderinimą Vyriausybės kanceliarijoje taikant keičiamo reglamento 50 punkte nurodytus būdus, taip pat esant reikalui pasitelkiant ir kitas suinteresuotas institucijas, jei esama nesutarimų ir su jomis. Tai būtų kur kas greičiau, nei teisės akto projektą grąžinti ir jį pakartotinai teikti Vyriausybei.</w:t>
      </w:r>
      <w:r w:rsidRPr="00292CD7">
        <w:rPr>
          <w:color w:val="1F497D"/>
        </w:rPr>
        <w:t xml:space="preserve"> </w:t>
      </w:r>
    </w:p>
    <w:p w14:paraId="15439E79" w14:textId="77777777" w:rsidR="00A36E5D" w:rsidRPr="00292CD7" w:rsidRDefault="00A36E5D" w:rsidP="00A36E5D">
      <w:pPr>
        <w:tabs>
          <w:tab w:val="left" w:pos="1134"/>
        </w:tabs>
        <w:spacing w:line="320" w:lineRule="atLeast"/>
        <w:jc w:val="both"/>
        <w:rPr>
          <w:bCs/>
          <w:szCs w:val="24"/>
        </w:rPr>
      </w:pPr>
      <w:r w:rsidRPr="00292CD7">
        <w:rPr>
          <w:bCs/>
          <w:szCs w:val="24"/>
        </w:rPr>
        <w:lastRenderedPageBreak/>
        <w:tab/>
        <w:t>Atsižvelg</w:t>
      </w:r>
      <w:r>
        <w:rPr>
          <w:bCs/>
          <w:szCs w:val="24"/>
        </w:rPr>
        <w:t>ę</w:t>
      </w:r>
      <w:r w:rsidRPr="009B03F1">
        <w:rPr>
          <w:bCs/>
          <w:szCs w:val="24"/>
        </w:rPr>
        <w:t xml:space="preserve"> į </w:t>
      </w:r>
      <w:r>
        <w:rPr>
          <w:bCs/>
          <w:szCs w:val="24"/>
        </w:rPr>
        <w:t xml:space="preserve">pirmiau </w:t>
      </w:r>
      <w:r w:rsidRPr="009B03F1">
        <w:rPr>
          <w:bCs/>
          <w:szCs w:val="24"/>
        </w:rPr>
        <w:t xml:space="preserve">išdėstytus pasiūlymus, manome, kad turi būti keičiamas požiūris į Vyriausybės kanceliarijos vaidmenį teisėkūroje, pabrėžiant nesutarimų </w:t>
      </w:r>
      <w:r w:rsidRPr="007775FC">
        <w:rPr>
          <w:bCs/>
          <w:szCs w:val="24"/>
        </w:rPr>
        <w:t>tarp projektą parengusios institucijos ir pastabų ar siūlymų projektui pateikusių subjektų</w:t>
      </w:r>
      <w:r>
        <w:rPr>
          <w:bCs/>
          <w:szCs w:val="24"/>
        </w:rPr>
        <w:t xml:space="preserve"> </w:t>
      </w:r>
      <w:r w:rsidRPr="009B03F1">
        <w:rPr>
          <w:bCs/>
          <w:szCs w:val="24"/>
        </w:rPr>
        <w:t>sprendimą ir derinimą</w:t>
      </w:r>
      <w:r>
        <w:rPr>
          <w:bCs/>
          <w:szCs w:val="24"/>
        </w:rPr>
        <w:t>. M</w:t>
      </w:r>
      <w:r w:rsidRPr="009B03F1">
        <w:rPr>
          <w:bCs/>
          <w:szCs w:val="24"/>
        </w:rPr>
        <w:t>ūsų nuomone</w:t>
      </w:r>
      <w:r>
        <w:rPr>
          <w:bCs/>
          <w:szCs w:val="24"/>
        </w:rPr>
        <w:t xml:space="preserve">, </w:t>
      </w:r>
      <w:r w:rsidRPr="009B03F1">
        <w:rPr>
          <w:bCs/>
          <w:szCs w:val="24"/>
        </w:rPr>
        <w:t>Vyriausybės kanceliarija turėtų imtis lyderystės ir aktyvaus vaidmens sprendžiant nesutarimus ir tapti nesutarimų sprendimo platforma, užuot tik pateikusi pastabas ir grąžinusi projektu</w:t>
      </w:r>
      <w:r w:rsidRPr="00292CD7">
        <w:rPr>
          <w:bCs/>
          <w:szCs w:val="24"/>
        </w:rPr>
        <w:t>s. Klausimų nurodomais aspektais sprendimas prisidėtų prie lydraštyje nurodomų įsisenėjusių problemų sprendimo ir nutarimo projektu siekiamų tikslų – savalaikio projektų parengimo ir jų priėmimo Vyriausybėje.</w:t>
      </w:r>
    </w:p>
    <w:p w14:paraId="5E235522" w14:textId="77777777" w:rsidR="00A36E5D" w:rsidRPr="00292CD7" w:rsidRDefault="00A36E5D" w:rsidP="00A36E5D">
      <w:pPr>
        <w:tabs>
          <w:tab w:val="left" w:pos="1134"/>
        </w:tabs>
        <w:spacing w:line="320" w:lineRule="atLeast"/>
        <w:ind w:firstLine="851"/>
        <w:jc w:val="both"/>
        <w:rPr>
          <w:bCs/>
          <w:szCs w:val="24"/>
        </w:rPr>
      </w:pPr>
    </w:p>
    <w:p w14:paraId="0C85D6A4" w14:textId="77777777" w:rsidR="00A36E5D" w:rsidRDefault="00A36E5D" w:rsidP="00A36E5D">
      <w:pPr>
        <w:tabs>
          <w:tab w:val="left" w:pos="1134"/>
        </w:tabs>
        <w:spacing w:line="320" w:lineRule="atLeast"/>
        <w:ind w:firstLine="851"/>
        <w:jc w:val="both"/>
        <w:rPr>
          <w:bCs/>
          <w:szCs w:val="24"/>
        </w:rPr>
      </w:pPr>
    </w:p>
    <w:p w14:paraId="05880A87" w14:textId="77777777" w:rsidR="00A36E5D" w:rsidRPr="009B03F1" w:rsidRDefault="00A36E5D" w:rsidP="00A36E5D">
      <w:pPr>
        <w:tabs>
          <w:tab w:val="left" w:pos="1134"/>
        </w:tabs>
        <w:spacing w:line="320" w:lineRule="atLeast"/>
        <w:ind w:firstLine="851"/>
        <w:jc w:val="both"/>
        <w:rPr>
          <w:bCs/>
          <w:szCs w:val="24"/>
        </w:rPr>
      </w:pPr>
    </w:p>
    <w:tbl>
      <w:tblPr>
        <w:tblW w:w="9747" w:type="dxa"/>
        <w:tblLayout w:type="fixed"/>
        <w:tblLook w:val="0000" w:firstRow="0" w:lastRow="0" w:firstColumn="0" w:lastColumn="0" w:noHBand="0" w:noVBand="0"/>
      </w:tblPr>
      <w:tblGrid>
        <w:gridCol w:w="5778"/>
        <w:gridCol w:w="3969"/>
      </w:tblGrid>
      <w:tr w:rsidR="00A36E5D" w:rsidRPr="00292CD7" w14:paraId="791523AC" w14:textId="77777777" w:rsidTr="007F5E12">
        <w:tc>
          <w:tcPr>
            <w:tcW w:w="5778" w:type="dxa"/>
          </w:tcPr>
          <w:p w14:paraId="4F089251" w14:textId="77777777" w:rsidR="00A36E5D" w:rsidRPr="00292CD7" w:rsidRDefault="00A36E5D" w:rsidP="007F5E12">
            <w:pPr>
              <w:pStyle w:val="Antrats"/>
              <w:tabs>
                <w:tab w:val="clear" w:pos="4153"/>
                <w:tab w:val="clear" w:pos="8306"/>
              </w:tabs>
              <w:spacing w:line="320" w:lineRule="atLeast"/>
              <w:rPr>
                <w:szCs w:val="24"/>
              </w:rPr>
            </w:pPr>
            <w:r w:rsidRPr="00292CD7">
              <w:t xml:space="preserve">Vidaus reikalų viceministras                          </w:t>
            </w:r>
          </w:p>
        </w:tc>
        <w:tc>
          <w:tcPr>
            <w:tcW w:w="3969" w:type="dxa"/>
          </w:tcPr>
          <w:p w14:paraId="16E20CE3" w14:textId="77777777" w:rsidR="00A36E5D" w:rsidRPr="00292CD7" w:rsidRDefault="00A36E5D" w:rsidP="007F5E12">
            <w:pPr>
              <w:pStyle w:val="Antrats"/>
              <w:tabs>
                <w:tab w:val="clear" w:pos="4153"/>
                <w:tab w:val="clear" w:pos="8306"/>
              </w:tabs>
              <w:spacing w:line="320" w:lineRule="atLeast"/>
              <w:jc w:val="right"/>
              <w:rPr>
                <w:szCs w:val="24"/>
              </w:rPr>
            </w:pPr>
            <w:r w:rsidRPr="00292CD7">
              <w:rPr>
                <w:szCs w:val="24"/>
              </w:rPr>
              <w:t>Darius Urbonas</w:t>
            </w:r>
          </w:p>
        </w:tc>
      </w:tr>
      <w:tr w:rsidR="00A36E5D" w:rsidRPr="00292CD7" w14:paraId="1B67B1E4" w14:textId="77777777" w:rsidTr="007F5E12">
        <w:tc>
          <w:tcPr>
            <w:tcW w:w="5778" w:type="dxa"/>
          </w:tcPr>
          <w:p w14:paraId="3B067B11" w14:textId="77777777" w:rsidR="00A36E5D" w:rsidRPr="00292CD7" w:rsidRDefault="00A36E5D" w:rsidP="007F5E12">
            <w:pPr>
              <w:pStyle w:val="Antrats"/>
              <w:tabs>
                <w:tab w:val="clear" w:pos="4153"/>
                <w:tab w:val="clear" w:pos="8306"/>
              </w:tabs>
              <w:spacing w:line="320" w:lineRule="atLeast"/>
            </w:pPr>
          </w:p>
        </w:tc>
        <w:tc>
          <w:tcPr>
            <w:tcW w:w="3969" w:type="dxa"/>
          </w:tcPr>
          <w:p w14:paraId="02ABFF24" w14:textId="77777777" w:rsidR="00A36E5D" w:rsidRPr="00292CD7" w:rsidRDefault="00A36E5D" w:rsidP="007F5E12">
            <w:pPr>
              <w:pStyle w:val="Antrats"/>
              <w:tabs>
                <w:tab w:val="clear" w:pos="4153"/>
                <w:tab w:val="clear" w:pos="8306"/>
              </w:tabs>
              <w:spacing w:line="320" w:lineRule="atLeast"/>
              <w:jc w:val="right"/>
              <w:rPr>
                <w:szCs w:val="24"/>
              </w:rPr>
            </w:pPr>
          </w:p>
        </w:tc>
      </w:tr>
    </w:tbl>
    <w:p w14:paraId="742038F1" w14:textId="77777777" w:rsidR="00A36E5D" w:rsidRPr="00292CD7" w:rsidRDefault="00A36E5D" w:rsidP="00A36E5D">
      <w:pPr>
        <w:pStyle w:val="Antrats"/>
        <w:rPr>
          <w:szCs w:val="24"/>
        </w:rPr>
      </w:pPr>
    </w:p>
    <w:p w14:paraId="1335607A" w14:textId="77777777" w:rsidR="00A36E5D" w:rsidRPr="00292CD7" w:rsidRDefault="00A36E5D" w:rsidP="00A36E5D">
      <w:pPr>
        <w:pStyle w:val="Antrats"/>
        <w:rPr>
          <w:szCs w:val="24"/>
        </w:rPr>
      </w:pPr>
    </w:p>
    <w:p w14:paraId="01C2E398" w14:textId="77777777" w:rsidR="00A36E5D" w:rsidRPr="00292CD7" w:rsidRDefault="00A36E5D" w:rsidP="00A36E5D">
      <w:pPr>
        <w:pStyle w:val="Antrats"/>
        <w:rPr>
          <w:szCs w:val="24"/>
        </w:rPr>
      </w:pPr>
    </w:p>
    <w:p w14:paraId="2CA1E555" w14:textId="77777777" w:rsidR="00A36E5D" w:rsidRPr="00292CD7" w:rsidRDefault="00A36E5D" w:rsidP="00A36E5D">
      <w:pPr>
        <w:pStyle w:val="Antrats"/>
        <w:rPr>
          <w:szCs w:val="24"/>
        </w:rPr>
      </w:pPr>
    </w:p>
    <w:p w14:paraId="59E7C0AD" w14:textId="77777777" w:rsidR="00A36E5D" w:rsidRPr="00292CD7" w:rsidRDefault="00A36E5D" w:rsidP="00A36E5D">
      <w:pPr>
        <w:pStyle w:val="Antrats"/>
        <w:rPr>
          <w:szCs w:val="24"/>
        </w:rPr>
      </w:pPr>
    </w:p>
    <w:p w14:paraId="2AD792AD" w14:textId="77777777" w:rsidR="00A36E5D" w:rsidRPr="00292CD7" w:rsidRDefault="00A36E5D" w:rsidP="00A36E5D">
      <w:pPr>
        <w:pStyle w:val="Antrats"/>
        <w:rPr>
          <w:szCs w:val="24"/>
        </w:rPr>
      </w:pPr>
    </w:p>
    <w:p w14:paraId="2B22CAEB" w14:textId="77777777" w:rsidR="00A36E5D" w:rsidRPr="00292CD7" w:rsidRDefault="00A36E5D" w:rsidP="00A36E5D">
      <w:pPr>
        <w:pStyle w:val="Antrats"/>
        <w:rPr>
          <w:szCs w:val="24"/>
        </w:rPr>
      </w:pPr>
    </w:p>
    <w:p w14:paraId="70CF6B91" w14:textId="77777777" w:rsidR="00A36E5D" w:rsidRPr="00292CD7" w:rsidRDefault="00A36E5D" w:rsidP="00A36E5D">
      <w:pPr>
        <w:pStyle w:val="Antrats"/>
        <w:rPr>
          <w:szCs w:val="24"/>
        </w:rPr>
      </w:pPr>
    </w:p>
    <w:p w14:paraId="605E7D7B" w14:textId="77777777" w:rsidR="00A36E5D" w:rsidRPr="00292CD7" w:rsidRDefault="00A36E5D" w:rsidP="00A36E5D">
      <w:pPr>
        <w:pStyle w:val="Antrats"/>
        <w:rPr>
          <w:szCs w:val="24"/>
        </w:rPr>
      </w:pPr>
    </w:p>
    <w:p w14:paraId="2400AF6D" w14:textId="77777777" w:rsidR="00A36E5D" w:rsidRPr="00292CD7" w:rsidRDefault="00A36E5D" w:rsidP="00A36E5D">
      <w:pPr>
        <w:pStyle w:val="Antrats"/>
        <w:rPr>
          <w:szCs w:val="24"/>
        </w:rPr>
      </w:pPr>
    </w:p>
    <w:p w14:paraId="4956B6F9" w14:textId="77777777" w:rsidR="00A36E5D" w:rsidRPr="00292CD7" w:rsidRDefault="00A36E5D" w:rsidP="00A36E5D">
      <w:pPr>
        <w:pStyle w:val="Antrats"/>
        <w:rPr>
          <w:szCs w:val="24"/>
        </w:rPr>
      </w:pPr>
    </w:p>
    <w:p w14:paraId="1EB64826" w14:textId="77777777" w:rsidR="00A36E5D" w:rsidRPr="00292CD7" w:rsidRDefault="00A36E5D" w:rsidP="00A36E5D">
      <w:pPr>
        <w:pStyle w:val="Antrats"/>
        <w:rPr>
          <w:szCs w:val="24"/>
        </w:rPr>
      </w:pPr>
    </w:p>
    <w:p w14:paraId="51FA9D8A" w14:textId="77777777" w:rsidR="00A36E5D" w:rsidRPr="00292CD7" w:rsidRDefault="00A36E5D" w:rsidP="00A36E5D">
      <w:pPr>
        <w:pStyle w:val="Antrats"/>
        <w:rPr>
          <w:szCs w:val="24"/>
        </w:rPr>
      </w:pPr>
    </w:p>
    <w:p w14:paraId="167A98C4" w14:textId="77777777" w:rsidR="00A36E5D" w:rsidRPr="00292CD7" w:rsidRDefault="00A36E5D" w:rsidP="00A36E5D">
      <w:pPr>
        <w:pStyle w:val="Antrats"/>
        <w:rPr>
          <w:szCs w:val="24"/>
        </w:rPr>
      </w:pPr>
    </w:p>
    <w:p w14:paraId="784364AD" w14:textId="77777777" w:rsidR="00A36E5D" w:rsidRPr="00292CD7" w:rsidRDefault="00A36E5D" w:rsidP="00A36E5D">
      <w:pPr>
        <w:pStyle w:val="Antrats"/>
        <w:rPr>
          <w:szCs w:val="24"/>
        </w:rPr>
      </w:pPr>
    </w:p>
    <w:p w14:paraId="4C7A3A02" w14:textId="77777777" w:rsidR="00A36E5D" w:rsidRPr="00292CD7" w:rsidRDefault="00A36E5D" w:rsidP="00A36E5D">
      <w:pPr>
        <w:pStyle w:val="Antrats"/>
        <w:rPr>
          <w:szCs w:val="24"/>
        </w:rPr>
      </w:pPr>
    </w:p>
    <w:p w14:paraId="08102DA1" w14:textId="77777777" w:rsidR="00A36E5D" w:rsidRPr="00292CD7" w:rsidRDefault="00A36E5D" w:rsidP="00A36E5D">
      <w:pPr>
        <w:pStyle w:val="Antrats"/>
        <w:rPr>
          <w:szCs w:val="24"/>
        </w:rPr>
      </w:pPr>
    </w:p>
    <w:p w14:paraId="6FB3373A" w14:textId="77777777" w:rsidR="00A36E5D" w:rsidRPr="00292CD7" w:rsidRDefault="00A36E5D" w:rsidP="00A36E5D">
      <w:pPr>
        <w:pStyle w:val="Antrats"/>
        <w:rPr>
          <w:szCs w:val="24"/>
        </w:rPr>
      </w:pPr>
    </w:p>
    <w:p w14:paraId="495A9FAF" w14:textId="77777777" w:rsidR="00A36E5D" w:rsidRPr="00292CD7" w:rsidRDefault="00A36E5D" w:rsidP="00A36E5D">
      <w:pPr>
        <w:pStyle w:val="Antrats"/>
        <w:rPr>
          <w:szCs w:val="24"/>
        </w:rPr>
      </w:pPr>
    </w:p>
    <w:p w14:paraId="34ACE0E7" w14:textId="77777777" w:rsidR="00A36E5D" w:rsidRPr="00292CD7" w:rsidRDefault="00A36E5D" w:rsidP="00A36E5D">
      <w:pPr>
        <w:pStyle w:val="Antrats"/>
        <w:rPr>
          <w:szCs w:val="24"/>
        </w:rPr>
      </w:pPr>
    </w:p>
    <w:p w14:paraId="673CE012" w14:textId="77777777" w:rsidR="00A36E5D" w:rsidRPr="00292CD7" w:rsidRDefault="00A36E5D" w:rsidP="00A36E5D">
      <w:pPr>
        <w:pStyle w:val="Antrats"/>
        <w:rPr>
          <w:szCs w:val="24"/>
        </w:rPr>
      </w:pPr>
    </w:p>
    <w:p w14:paraId="256D10CC" w14:textId="77777777" w:rsidR="00A36E5D" w:rsidRPr="00292CD7" w:rsidRDefault="00A36E5D" w:rsidP="00A36E5D">
      <w:pPr>
        <w:pStyle w:val="Antrats"/>
        <w:rPr>
          <w:szCs w:val="24"/>
        </w:rPr>
      </w:pPr>
    </w:p>
    <w:p w14:paraId="642A180E" w14:textId="77777777" w:rsidR="00A36E5D" w:rsidRPr="00292CD7" w:rsidRDefault="00A36E5D" w:rsidP="00A36E5D">
      <w:pPr>
        <w:pStyle w:val="Antrats"/>
        <w:rPr>
          <w:szCs w:val="24"/>
        </w:rPr>
      </w:pPr>
    </w:p>
    <w:p w14:paraId="3DE9C8E6" w14:textId="77777777" w:rsidR="00A36E5D" w:rsidRPr="00292CD7" w:rsidRDefault="00A36E5D" w:rsidP="00A36E5D">
      <w:pPr>
        <w:pStyle w:val="Antrats"/>
        <w:rPr>
          <w:szCs w:val="24"/>
        </w:rPr>
      </w:pPr>
    </w:p>
    <w:p w14:paraId="4CCCE40A" w14:textId="77777777" w:rsidR="00A36E5D" w:rsidRPr="00292CD7" w:rsidRDefault="00A36E5D" w:rsidP="00A36E5D">
      <w:pPr>
        <w:pStyle w:val="Antrats"/>
        <w:rPr>
          <w:szCs w:val="24"/>
        </w:rPr>
      </w:pPr>
    </w:p>
    <w:p w14:paraId="6B552E38" w14:textId="77777777" w:rsidR="00A36E5D" w:rsidRPr="00292CD7" w:rsidRDefault="00A36E5D" w:rsidP="00A36E5D">
      <w:pPr>
        <w:pStyle w:val="Antrats"/>
        <w:rPr>
          <w:szCs w:val="24"/>
        </w:rPr>
      </w:pPr>
    </w:p>
    <w:p w14:paraId="174EB8CA" w14:textId="77777777" w:rsidR="00A36E5D" w:rsidRPr="00292CD7" w:rsidRDefault="00A36E5D" w:rsidP="00A36E5D">
      <w:pPr>
        <w:pStyle w:val="Antrats"/>
        <w:rPr>
          <w:szCs w:val="24"/>
        </w:rPr>
      </w:pPr>
      <w:bookmarkStart w:id="1" w:name="_GoBack"/>
      <w:bookmarkEnd w:id="1"/>
    </w:p>
    <w:p w14:paraId="4213C8FE" w14:textId="77777777" w:rsidR="00A36E5D" w:rsidRPr="00292CD7" w:rsidRDefault="00A36E5D" w:rsidP="00A36E5D">
      <w:pPr>
        <w:pStyle w:val="Antrats"/>
        <w:rPr>
          <w:szCs w:val="24"/>
        </w:rPr>
      </w:pPr>
    </w:p>
    <w:p w14:paraId="0C12872D" w14:textId="77777777" w:rsidR="00A36E5D" w:rsidRPr="00292CD7" w:rsidRDefault="00A36E5D" w:rsidP="00A36E5D">
      <w:pPr>
        <w:pStyle w:val="Antrats"/>
        <w:rPr>
          <w:szCs w:val="24"/>
        </w:rPr>
      </w:pPr>
    </w:p>
    <w:p w14:paraId="3DD88717" w14:textId="77777777" w:rsidR="00A36E5D" w:rsidRPr="00292CD7" w:rsidRDefault="00A36E5D" w:rsidP="00A36E5D">
      <w:pPr>
        <w:pStyle w:val="Antrats"/>
        <w:rPr>
          <w:szCs w:val="24"/>
        </w:rPr>
      </w:pPr>
    </w:p>
    <w:p w14:paraId="36C34A9C" w14:textId="77777777" w:rsidR="00A36E5D" w:rsidRPr="00292CD7" w:rsidRDefault="00A36E5D" w:rsidP="00A36E5D">
      <w:pPr>
        <w:pStyle w:val="Antrats"/>
        <w:rPr>
          <w:szCs w:val="24"/>
        </w:rPr>
      </w:pPr>
    </w:p>
    <w:p w14:paraId="7D12008F" w14:textId="77777777" w:rsidR="00A36E5D" w:rsidRPr="00292CD7" w:rsidRDefault="00A36E5D" w:rsidP="00A36E5D">
      <w:pPr>
        <w:pStyle w:val="Antrats"/>
        <w:rPr>
          <w:szCs w:val="24"/>
        </w:rPr>
      </w:pPr>
    </w:p>
    <w:p w14:paraId="36AC6F80" w14:textId="77777777" w:rsidR="00A36E5D" w:rsidRPr="00292CD7" w:rsidRDefault="00A36E5D" w:rsidP="00A36E5D">
      <w:pPr>
        <w:pStyle w:val="Antrats"/>
        <w:rPr>
          <w:szCs w:val="24"/>
        </w:rPr>
      </w:pPr>
    </w:p>
    <w:p w14:paraId="103E5D97" w14:textId="77777777" w:rsidR="00A36E5D" w:rsidRPr="00292CD7" w:rsidRDefault="00A36E5D" w:rsidP="00A36E5D">
      <w:pPr>
        <w:pStyle w:val="Antrats"/>
        <w:rPr>
          <w:szCs w:val="24"/>
        </w:rPr>
      </w:pPr>
    </w:p>
    <w:p w14:paraId="43992666" w14:textId="77777777" w:rsidR="00A36E5D" w:rsidRPr="00292CD7" w:rsidRDefault="00A36E5D" w:rsidP="00A36E5D">
      <w:pPr>
        <w:pStyle w:val="Antrats"/>
        <w:rPr>
          <w:szCs w:val="24"/>
        </w:rPr>
      </w:pPr>
      <w:r w:rsidRPr="00292CD7">
        <w:rPr>
          <w:szCs w:val="24"/>
        </w:rPr>
        <w:t xml:space="preserve">S. </w:t>
      </w:r>
      <w:proofErr w:type="spellStart"/>
      <w:r w:rsidRPr="00292CD7">
        <w:rPr>
          <w:szCs w:val="24"/>
        </w:rPr>
        <w:t>Mitalauskas</w:t>
      </w:r>
      <w:proofErr w:type="spellEnd"/>
      <w:r w:rsidRPr="00292CD7">
        <w:rPr>
          <w:szCs w:val="24"/>
        </w:rPr>
        <w:t xml:space="preserve">, tel. 271 7143, el. p. sigitas.mitalauskas@vrm.lt </w:t>
      </w:r>
    </w:p>
    <w:p w14:paraId="6562E7E6" w14:textId="77777777" w:rsidR="00A36E5D" w:rsidRPr="00292CD7" w:rsidRDefault="00A36E5D" w:rsidP="00A36E5D">
      <w:pPr>
        <w:pStyle w:val="Antrats"/>
        <w:rPr>
          <w:szCs w:val="24"/>
        </w:rPr>
      </w:pPr>
      <w:r w:rsidRPr="00292CD7">
        <w:rPr>
          <w:szCs w:val="24"/>
        </w:rPr>
        <w:t xml:space="preserve">D. Domarkas, tel. 271 8881, el. p. darius.domarkas@vrm.lt </w:t>
      </w:r>
    </w:p>
    <w:p w14:paraId="27FCA535" w14:textId="77777777" w:rsidR="001B4E82" w:rsidRDefault="001B4E82"/>
    <w:sectPr w:rsidR="001B4E82" w:rsidSect="00E20B41">
      <w:headerReference w:type="even" r:id="rId8"/>
      <w:headerReference w:type="default" r:id="rId9"/>
      <w:footerReference w:type="first" r:id="rId10"/>
      <w:pgSz w:w="11906" w:h="16838" w:code="9"/>
      <w:pgMar w:top="851" w:right="567" w:bottom="1276" w:left="1701" w:header="567" w:footer="22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1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1524"/>
    </w:tblGrid>
    <w:tr w:rsidR="00733FA3" w14:paraId="37C7BF07" w14:textId="77777777" w:rsidTr="001C3E21">
      <w:tc>
        <w:tcPr>
          <w:tcW w:w="9747" w:type="dxa"/>
        </w:tcPr>
        <w:p w14:paraId="238B8C6C" w14:textId="77777777" w:rsidR="00243577" w:rsidRDefault="00A36E5D" w:rsidP="001C3E21">
          <w:pPr>
            <w:pStyle w:val="Porat"/>
            <w:jc w:val="right"/>
          </w:pPr>
        </w:p>
        <w:p w14:paraId="3B96C4B4" w14:textId="77777777" w:rsidR="00D8037B" w:rsidRDefault="00A36E5D" w:rsidP="001C3E21">
          <w:pPr>
            <w:pStyle w:val="Porat"/>
            <w:jc w:val="right"/>
          </w:pPr>
        </w:p>
      </w:tc>
      <w:tc>
        <w:tcPr>
          <w:tcW w:w="1524" w:type="dxa"/>
        </w:tcPr>
        <w:p w14:paraId="22051372" w14:textId="77777777" w:rsidR="00733FA3" w:rsidRDefault="00A36E5D" w:rsidP="00733FA3">
          <w:pPr>
            <w:pStyle w:val="Porat"/>
          </w:pPr>
        </w:p>
      </w:tc>
    </w:tr>
  </w:tbl>
  <w:p w14:paraId="04F83561" w14:textId="77777777" w:rsidR="00391F6C" w:rsidRPr="00733FA3" w:rsidRDefault="00A36E5D" w:rsidP="00733FA3">
    <w:pPr>
      <w:pStyle w:val="Porat"/>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6262" w14:textId="77777777" w:rsidR="00391F6C" w:rsidRDefault="00A36E5D" w:rsidP="00391F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361ECB" w14:textId="77777777" w:rsidR="00391F6C" w:rsidRDefault="00A36E5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820002"/>
      <w:docPartObj>
        <w:docPartGallery w:val="Page Numbers (Top of Page)"/>
        <w:docPartUnique/>
      </w:docPartObj>
    </w:sdtPr>
    <w:sdtEndPr/>
    <w:sdtContent>
      <w:p w14:paraId="20C22861" w14:textId="77777777" w:rsidR="00987B24" w:rsidRDefault="00A36E5D">
        <w:pPr>
          <w:pStyle w:val="Antrats"/>
          <w:jc w:val="center"/>
        </w:pPr>
        <w:r>
          <w:fldChar w:fldCharType="begin"/>
        </w:r>
        <w:r>
          <w:instrText>PAGE   \* MERGEFORMAT</w:instrText>
        </w:r>
        <w:r>
          <w:fldChar w:fldCharType="separate"/>
        </w:r>
        <w:r>
          <w:rPr>
            <w:noProof/>
          </w:rPr>
          <w:t>6</w:t>
        </w:r>
        <w:r>
          <w:fldChar w:fldCharType="end"/>
        </w:r>
      </w:p>
    </w:sdtContent>
  </w:sdt>
  <w:p w14:paraId="5393C83C" w14:textId="77777777" w:rsidR="00987B24" w:rsidRDefault="00A36E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4"/>
    <w:rsid w:val="001B4E82"/>
    <w:rsid w:val="005A0D64"/>
    <w:rsid w:val="00A36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4239C-166C-49B2-A475-55BE53AB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E5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rsid w:val="00A36E5D"/>
    <w:pPr>
      <w:tabs>
        <w:tab w:val="center" w:pos="4153"/>
        <w:tab w:val="right" w:pos="8306"/>
      </w:tabs>
    </w:p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basedOn w:val="Numatytasispastraiposriftas"/>
    <w:link w:val="Antrats"/>
    <w:rsid w:val="00A36E5D"/>
    <w:rPr>
      <w:rFonts w:ascii="Times New Roman" w:eastAsia="Times New Roman" w:hAnsi="Times New Roman" w:cs="Times New Roman"/>
      <w:sz w:val="24"/>
      <w:szCs w:val="20"/>
    </w:rPr>
  </w:style>
  <w:style w:type="paragraph" w:styleId="Antrat">
    <w:name w:val="caption"/>
    <w:basedOn w:val="prastasis"/>
    <w:next w:val="prastasis"/>
    <w:qFormat/>
    <w:rsid w:val="00A36E5D"/>
    <w:pPr>
      <w:jc w:val="center"/>
    </w:pPr>
    <w:rPr>
      <w:b/>
      <w:sz w:val="28"/>
    </w:rPr>
  </w:style>
  <w:style w:type="character" w:styleId="Puslapionumeris">
    <w:name w:val="page number"/>
    <w:basedOn w:val="Numatytasispastraiposriftas"/>
    <w:rsid w:val="00A36E5D"/>
  </w:style>
  <w:style w:type="character" w:styleId="Hipersaitas">
    <w:name w:val="Hyperlink"/>
    <w:basedOn w:val="Numatytasispastraiposriftas"/>
    <w:rsid w:val="00A36E5D"/>
    <w:rPr>
      <w:color w:val="0000FF"/>
      <w:u w:val="single"/>
    </w:rPr>
  </w:style>
  <w:style w:type="paragraph" w:styleId="Porat">
    <w:name w:val="footer"/>
    <w:basedOn w:val="prastasis"/>
    <w:link w:val="PoratDiagrama"/>
    <w:uiPriority w:val="99"/>
    <w:unhideWhenUsed/>
    <w:rsid w:val="00A36E5D"/>
    <w:pPr>
      <w:tabs>
        <w:tab w:val="center" w:pos="4680"/>
        <w:tab w:val="right" w:pos="9360"/>
      </w:tabs>
    </w:pPr>
  </w:style>
  <w:style w:type="character" w:customStyle="1" w:styleId="PoratDiagrama">
    <w:name w:val="Poraštė Diagrama"/>
    <w:basedOn w:val="Numatytasispastraiposriftas"/>
    <w:link w:val="Porat"/>
    <w:uiPriority w:val="99"/>
    <w:rsid w:val="00A36E5D"/>
    <w:rPr>
      <w:rFonts w:ascii="Times New Roman" w:eastAsia="Times New Roman" w:hAnsi="Times New Roman" w:cs="Times New Roman"/>
      <w:sz w:val="24"/>
      <w:szCs w:val="20"/>
    </w:rPr>
  </w:style>
  <w:style w:type="table" w:styleId="Lentelstinklelis">
    <w:name w:val="Table Grid"/>
    <w:basedOn w:val="prastojilentel"/>
    <w:uiPriority w:val="59"/>
    <w:rsid w:val="00A36E5D"/>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A3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embeddings/oleObject1.bin"
                 Type="http://schemas.openxmlformats.org/officeDocument/2006/relationships/oleObject"/>
   <Relationship Id="rId6" Target="mailto:bendrasisd@vrm.lt" TargetMode="External"
                 Type="http://schemas.openxmlformats.org/officeDocument/2006/relationships/hyperlink"/>
   <Relationship Id="rId7" Target="https://www.infolex.lt/ta/432861"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12949</Words>
  <Characters>7382</Characters>
  <Application>Microsoft Office Word</Application>
  <DocSecurity>0</DocSecurity>
  <Lines>61</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2019-03-29T11:41:00Z</dcterms:created>
  <dc:creator>Aida Gritienė</dc:creator>
  <cp:lastModifiedBy>Aida Gritienė</cp:lastModifiedBy>
  <cp:lastPrinted>2019-03-29T11:42:00Z</cp:lastPrinted>
  <dcterms:modified xsi:type="dcterms:W3CDTF">2019-03-29T11:42:00Z</dcterms:modified>
  <cp:revision>2</cp:revision>
</cp:coreProperties>
</file>