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1BECE" w14:textId="13840CA5" w:rsidR="00946DDF" w:rsidRDefault="00827BC8" w:rsidP="00946DDF">
      <w:pPr>
        <w:tabs>
          <w:tab w:val="left" w:pos="993"/>
        </w:tabs>
        <w:jc w:val="center"/>
        <w:rPr>
          <w:rFonts w:eastAsia="Calibri"/>
          <w:b/>
        </w:rPr>
      </w:pPr>
      <w:r w:rsidRPr="00827BC8">
        <w:rPr>
          <w:b/>
        </w:rPr>
        <w:t>REGLAMENTO (E</w:t>
      </w:r>
      <w:r w:rsidR="007F3C19">
        <w:rPr>
          <w:b/>
        </w:rPr>
        <w:t>S</w:t>
      </w:r>
      <w:r w:rsidRPr="00827BC8">
        <w:rPr>
          <w:b/>
        </w:rPr>
        <w:t xml:space="preserve">) </w:t>
      </w:r>
      <w:r w:rsidR="007F3C19">
        <w:rPr>
          <w:b/>
        </w:rPr>
        <w:t>2019</w:t>
      </w:r>
      <w:r w:rsidRPr="00827BC8">
        <w:rPr>
          <w:b/>
        </w:rPr>
        <w:t>/</w:t>
      </w:r>
      <w:r w:rsidR="007F3C19">
        <w:rPr>
          <w:b/>
        </w:rPr>
        <w:t>1241</w:t>
      </w:r>
      <w:r w:rsidRPr="00831E97">
        <w:t xml:space="preserve"> </w:t>
      </w:r>
      <w:r w:rsidR="008676EE" w:rsidRPr="00937307">
        <w:rPr>
          <w:rFonts w:ascii="TimesNewRomanBold" w:eastAsia="TimesNewRomanBold" w:hAnsi="TimesNewRomanBold" w:cs="TimesNewRomanBold"/>
          <w:b/>
          <w:bCs/>
        </w:rPr>
        <w:t>IR</w:t>
      </w:r>
      <w:r w:rsidR="008676EE" w:rsidRPr="00937307">
        <w:rPr>
          <w:rFonts w:ascii="TimesNewRomanBold" w:eastAsia="Andale Sans UI" w:hAnsi="TimesNewRomanBold"/>
          <w:b/>
          <w:bCs/>
        </w:rPr>
        <w:t xml:space="preserve"> </w:t>
      </w:r>
      <w:r w:rsidR="008676EE" w:rsidRPr="00FE6372">
        <w:rPr>
          <w:rFonts w:eastAsia="Calibri"/>
          <w:b/>
        </w:rPr>
        <w:t>LIETUVOS RESPUBLIKOS</w:t>
      </w:r>
      <w:r w:rsidR="00544599">
        <w:rPr>
          <w:rFonts w:eastAsia="Calibri"/>
          <w:b/>
        </w:rPr>
        <w:t xml:space="preserve"> </w:t>
      </w:r>
      <w:r w:rsidR="008676EE" w:rsidRPr="00FE6372">
        <w:rPr>
          <w:rFonts w:eastAsia="Calibri"/>
          <w:b/>
        </w:rPr>
        <w:t xml:space="preserve">ŽUVININKYSTĖS ĮSTATYMO </w:t>
      </w:r>
      <w:r w:rsidR="00544599" w:rsidRPr="00E95556">
        <w:rPr>
          <w:rFonts w:eastAsia="Calibri"/>
          <w:b/>
        </w:rPr>
        <w:t xml:space="preserve">NR. VIII-1756 </w:t>
      </w:r>
    </w:p>
    <w:p w14:paraId="1C91C280" w14:textId="7692C9FF" w:rsidR="00946DDF" w:rsidRPr="00366512" w:rsidRDefault="00CD7781" w:rsidP="00366512">
      <w:pPr>
        <w:jc w:val="center"/>
        <w:rPr>
          <w:b/>
        </w:rPr>
      </w:pPr>
      <w:r>
        <w:rPr>
          <w:rFonts w:eastAsia="Calibri"/>
          <w:b/>
        </w:rPr>
        <w:t xml:space="preserve">8, </w:t>
      </w:r>
      <w:r w:rsidR="00125073">
        <w:rPr>
          <w:rFonts w:eastAsia="Calibri"/>
          <w:b/>
        </w:rPr>
        <w:t xml:space="preserve">12, </w:t>
      </w:r>
      <w:r w:rsidR="00270F5A">
        <w:rPr>
          <w:rFonts w:eastAsia="Calibri"/>
          <w:b/>
        </w:rPr>
        <w:t>13, 14</w:t>
      </w:r>
      <w:r w:rsidR="00270F5A">
        <w:rPr>
          <w:rFonts w:eastAsia="Calibri"/>
          <w:b/>
          <w:vertAlign w:val="superscript"/>
        </w:rPr>
        <w:t>1</w:t>
      </w:r>
      <w:r w:rsidR="00270F5A">
        <w:rPr>
          <w:rFonts w:eastAsia="Calibri"/>
          <w:b/>
        </w:rPr>
        <w:t>, 14</w:t>
      </w:r>
      <w:r w:rsidR="00270F5A">
        <w:rPr>
          <w:rFonts w:eastAsia="Calibri"/>
          <w:b/>
          <w:vertAlign w:val="superscript"/>
        </w:rPr>
        <w:t>3</w:t>
      </w:r>
      <w:r w:rsidR="00270F5A">
        <w:rPr>
          <w:rFonts w:eastAsia="Calibri"/>
          <w:b/>
        </w:rPr>
        <w:t>, 14</w:t>
      </w:r>
      <w:r w:rsidR="00270F5A">
        <w:rPr>
          <w:rFonts w:eastAsia="Calibri"/>
          <w:b/>
          <w:vertAlign w:val="superscript"/>
        </w:rPr>
        <w:t>4</w:t>
      </w:r>
      <w:r w:rsidR="00270F5A">
        <w:rPr>
          <w:rFonts w:eastAsia="Calibri"/>
          <w:b/>
        </w:rPr>
        <w:t>, 15,</w:t>
      </w:r>
      <w:r w:rsidR="006153F9">
        <w:rPr>
          <w:rFonts w:eastAsia="Calibri"/>
          <w:b/>
        </w:rPr>
        <w:t xml:space="preserve"> </w:t>
      </w:r>
      <w:r w:rsidR="00270F5A">
        <w:rPr>
          <w:rFonts w:eastAsia="Calibri"/>
          <w:b/>
        </w:rPr>
        <w:t>17</w:t>
      </w:r>
      <w:r w:rsidR="00270F5A">
        <w:rPr>
          <w:rFonts w:eastAsia="Calibri"/>
          <w:b/>
          <w:vertAlign w:val="superscript"/>
        </w:rPr>
        <w:t>1</w:t>
      </w:r>
      <w:r w:rsidR="00270F5A">
        <w:rPr>
          <w:rFonts w:eastAsia="Calibri"/>
          <w:b/>
        </w:rPr>
        <w:t xml:space="preserve">, 18, 21, </w:t>
      </w:r>
      <w:r w:rsidR="004D7BF7">
        <w:rPr>
          <w:rFonts w:eastAsia="Calibri"/>
          <w:b/>
        </w:rPr>
        <w:t xml:space="preserve">22, </w:t>
      </w:r>
      <w:r w:rsidR="00270F5A">
        <w:rPr>
          <w:rFonts w:eastAsia="Calibri"/>
          <w:b/>
        </w:rPr>
        <w:t xml:space="preserve">53 </w:t>
      </w:r>
      <w:r w:rsidR="00946DDF" w:rsidRPr="00366512">
        <w:rPr>
          <w:b/>
        </w:rPr>
        <w:t>STRAIP</w:t>
      </w:r>
      <w:r w:rsidR="00D34EA0" w:rsidRPr="00366512">
        <w:rPr>
          <w:b/>
        </w:rPr>
        <w:t>S</w:t>
      </w:r>
      <w:r w:rsidR="00946DDF" w:rsidRPr="00366512">
        <w:rPr>
          <w:b/>
        </w:rPr>
        <w:t>NIŲ</w:t>
      </w:r>
      <w:r w:rsidR="00237796">
        <w:rPr>
          <w:b/>
        </w:rPr>
        <w:t xml:space="preserve"> IR</w:t>
      </w:r>
      <w:r w:rsidR="00AC10E5" w:rsidRPr="00366512">
        <w:rPr>
          <w:b/>
        </w:rPr>
        <w:t xml:space="preserve"> PRIEDO </w:t>
      </w:r>
      <w:r w:rsidR="00946DDF" w:rsidRPr="00366512">
        <w:rPr>
          <w:b/>
        </w:rPr>
        <w:t>PAKEITIMO ĮSTATYMO PROJEKTO</w:t>
      </w:r>
    </w:p>
    <w:p w14:paraId="1EDF5DED" w14:textId="77777777" w:rsidR="008676EE" w:rsidRPr="00937307" w:rsidRDefault="008676EE" w:rsidP="008676EE">
      <w:pPr>
        <w:tabs>
          <w:tab w:val="left" w:pos="993"/>
        </w:tabs>
        <w:jc w:val="center"/>
        <w:rPr>
          <w:rFonts w:ascii="TimesNewRomanBold" w:eastAsia="Andale Sans UI" w:hAnsi="TimesNewRomanBold"/>
          <w:b/>
          <w:bCs/>
        </w:rPr>
      </w:pPr>
      <w:r w:rsidRPr="00937307">
        <w:rPr>
          <w:rFonts w:ascii="TimesNewRomanBold" w:eastAsia="Andale Sans UI" w:hAnsi="TimesNewRomanBold"/>
          <w:b/>
          <w:bCs/>
        </w:rPr>
        <w:t>ATITIKTIES LENTELĖ</w:t>
      </w:r>
    </w:p>
    <w:p w14:paraId="7A231420" w14:textId="3A7E0F7F" w:rsidR="008676EE" w:rsidRDefault="008676EE" w:rsidP="008676EE">
      <w:pPr>
        <w:autoSpaceDE w:val="0"/>
        <w:jc w:val="center"/>
        <w:rPr>
          <w:rFonts w:ascii="TimesNewRomanBold" w:eastAsia="Andale Sans UI" w:hAnsi="TimesNewRomanBold"/>
          <w:b/>
          <w:bCs/>
        </w:rPr>
      </w:pPr>
    </w:p>
    <w:p w14:paraId="11255401" w14:textId="77777777" w:rsidR="00A7125F" w:rsidRDefault="00A7125F" w:rsidP="008676EE">
      <w:pPr>
        <w:autoSpaceDE w:val="0"/>
        <w:jc w:val="center"/>
        <w:rPr>
          <w:rFonts w:ascii="TimesNewRomanBold" w:eastAsia="Andale Sans UI" w:hAnsi="TimesNewRomanBold"/>
          <w:b/>
          <w:bCs/>
        </w:rPr>
      </w:pPr>
    </w:p>
    <w:tbl>
      <w:tblPr>
        <w:tblW w:w="15592"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6380"/>
        <w:gridCol w:w="7512"/>
        <w:gridCol w:w="1700"/>
      </w:tblGrid>
      <w:tr w:rsidR="008676EE" w:rsidRPr="00937307" w14:paraId="7CDD4648" w14:textId="77777777" w:rsidTr="00231798">
        <w:tc>
          <w:tcPr>
            <w:tcW w:w="6380" w:type="dxa"/>
            <w:tcBorders>
              <w:top w:val="single" w:sz="4" w:space="0" w:color="auto"/>
              <w:left w:val="single" w:sz="4" w:space="0" w:color="auto"/>
              <w:bottom w:val="single" w:sz="4" w:space="0" w:color="auto"/>
              <w:right w:val="single" w:sz="4" w:space="0" w:color="auto"/>
            </w:tcBorders>
            <w:vAlign w:val="center"/>
            <w:hideMark/>
          </w:tcPr>
          <w:p w14:paraId="4D337CD4" w14:textId="71C40188" w:rsidR="00123E25" w:rsidRPr="009F377F" w:rsidRDefault="00D95C63" w:rsidP="00946DDF">
            <w:pPr>
              <w:widowControl/>
              <w:suppressAutoHyphens w:val="0"/>
              <w:autoSpaceDE w:val="0"/>
              <w:autoSpaceDN w:val="0"/>
              <w:adjustRightInd w:val="0"/>
              <w:jc w:val="both"/>
              <w:rPr>
                <w:b/>
                <w:bCs/>
              </w:rPr>
            </w:pPr>
            <w:r w:rsidRPr="009F377F">
              <w:rPr>
                <w:b/>
              </w:rPr>
              <w:t>20</w:t>
            </w:r>
            <w:r w:rsidR="007F3C19" w:rsidRPr="009F377F">
              <w:rPr>
                <w:b/>
              </w:rPr>
              <w:t>19</w:t>
            </w:r>
            <w:r w:rsidRPr="009F377F">
              <w:rPr>
                <w:b/>
              </w:rPr>
              <w:t xml:space="preserve"> m. birželio </w:t>
            </w:r>
            <w:r w:rsidR="007F3C19" w:rsidRPr="009F377F">
              <w:rPr>
                <w:b/>
              </w:rPr>
              <w:t>20</w:t>
            </w:r>
            <w:r w:rsidRPr="009F377F">
              <w:rPr>
                <w:b/>
              </w:rPr>
              <w:t xml:space="preserve"> d. </w:t>
            </w:r>
            <w:r w:rsidR="007F3C19" w:rsidRPr="009F377F">
              <w:rPr>
                <w:b/>
              </w:rPr>
              <w:t xml:space="preserve">Europos Parlamento ir Tarybos reglamentas (ES) 2019/1241 dėl žuvininkystės išteklių išsaugojimo ir jūrų ekosistemų apsaugos taikant technines priemones, kuriuo iš dalies keičiami Tarybos reglamentai (EB) Nr. 2019/2006, (EB) Nr. 1224/2009 ir Europos Parlamento ir Tarybos reglamentai (ES) Nr. 1380/2013, (ES) 2016/1139, (ES) 2018/973, (ES) 2019/472 ir (ES) 2019/1022 ir panaikinami Tarybos reglamentai (EB) Nr. 894/97, (EB) Nr. 850/98, (EB) Nr. 2549/2000, (EB) Nr. 254/2002, (EB) Nr. 812/2004 bei (EB) Nr. 2187/2005 </w:t>
            </w:r>
          </w:p>
        </w:tc>
        <w:tc>
          <w:tcPr>
            <w:tcW w:w="7512" w:type="dxa"/>
            <w:tcBorders>
              <w:top w:val="single" w:sz="4" w:space="0" w:color="auto"/>
              <w:left w:val="single" w:sz="4" w:space="0" w:color="auto"/>
              <w:bottom w:val="single" w:sz="4" w:space="0" w:color="auto"/>
              <w:right w:val="single" w:sz="4" w:space="0" w:color="auto"/>
            </w:tcBorders>
            <w:vAlign w:val="center"/>
            <w:hideMark/>
          </w:tcPr>
          <w:p w14:paraId="4044E8E9" w14:textId="6A64764F" w:rsidR="008676EE" w:rsidRPr="009F377F" w:rsidRDefault="00322ECA" w:rsidP="00237796">
            <w:pPr>
              <w:tabs>
                <w:tab w:val="left" w:pos="993"/>
              </w:tabs>
              <w:jc w:val="both"/>
              <w:rPr>
                <w:rFonts w:eastAsia="Calibri"/>
                <w:b/>
              </w:rPr>
            </w:pPr>
            <w:r w:rsidRPr="009F377F">
              <w:rPr>
                <w:rFonts w:eastAsia="Andale Sans UI"/>
                <w:b/>
                <w:bCs/>
              </w:rPr>
              <w:t xml:space="preserve">Lietuvos Respublikos </w:t>
            </w:r>
            <w:r w:rsidRPr="009F377F">
              <w:rPr>
                <w:b/>
              </w:rPr>
              <w:t xml:space="preserve">žuvininkystės </w:t>
            </w:r>
            <w:r w:rsidRPr="009F377F">
              <w:rPr>
                <w:rFonts w:eastAsia="Calibri"/>
                <w:b/>
              </w:rPr>
              <w:t xml:space="preserve">įstatymo </w:t>
            </w:r>
            <w:r w:rsidR="00231E1C" w:rsidRPr="009F377F">
              <w:rPr>
                <w:rFonts w:eastAsia="Calibri"/>
                <w:b/>
              </w:rPr>
              <w:t xml:space="preserve">Nr. </w:t>
            </w:r>
            <w:r w:rsidR="00946DDF" w:rsidRPr="009F377F">
              <w:rPr>
                <w:rFonts w:eastAsia="Calibri"/>
                <w:b/>
              </w:rPr>
              <w:t xml:space="preserve">VIII-1756 </w:t>
            </w:r>
            <w:r w:rsidR="00CD7781">
              <w:rPr>
                <w:rFonts w:eastAsia="Calibri"/>
                <w:b/>
              </w:rPr>
              <w:t xml:space="preserve">8, </w:t>
            </w:r>
            <w:r w:rsidR="00125073">
              <w:rPr>
                <w:rFonts w:eastAsia="Calibri"/>
                <w:b/>
              </w:rPr>
              <w:t xml:space="preserve">12, </w:t>
            </w:r>
            <w:r w:rsidR="00270F5A" w:rsidRPr="009F377F">
              <w:rPr>
                <w:rFonts w:eastAsia="Calibri"/>
                <w:b/>
              </w:rPr>
              <w:t>13, 14</w:t>
            </w:r>
            <w:r w:rsidR="00270F5A" w:rsidRPr="009F377F">
              <w:rPr>
                <w:rFonts w:eastAsia="Calibri"/>
                <w:b/>
                <w:vertAlign w:val="superscript"/>
              </w:rPr>
              <w:t>1</w:t>
            </w:r>
            <w:r w:rsidR="00270F5A" w:rsidRPr="009F377F">
              <w:rPr>
                <w:rFonts w:eastAsia="Calibri"/>
                <w:b/>
              </w:rPr>
              <w:t>, 14</w:t>
            </w:r>
            <w:r w:rsidR="00270F5A" w:rsidRPr="009F377F">
              <w:rPr>
                <w:rFonts w:eastAsia="Calibri"/>
                <w:b/>
                <w:vertAlign w:val="superscript"/>
              </w:rPr>
              <w:t>3</w:t>
            </w:r>
            <w:r w:rsidR="00270F5A" w:rsidRPr="009F377F">
              <w:rPr>
                <w:rFonts w:eastAsia="Calibri"/>
                <w:b/>
              </w:rPr>
              <w:t>, 14</w:t>
            </w:r>
            <w:r w:rsidR="00270F5A" w:rsidRPr="009F377F">
              <w:rPr>
                <w:rFonts w:eastAsia="Calibri"/>
                <w:b/>
                <w:vertAlign w:val="superscript"/>
              </w:rPr>
              <w:t>4</w:t>
            </w:r>
            <w:r w:rsidR="00270F5A" w:rsidRPr="009F377F">
              <w:rPr>
                <w:rFonts w:eastAsia="Calibri"/>
                <w:b/>
              </w:rPr>
              <w:t>, 15,</w:t>
            </w:r>
            <w:r w:rsidR="006153F9">
              <w:rPr>
                <w:rFonts w:eastAsia="Calibri"/>
                <w:b/>
              </w:rPr>
              <w:t xml:space="preserve"> </w:t>
            </w:r>
            <w:r w:rsidR="00270F5A" w:rsidRPr="009F377F">
              <w:rPr>
                <w:rFonts w:eastAsia="Calibri"/>
                <w:b/>
              </w:rPr>
              <w:t>17</w:t>
            </w:r>
            <w:r w:rsidR="00270F5A" w:rsidRPr="009F377F">
              <w:rPr>
                <w:rFonts w:eastAsia="Calibri"/>
                <w:b/>
                <w:vertAlign w:val="superscript"/>
              </w:rPr>
              <w:t>1</w:t>
            </w:r>
            <w:r w:rsidR="00270F5A" w:rsidRPr="009F377F">
              <w:rPr>
                <w:rFonts w:eastAsia="Calibri"/>
                <w:b/>
              </w:rPr>
              <w:t xml:space="preserve">, 18, 21, </w:t>
            </w:r>
            <w:r w:rsidR="004D7BF7">
              <w:rPr>
                <w:rFonts w:eastAsia="Calibri"/>
                <w:b/>
              </w:rPr>
              <w:t xml:space="preserve">22, </w:t>
            </w:r>
            <w:r w:rsidR="00270F5A" w:rsidRPr="009F377F">
              <w:rPr>
                <w:rFonts w:eastAsia="Calibri"/>
                <w:b/>
              </w:rPr>
              <w:t xml:space="preserve">53 </w:t>
            </w:r>
            <w:r w:rsidR="00946DDF" w:rsidRPr="009F377F">
              <w:rPr>
                <w:rFonts w:eastAsia="Calibri"/>
                <w:b/>
              </w:rPr>
              <w:t>straipsnių</w:t>
            </w:r>
            <w:r w:rsidR="00237796" w:rsidRPr="009F377F">
              <w:rPr>
                <w:rFonts w:eastAsia="Calibri"/>
                <w:b/>
              </w:rPr>
              <w:t xml:space="preserve"> ir</w:t>
            </w:r>
            <w:r w:rsidR="00231E1C" w:rsidRPr="009F377F">
              <w:rPr>
                <w:rFonts w:eastAsia="Calibri"/>
                <w:b/>
              </w:rPr>
              <w:t xml:space="preserve"> </w:t>
            </w:r>
            <w:r w:rsidR="00AC10E5" w:rsidRPr="009F377F">
              <w:rPr>
                <w:rFonts w:eastAsia="Calibri"/>
                <w:b/>
              </w:rPr>
              <w:t xml:space="preserve">priedo </w:t>
            </w:r>
            <w:r w:rsidR="00946DDF" w:rsidRPr="009F377F">
              <w:rPr>
                <w:rFonts w:eastAsia="Calibri"/>
                <w:b/>
              </w:rPr>
              <w:t>pakeitimo įstatymo projektas</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EA7F7E1" w14:textId="77777777" w:rsidR="008676EE" w:rsidRPr="009F377F" w:rsidRDefault="008676EE" w:rsidP="004A2B69">
            <w:pPr>
              <w:pStyle w:val="TableContents"/>
              <w:snapToGrid w:val="0"/>
              <w:jc w:val="center"/>
              <w:rPr>
                <w:b/>
                <w:bCs/>
              </w:rPr>
            </w:pPr>
            <w:r w:rsidRPr="009F377F">
              <w:rPr>
                <w:b/>
                <w:bCs/>
              </w:rPr>
              <w:t>Reglamento įgyvendinimo lygis</w:t>
            </w:r>
          </w:p>
        </w:tc>
      </w:tr>
      <w:tr w:rsidR="008A6E11" w:rsidRPr="00937307" w14:paraId="5F0AF132" w14:textId="77777777" w:rsidTr="00231798">
        <w:trPr>
          <w:trHeight w:val="1820"/>
        </w:trPr>
        <w:tc>
          <w:tcPr>
            <w:tcW w:w="6380" w:type="dxa"/>
            <w:tcBorders>
              <w:top w:val="single" w:sz="4" w:space="0" w:color="auto"/>
              <w:left w:val="single" w:sz="4" w:space="0" w:color="auto"/>
              <w:bottom w:val="single" w:sz="4" w:space="0" w:color="auto"/>
              <w:right w:val="single" w:sz="4" w:space="0" w:color="auto"/>
            </w:tcBorders>
          </w:tcPr>
          <w:p w14:paraId="4FDE264D" w14:textId="77777777" w:rsidR="008A6E11" w:rsidRPr="009F377F" w:rsidRDefault="008A6E11" w:rsidP="009F377F">
            <w:pPr>
              <w:widowControl/>
              <w:suppressAutoHyphens w:val="0"/>
              <w:autoSpaceDE w:val="0"/>
              <w:autoSpaceDN w:val="0"/>
              <w:adjustRightInd w:val="0"/>
              <w:spacing w:before="60" w:after="60" w:line="360" w:lineRule="auto"/>
              <w:rPr>
                <w:rFonts w:eastAsiaTheme="minorHAnsi"/>
                <w:color w:val="000000"/>
                <w:kern w:val="0"/>
                <w:lang w:eastAsia="en-US"/>
              </w:rPr>
            </w:pPr>
          </w:p>
          <w:p w14:paraId="1870326A" w14:textId="1B0399AB" w:rsidR="008A6E11" w:rsidRPr="009F377F" w:rsidRDefault="007F3C19" w:rsidP="009F377F">
            <w:pPr>
              <w:widowControl/>
              <w:suppressAutoHyphens w:val="0"/>
              <w:autoSpaceDE w:val="0"/>
              <w:autoSpaceDN w:val="0"/>
              <w:adjustRightInd w:val="0"/>
              <w:spacing w:line="360" w:lineRule="auto"/>
              <w:rPr>
                <w:rFonts w:eastAsiaTheme="minorHAnsi"/>
                <w:b/>
                <w:iCs/>
                <w:color w:val="000000"/>
                <w:kern w:val="0"/>
                <w:lang w:eastAsia="en-US"/>
              </w:rPr>
            </w:pPr>
            <w:r w:rsidRPr="009F377F">
              <w:rPr>
                <w:rFonts w:eastAsiaTheme="minorHAnsi"/>
                <w:b/>
                <w:iCs/>
                <w:color w:val="000000"/>
                <w:kern w:val="0"/>
                <w:lang w:eastAsia="en-US"/>
              </w:rPr>
              <w:t>25</w:t>
            </w:r>
            <w:r w:rsidR="008A6E11" w:rsidRPr="009F377F">
              <w:rPr>
                <w:rFonts w:eastAsiaTheme="minorHAnsi"/>
                <w:b/>
                <w:iCs/>
                <w:color w:val="000000"/>
                <w:kern w:val="0"/>
                <w:lang w:eastAsia="en-US"/>
              </w:rPr>
              <w:t xml:space="preserve"> straipsnis </w:t>
            </w:r>
          </w:p>
          <w:p w14:paraId="234AC934" w14:textId="60611853" w:rsidR="008A6E11" w:rsidRPr="009F377F" w:rsidRDefault="007F3C19" w:rsidP="009F377F">
            <w:pPr>
              <w:widowControl/>
              <w:suppressAutoHyphens w:val="0"/>
              <w:autoSpaceDE w:val="0"/>
              <w:autoSpaceDN w:val="0"/>
              <w:adjustRightInd w:val="0"/>
              <w:spacing w:line="360" w:lineRule="auto"/>
              <w:rPr>
                <w:rFonts w:eastAsiaTheme="minorHAnsi"/>
                <w:b/>
                <w:bCs/>
                <w:color w:val="000000"/>
                <w:kern w:val="0"/>
                <w:lang w:eastAsia="en-US"/>
              </w:rPr>
            </w:pPr>
            <w:r w:rsidRPr="009F377F">
              <w:rPr>
                <w:rFonts w:eastAsiaTheme="minorHAnsi"/>
                <w:b/>
                <w:bCs/>
                <w:color w:val="000000"/>
                <w:kern w:val="0"/>
                <w:lang w:eastAsia="en-US"/>
              </w:rPr>
              <w:t>Moksliniai tyrimai</w:t>
            </w:r>
            <w:r w:rsidR="008A6E11" w:rsidRPr="009F377F">
              <w:rPr>
                <w:rFonts w:eastAsiaTheme="minorHAnsi"/>
                <w:b/>
                <w:bCs/>
                <w:color w:val="000000"/>
                <w:kern w:val="0"/>
                <w:lang w:eastAsia="en-US"/>
              </w:rPr>
              <w:t xml:space="preserve"> </w:t>
            </w:r>
          </w:p>
          <w:p w14:paraId="6A08C71D" w14:textId="212BE58D" w:rsidR="007F3C19" w:rsidRPr="009F377F" w:rsidRDefault="007F3C19" w:rsidP="009F377F">
            <w:pPr>
              <w:pageBreakBefore/>
              <w:widowControl/>
              <w:suppressAutoHyphens w:val="0"/>
              <w:autoSpaceDE w:val="0"/>
              <w:autoSpaceDN w:val="0"/>
              <w:adjustRightInd w:val="0"/>
              <w:spacing w:line="360" w:lineRule="auto"/>
            </w:pPr>
            <w:r w:rsidRPr="009F377F">
              <w:t>1. Šiame reglamente numatytos techninės priemonės netaikomos žvejybos operacijoms, vykdomoms mokslinių tyrimų tikslais, laikantis šių sąlygų:</w:t>
            </w:r>
          </w:p>
          <w:p w14:paraId="07158851" w14:textId="508A7073" w:rsidR="008A6E11" w:rsidRPr="009F377F" w:rsidRDefault="008A6E11" w:rsidP="009F377F">
            <w:pPr>
              <w:pageBreakBefore/>
              <w:widowControl/>
              <w:suppressAutoHyphens w:val="0"/>
              <w:autoSpaceDE w:val="0"/>
              <w:autoSpaceDN w:val="0"/>
              <w:adjustRightInd w:val="0"/>
              <w:spacing w:line="360" w:lineRule="auto"/>
            </w:pPr>
            <w:r w:rsidRPr="009F377F">
              <w:t>&lt;...&gt;</w:t>
            </w:r>
          </w:p>
          <w:p w14:paraId="633209C1" w14:textId="77777777" w:rsidR="008A6E11" w:rsidRPr="009F377F" w:rsidRDefault="007F3C19" w:rsidP="009F377F">
            <w:pPr>
              <w:pageBreakBefore/>
              <w:widowControl/>
              <w:suppressAutoHyphens w:val="0"/>
              <w:autoSpaceDE w:val="0"/>
              <w:autoSpaceDN w:val="0"/>
              <w:adjustRightInd w:val="0"/>
              <w:spacing w:line="360" w:lineRule="auto"/>
              <w:jc w:val="both"/>
              <w:rPr>
                <w:rFonts w:eastAsiaTheme="minorHAnsi"/>
                <w:color w:val="000000"/>
                <w:kern w:val="0"/>
                <w:lang w:eastAsia="en-US"/>
              </w:rPr>
            </w:pPr>
            <w:r w:rsidRPr="009F377F">
              <w:rPr>
                <w:rFonts w:eastAsiaTheme="minorHAnsi"/>
                <w:color w:val="000000"/>
                <w:kern w:val="0"/>
                <w:lang w:eastAsia="en-US"/>
              </w:rPr>
              <w:t xml:space="preserve">b) Komisija ir valstybė narė, kurios vandenyse, į kuriuos ji turi suverenias teises arba kurie priklauso jos jurisdikcijai, vykdomos žvejybos operacijos (pakrantės valstybė narė), apie ketinimą vykdyti tokias žvejybos operacijas informuojamos bent prieš dvi </w:t>
            </w:r>
            <w:r w:rsidRPr="009F377F">
              <w:rPr>
                <w:rFonts w:eastAsiaTheme="minorHAnsi"/>
                <w:color w:val="000000"/>
                <w:kern w:val="0"/>
                <w:lang w:eastAsia="en-US"/>
              </w:rPr>
              <w:lastRenderedPageBreak/>
              <w:t>savaites, pateikiant išsamią informaciją apie dalyvausiančius laivus ir vykdytinus mokslinius tyrimus;</w:t>
            </w:r>
          </w:p>
          <w:p w14:paraId="601B3648" w14:textId="2C12192E" w:rsidR="007F3C19" w:rsidRPr="00956AD9" w:rsidRDefault="007F3C19" w:rsidP="009F377F">
            <w:pPr>
              <w:pageBreakBefore/>
              <w:widowControl/>
              <w:suppressAutoHyphens w:val="0"/>
              <w:autoSpaceDE w:val="0"/>
              <w:autoSpaceDN w:val="0"/>
              <w:adjustRightInd w:val="0"/>
              <w:spacing w:line="360" w:lineRule="auto"/>
              <w:jc w:val="both"/>
              <w:rPr>
                <w:rFonts w:eastAsiaTheme="minorHAnsi"/>
                <w:b/>
                <w:iCs/>
                <w:kern w:val="0"/>
                <w:sz w:val="22"/>
                <w:szCs w:val="22"/>
                <w:lang w:eastAsia="en-US"/>
              </w:rPr>
            </w:pPr>
            <w:r w:rsidRPr="009F377F">
              <w:rPr>
                <w:rFonts w:eastAsiaTheme="minorHAnsi"/>
                <w:color w:val="000000"/>
                <w:kern w:val="0"/>
                <w:lang w:eastAsia="en-US"/>
              </w:rPr>
              <w:t>&lt;...&gt;</w:t>
            </w:r>
          </w:p>
        </w:tc>
        <w:tc>
          <w:tcPr>
            <w:tcW w:w="7512" w:type="dxa"/>
            <w:tcBorders>
              <w:top w:val="single" w:sz="4" w:space="0" w:color="auto"/>
              <w:left w:val="single" w:sz="4" w:space="0" w:color="auto"/>
              <w:bottom w:val="single" w:sz="4" w:space="0" w:color="auto"/>
              <w:right w:val="single" w:sz="4" w:space="0" w:color="auto"/>
            </w:tcBorders>
          </w:tcPr>
          <w:p w14:paraId="3705A4D1" w14:textId="555494E9" w:rsidR="007F3C19" w:rsidRPr="009F377F" w:rsidRDefault="00125073" w:rsidP="007F3C19">
            <w:pPr>
              <w:tabs>
                <w:tab w:val="left" w:pos="993"/>
              </w:tabs>
              <w:ind w:left="57" w:firstLine="1134"/>
              <w:jc w:val="both"/>
              <w:rPr>
                <w:rFonts w:eastAsia="Calibri"/>
                <w:b/>
              </w:rPr>
            </w:pPr>
            <w:r>
              <w:rPr>
                <w:rFonts w:eastAsia="Calibri"/>
                <w:b/>
              </w:rPr>
              <w:lastRenderedPageBreak/>
              <w:t>11</w:t>
            </w:r>
            <w:r w:rsidR="007F3C19" w:rsidRPr="009F377F">
              <w:rPr>
                <w:rFonts w:eastAsia="Calibri"/>
                <w:b/>
              </w:rPr>
              <w:t xml:space="preserve"> straipsnis. 21 straipsnio pakeitimas</w:t>
            </w:r>
          </w:p>
          <w:p w14:paraId="0B00DADB" w14:textId="77777777" w:rsidR="00231798" w:rsidRPr="009F377F" w:rsidRDefault="00231798" w:rsidP="00231798">
            <w:pPr>
              <w:tabs>
                <w:tab w:val="left" w:pos="993"/>
              </w:tabs>
              <w:ind w:left="57" w:firstLine="1077"/>
              <w:jc w:val="both"/>
              <w:rPr>
                <w:rFonts w:eastAsia="Calibri"/>
              </w:rPr>
            </w:pPr>
            <w:r w:rsidRPr="009F377F">
              <w:t>&lt;...&gt;</w:t>
            </w:r>
          </w:p>
          <w:p w14:paraId="1A965A1C" w14:textId="214E50FD" w:rsidR="00BD7672" w:rsidRPr="009F377F" w:rsidRDefault="009F377F" w:rsidP="00BD7672">
            <w:pPr>
              <w:tabs>
                <w:tab w:val="left" w:pos="993"/>
              </w:tabs>
              <w:ind w:firstLine="1276"/>
              <w:jc w:val="both"/>
              <w:rPr>
                <w:rFonts w:eastAsia="Calibri"/>
              </w:rPr>
            </w:pPr>
            <w:r w:rsidRPr="009F377F">
              <w:rPr>
                <w:rFonts w:eastAsia="Calibri"/>
              </w:rPr>
              <w:t>2</w:t>
            </w:r>
            <w:r w:rsidR="00BD7672" w:rsidRPr="009F377F">
              <w:rPr>
                <w:rFonts w:eastAsia="Calibri"/>
              </w:rPr>
              <w:t>. Pakeisti 21 straipsnio 5 dalį ir ją išdėstyti taip:</w:t>
            </w:r>
          </w:p>
          <w:p w14:paraId="1EF6B35C" w14:textId="1D9B39D0" w:rsidR="009F377F" w:rsidRDefault="00CD7781" w:rsidP="009F377F">
            <w:pPr>
              <w:pStyle w:val="Standard"/>
              <w:tabs>
                <w:tab w:val="left" w:pos="1050"/>
              </w:tabs>
              <w:spacing w:after="0" w:line="360" w:lineRule="auto"/>
              <w:ind w:left="57" w:firstLine="1077"/>
              <w:jc w:val="both"/>
              <w:rPr>
                <w:rFonts w:ascii="Times New Roman" w:eastAsia="Calibri" w:hAnsi="Times New Roman" w:cs="Times New Roman"/>
                <w:sz w:val="24"/>
                <w:szCs w:val="24"/>
              </w:rPr>
            </w:pPr>
            <w:r w:rsidRPr="00CD7781">
              <w:rPr>
                <w:rFonts w:ascii="Times New Roman" w:eastAsia="Calibri" w:hAnsi="Times New Roman" w:cs="Times New Roman"/>
                <w:sz w:val="24"/>
                <w:szCs w:val="24"/>
              </w:rPr>
              <w:t xml:space="preserve">„5. </w:t>
            </w:r>
            <w:r w:rsidR="00285568" w:rsidRPr="00285568">
              <w:rPr>
                <w:rFonts w:ascii="Times New Roman" w:eastAsia="Calibri" w:hAnsi="Times New Roman" w:cs="Times New Roman"/>
                <w:sz w:val="24"/>
                <w:szCs w:val="24"/>
              </w:rPr>
              <w:t xml:space="preserve">Specialiosios žvejybos leidimą išduoti įgaliota institucija ne vėliau kaip per 10 darbo dienų nuo dokumentų leidimui išduoti gavimo dienos išduoda specialiosios žvejybos leidimą arba informuoja apie atsisakymą jį išduoti, nurodydama atsisakymo priežastis, tokiu būdu, kokiu buvo gauti dokumentai leidimui išduoti, arba kitu pareiškėjo prašyme nurodytu būdu. Jei specialiąją žvejybą mokslinių tyrimų tikslais planuojama vykdyti jūrų vandenyse, į kuriuos viena ar kelios kitos Europos Sąjungos valstybės narės turi suverenias teises arba kurie priklauso jų jurisdikcijai, specialiosios žvejybos leidimo išdavimo terminas gali būti pratęstas dviem savaitėms, išskyrus tą atvejį, jei specialiąją žvejybą planuojama vykdyti </w:t>
            </w:r>
            <w:r w:rsidR="00285568" w:rsidRPr="00285568">
              <w:rPr>
                <w:rFonts w:ascii="Times New Roman" w:eastAsia="Calibri" w:hAnsi="Times New Roman" w:cs="Times New Roman"/>
                <w:sz w:val="24"/>
                <w:szCs w:val="24"/>
              </w:rPr>
              <w:lastRenderedPageBreak/>
              <w:t>vandens organizmų išteklių atkūrimo arba perkėlimo tikslais – tokiu atveju terminas pratęsiamas 20 kalendorinių dienų ir specialiosios žvejybos leidimas išduodamas tik gavus suinteresuotų Europos Sąjungos valstybių narių leidimą. Jei specialiąją žvejybą jūrų vandenyse planuojama vykdyti daugiau kaip 6 žvejybos laivais, specialiosios žvejybos leidimo išdavimo terminas pratęsiamas 3 mėnesiais ir specialiosios žvejybos leidimas išduodamas tik gavus Europos Komisijos pritarimą.</w:t>
            </w:r>
            <w:r w:rsidRPr="00CD7781">
              <w:rPr>
                <w:rFonts w:ascii="Times New Roman" w:eastAsia="Calibri" w:hAnsi="Times New Roman" w:cs="Times New Roman"/>
                <w:sz w:val="24"/>
                <w:szCs w:val="24"/>
              </w:rPr>
              <w:t>“</w:t>
            </w:r>
          </w:p>
          <w:p w14:paraId="6B67C33D" w14:textId="77777777" w:rsidR="008A6E11" w:rsidRDefault="00CD7781" w:rsidP="00A7125F">
            <w:pPr>
              <w:pStyle w:val="Standard"/>
              <w:tabs>
                <w:tab w:val="left" w:pos="1050"/>
              </w:tabs>
              <w:spacing w:after="0" w:line="360" w:lineRule="auto"/>
              <w:ind w:left="57" w:firstLine="1077"/>
              <w:jc w:val="both"/>
            </w:pPr>
            <w:r w:rsidRPr="00B722C1">
              <w:t>&lt;...&gt;</w:t>
            </w:r>
          </w:p>
          <w:p w14:paraId="3AD8C69F" w14:textId="4C4AC4AB" w:rsidR="00A7125F" w:rsidRPr="00956AD9" w:rsidRDefault="00A7125F" w:rsidP="00A7125F">
            <w:pPr>
              <w:pStyle w:val="Standard"/>
              <w:tabs>
                <w:tab w:val="left" w:pos="1050"/>
              </w:tabs>
              <w:spacing w:after="0" w:line="360" w:lineRule="auto"/>
              <w:ind w:left="57" w:firstLine="1077"/>
              <w:jc w:val="both"/>
              <w:rPr>
                <w:rFonts w:eastAsia="Calibri"/>
                <w:b/>
              </w:rPr>
            </w:pPr>
          </w:p>
        </w:tc>
        <w:tc>
          <w:tcPr>
            <w:tcW w:w="1700" w:type="dxa"/>
            <w:tcBorders>
              <w:top w:val="single" w:sz="4" w:space="0" w:color="auto"/>
              <w:left w:val="single" w:sz="4" w:space="0" w:color="auto"/>
              <w:bottom w:val="single" w:sz="4" w:space="0" w:color="auto"/>
              <w:right w:val="single" w:sz="4" w:space="0" w:color="auto"/>
            </w:tcBorders>
          </w:tcPr>
          <w:p w14:paraId="29488B0B" w14:textId="31E61B0A" w:rsidR="008A6E11" w:rsidRDefault="00E41237" w:rsidP="004A2B69">
            <w:pPr>
              <w:pStyle w:val="TableContents"/>
              <w:rPr>
                <w:sz w:val="22"/>
                <w:szCs w:val="22"/>
              </w:rPr>
            </w:pPr>
            <w:r>
              <w:rPr>
                <w:sz w:val="22"/>
                <w:szCs w:val="22"/>
              </w:rPr>
              <w:lastRenderedPageBreak/>
              <w:t>Visiškas</w:t>
            </w:r>
          </w:p>
        </w:tc>
      </w:tr>
      <w:tr w:rsidR="00C500BB" w:rsidRPr="00937307" w14:paraId="70B7E0E3" w14:textId="77777777" w:rsidTr="00231798">
        <w:trPr>
          <w:trHeight w:val="1820"/>
        </w:trPr>
        <w:tc>
          <w:tcPr>
            <w:tcW w:w="6380" w:type="dxa"/>
            <w:tcBorders>
              <w:top w:val="single" w:sz="4" w:space="0" w:color="auto"/>
              <w:left w:val="single" w:sz="4" w:space="0" w:color="auto"/>
              <w:bottom w:val="single" w:sz="4" w:space="0" w:color="auto"/>
              <w:right w:val="single" w:sz="4" w:space="0" w:color="auto"/>
            </w:tcBorders>
          </w:tcPr>
          <w:p w14:paraId="41D400F4" w14:textId="77381593" w:rsidR="00C500BB" w:rsidRPr="009F377F" w:rsidRDefault="00BD7672" w:rsidP="00A7125F">
            <w:pPr>
              <w:widowControl/>
              <w:suppressAutoHyphens w:val="0"/>
              <w:autoSpaceDE w:val="0"/>
              <w:autoSpaceDN w:val="0"/>
              <w:adjustRightInd w:val="0"/>
              <w:spacing w:line="360" w:lineRule="auto"/>
              <w:rPr>
                <w:rFonts w:eastAsiaTheme="minorHAnsi"/>
                <w:b/>
                <w:bCs/>
                <w:iCs/>
                <w:kern w:val="0"/>
                <w:lang w:eastAsia="en-US"/>
              </w:rPr>
            </w:pPr>
            <w:r w:rsidRPr="009F377F">
              <w:rPr>
                <w:rFonts w:eastAsiaTheme="minorHAnsi"/>
                <w:b/>
                <w:bCs/>
                <w:iCs/>
                <w:kern w:val="0"/>
                <w:lang w:eastAsia="en-US"/>
              </w:rPr>
              <w:t>2</w:t>
            </w:r>
            <w:r w:rsidR="00C500BB" w:rsidRPr="009F377F">
              <w:rPr>
                <w:rFonts w:eastAsiaTheme="minorHAnsi"/>
                <w:b/>
                <w:bCs/>
                <w:iCs/>
                <w:kern w:val="0"/>
                <w:lang w:eastAsia="en-US"/>
              </w:rPr>
              <w:t>5 straipsnis</w:t>
            </w:r>
          </w:p>
          <w:p w14:paraId="53C23E79" w14:textId="77777777" w:rsidR="00BD7672" w:rsidRPr="009F377F" w:rsidRDefault="00BD7672" w:rsidP="00A7125F">
            <w:pPr>
              <w:widowControl/>
              <w:suppressAutoHyphens w:val="0"/>
              <w:autoSpaceDE w:val="0"/>
              <w:autoSpaceDN w:val="0"/>
              <w:adjustRightInd w:val="0"/>
              <w:spacing w:line="360" w:lineRule="auto"/>
              <w:rPr>
                <w:rFonts w:eastAsiaTheme="minorHAnsi"/>
                <w:b/>
                <w:bCs/>
                <w:iCs/>
                <w:kern w:val="0"/>
                <w:lang w:eastAsia="en-US"/>
              </w:rPr>
            </w:pPr>
            <w:r w:rsidRPr="009F377F">
              <w:rPr>
                <w:rFonts w:eastAsiaTheme="minorHAnsi"/>
                <w:b/>
                <w:bCs/>
                <w:iCs/>
                <w:kern w:val="0"/>
                <w:lang w:eastAsia="en-US"/>
              </w:rPr>
              <w:t xml:space="preserve">Moksliniai tyrimai </w:t>
            </w:r>
          </w:p>
          <w:p w14:paraId="2147464B" w14:textId="77777777" w:rsidR="00BD7672" w:rsidRPr="009F377F" w:rsidRDefault="00BD7672" w:rsidP="00A7125F">
            <w:pPr>
              <w:pageBreakBefore/>
              <w:widowControl/>
              <w:suppressAutoHyphens w:val="0"/>
              <w:autoSpaceDE w:val="0"/>
              <w:autoSpaceDN w:val="0"/>
              <w:adjustRightInd w:val="0"/>
              <w:spacing w:line="360" w:lineRule="auto"/>
            </w:pPr>
            <w:r w:rsidRPr="009F377F">
              <w:t>1. Šiame reglamente numatytos techninės priemonės netaikomos žvejybos operacijoms, vykdomoms mokslinių tyrimų tikslais, laikantis šių sąlygų:</w:t>
            </w:r>
          </w:p>
          <w:p w14:paraId="46605C79" w14:textId="77777777" w:rsidR="00BD7672" w:rsidRPr="009F377F" w:rsidRDefault="00BD7672" w:rsidP="00A7125F">
            <w:pPr>
              <w:pageBreakBefore/>
              <w:widowControl/>
              <w:suppressAutoHyphens w:val="0"/>
              <w:autoSpaceDE w:val="0"/>
              <w:autoSpaceDN w:val="0"/>
              <w:adjustRightInd w:val="0"/>
              <w:spacing w:line="360" w:lineRule="auto"/>
            </w:pPr>
            <w:r w:rsidRPr="009F377F">
              <w:t>&lt;...&gt;</w:t>
            </w:r>
          </w:p>
          <w:p w14:paraId="50AD6EE2" w14:textId="7D5DB8CC" w:rsidR="00BD7672" w:rsidRPr="009F377F" w:rsidRDefault="00BD7672" w:rsidP="00A7125F">
            <w:pPr>
              <w:widowControl/>
              <w:suppressAutoHyphens w:val="0"/>
              <w:autoSpaceDE w:val="0"/>
              <w:autoSpaceDN w:val="0"/>
              <w:adjustRightInd w:val="0"/>
              <w:spacing w:line="360" w:lineRule="auto"/>
              <w:rPr>
                <w:rFonts w:eastAsiaTheme="minorHAnsi"/>
                <w:iCs/>
                <w:kern w:val="0"/>
                <w:lang w:eastAsia="en-US"/>
              </w:rPr>
            </w:pPr>
            <w:r w:rsidRPr="009F377F">
              <w:rPr>
                <w:rFonts w:eastAsiaTheme="minorHAnsi"/>
                <w:iCs/>
                <w:kern w:val="0"/>
                <w:lang w:eastAsia="en-US"/>
              </w:rPr>
              <w:t>c) žvejybos operacijas vykdantis laivas ar laivai turi turėti pagal Reglamento (EB) Nr. 1224/2009 7 straipsnį išduotą galiojantį žvejybos leidimą;</w:t>
            </w:r>
          </w:p>
          <w:p w14:paraId="443D5867" w14:textId="172C14F9" w:rsidR="00C500BB" w:rsidRPr="00956AD9" w:rsidRDefault="00BD7672" w:rsidP="00A7125F">
            <w:pPr>
              <w:pageBreakBefore/>
              <w:widowControl/>
              <w:suppressAutoHyphens w:val="0"/>
              <w:autoSpaceDE w:val="0"/>
              <w:autoSpaceDN w:val="0"/>
              <w:adjustRightInd w:val="0"/>
              <w:spacing w:line="360" w:lineRule="auto"/>
              <w:rPr>
                <w:rFonts w:eastAsiaTheme="minorHAnsi"/>
                <w:b/>
                <w:iCs/>
                <w:kern w:val="0"/>
                <w:sz w:val="22"/>
                <w:szCs w:val="22"/>
                <w:lang w:eastAsia="en-US"/>
              </w:rPr>
            </w:pPr>
            <w:r w:rsidRPr="009F377F">
              <w:t>&lt;...&gt;</w:t>
            </w:r>
            <w:r w:rsidRPr="00BD7672">
              <w:rPr>
                <w:rFonts w:eastAsiaTheme="minorHAnsi"/>
                <w:iCs/>
                <w:kern w:val="0"/>
                <w:sz w:val="22"/>
                <w:szCs w:val="22"/>
                <w:lang w:eastAsia="en-US"/>
              </w:rPr>
              <w:t xml:space="preserve"> </w:t>
            </w:r>
          </w:p>
        </w:tc>
        <w:tc>
          <w:tcPr>
            <w:tcW w:w="7512" w:type="dxa"/>
            <w:tcBorders>
              <w:top w:val="single" w:sz="4" w:space="0" w:color="auto"/>
              <w:left w:val="single" w:sz="4" w:space="0" w:color="auto"/>
              <w:bottom w:val="single" w:sz="4" w:space="0" w:color="auto"/>
              <w:right w:val="single" w:sz="4" w:space="0" w:color="auto"/>
            </w:tcBorders>
          </w:tcPr>
          <w:p w14:paraId="720C9054" w14:textId="44352ADF" w:rsidR="00BD7672" w:rsidRPr="009F377F" w:rsidRDefault="00125073" w:rsidP="00BD7672">
            <w:pPr>
              <w:tabs>
                <w:tab w:val="left" w:pos="993"/>
              </w:tabs>
              <w:ind w:left="57" w:firstLine="1134"/>
              <w:jc w:val="both"/>
              <w:rPr>
                <w:rFonts w:eastAsia="Calibri"/>
                <w:b/>
              </w:rPr>
            </w:pPr>
            <w:r>
              <w:rPr>
                <w:rFonts w:eastAsia="Calibri"/>
                <w:b/>
              </w:rPr>
              <w:t>11</w:t>
            </w:r>
            <w:r w:rsidR="00BD7672" w:rsidRPr="009F377F">
              <w:rPr>
                <w:rFonts w:eastAsia="Calibri"/>
                <w:b/>
              </w:rPr>
              <w:t xml:space="preserve"> straipsnis. 21 straipsnio pakeitimas</w:t>
            </w:r>
          </w:p>
          <w:p w14:paraId="4C183833" w14:textId="77777777" w:rsidR="00BD7672" w:rsidRPr="009F377F" w:rsidRDefault="00BD7672" w:rsidP="009F377F">
            <w:pPr>
              <w:tabs>
                <w:tab w:val="left" w:pos="993"/>
              </w:tabs>
              <w:spacing w:line="360" w:lineRule="auto"/>
              <w:ind w:left="57" w:firstLine="1134"/>
              <w:jc w:val="both"/>
              <w:rPr>
                <w:rFonts w:eastAsia="Calibri"/>
              </w:rPr>
            </w:pPr>
            <w:r w:rsidRPr="009F377F">
              <w:rPr>
                <w:rFonts w:eastAsia="Calibri"/>
              </w:rPr>
              <w:t>1. Papildyti 21 straipsnio 2 dalį 6 punktu:</w:t>
            </w:r>
          </w:p>
          <w:p w14:paraId="5830C954" w14:textId="71D2907F" w:rsidR="00BD7672" w:rsidRPr="009F377F" w:rsidRDefault="00BD7672" w:rsidP="009F377F">
            <w:pPr>
              <w:tabs>
                <w:tab w:val="left" w:pos="993"/>
              </w:tabs>
              <w:spacing w:line="360" w:lineRule="auto"/>
              <w:ind w:left="57" w:firstLine="1134"/>
              <w:jc w:val="both"/>
              <w:rPr>
                <w:rFonts w:eastAsia="Calibri"/>
              </w:rPr>
            </w:pPr>
            <w:r w:rsidRPr="009F377F">
              <w:rPr>
                <w:rFonts w:eastAsia="Calibri"/>
              </w:rPr>
              <w:t xml:space="preserve">„6) </w:t>
            </w:r>
            <w:r w:rsidR="00285568" w:rsidRPr="00285568">
              <w:rPr>
                <w:rFonts w:eastAsia="Calibri"/>
              </w:rPr>
              <w:t>jeigu specialiosios žvejybos leidimas reikalingas žvejoti jūrų vandenyse mokslinių tyrimų tikslais, tai specialioji žvejyba bus vykdoma Lietuvos Respublikos žvejybos laivu, dėl kurio eksploatavimo yra išduotas verslinės žvejybos jūrų vandenyse leidimas; ši sąlyga netaikoma, jei verslinės žvejybos jūrų vandenyse leidimo nereikia pagal Reglamento (ES) Nr. 404/2011 4 straipsnio 5 dalį.</w:t>
            </w:r>
            <w:r w:rsidRPr="009F377F">
              <w:rPr>
                <w:rFonts w:eastAsia="Calibri"/>
              </w:rPr>
              <w:t>“</w:t>
            </w:r>
          </w:p>
          <w:p w14:paraId="3ADC805D" w14:textId="77C174F3" w:rsidR="00C500BB" w:rsidRPr="005F250D" w:rsidRDefault="00C500BB" w:rsidP="00C500BB">
            <w:pPr>
              <w:tabs>
                <w:tab w:val="left" w:pos="993"/>
              </w:tabs>
              <w:ind w:left="57" w:firstLine="1077"/>
              <w:jc w:val="both"/>
              <w:rPr>
                <w:rFonts w:eastAsia="Calibri"/>
                <w:b/>
                <w:sz w:val="22"/>
                <w:szCs w:val="22"/>
              </w:rPr>
            </w:pPr>
            <w:r w:rsidRPr="00B722C1">
              <w:rPr>
                <w:sz w:val="22"/>
                <w:szCs w:val="22"/>
              </w:rPr>
              <w:t>&lt;...&gt;</w:t>
            </w:r>
          </w:p>
        </w:tc>
        <w:tc>
          <w:tcPr>
            <w:tcW w:w="1700" w:type="dxa"/>
            <w:tcBorders>
              <w:top w:val="single" w:sz="4" w:space="0" w:color="auto"/>
              <w:left w:val="single" w:sz="4" w:space="0" w:color="auto"/>
              <w:bottom w:val="single" w:sz="4" w:space="0" w:color="auto"/>
              <w:right w:val="single" w:sz="4" w:space="0" w:color="auto"/>
            </w:tcBorders>
          </w:tcPr>
          <w:p w14:paraId="383552D7" w14:textId="3603EF67" w:rsidR="00C500BB" w:rsidRDefault="00BB65EF" w:rsidP="004A2B69">
            <w:pPr>
              <w:pStyle w:val="TableContents"/>
              <w:rPr>
                <w:sz w:val="22"/>
                <w:szCs w:val="22"/>
              </w:rPr>
            </w:pPr>
            <w:r>
              <w:rPr>
                <w:sz w:val="22"/>
                <w:szCs w:val="22"/>
              </w:rPr>
              <w:t>Visiškas</w:t>
            </w:r>
          </w:p>
        </w:tc>
      </w:tr>
      <w:tr w:rsidR="000030B7" w:rsidRPr="00937307" w14:paraId="75F222DC" w14:textId="77777777" w:rsidTr="00A7125F">
        <w:trPr>
          <w:trHeight w:val="365"/>
        </w:trPr>
        <w:tc>
          <w:tcPr>
            <w:tcW w:w="6380" w:type="dxa"/>
            <w:tcBorders>
              <w:top w:val="single" w:sz="4" w:space="0" w:color="auto"/>
              <w:left w:val="single" w:sz="4" w:space="0" w:color="auto"/>
              <w:bottom w:val="single" w:sz="4" w:space="0" w:color="auto"/>
              <w:right w:val="single" w:sz="4" w:space="0" w:color="auto"/>
            </w:tcBorders>
          </w:tcPr>
          <w:p w14:paraId="38E62541" w14:textId="77777777" w:rsidR="00E41237" w:rsidRPr="009F377F" w:rsidRDefault="00E41237" w:rsidP="009F377F">
            <w:pPr>
              <w:widowControl/>
              <w:suppressAutoHyphens w:val="0"/>
              <w:autoSpaceDE w:val="0"/>
              <w:autoSpaceDN w:val="0"/>
              <w:adjustRightInd w:val="0"/>
              <w:spacing w:line="360" w:lineRule="auto"/>
              <w:rPr>
                <w:rFonts w:eastAsiaTheme="minorHAnsi"/>
                <w:b/>
                <w:bCs/>
                <w:iCs/>
                <w:kern w:val="0"/>
                <w:lang w:eastAsia="en-US"/>
              </w:rPr>
            </w:pPr>
            <w:r w:rsidRPr="009F377F">
              <w:rPr>
                <w:rFonts w:eastAsiaTheme="minorHAnsi"/>
                <w:b/>
                <w:bCs/>
                <w:iCs/>
                <w:kern w:val="0"/>
                <w:lang w:eastAsia="en-US"/>
              </w:rPr>
              <w:t>25 straipsnis</w:t>
            </w:r>
          </w:p>
          <w:p w14:paraId="702FF6EB" w14:textId="77777777" w:rsidR="00E41237" w:rsidRPr="009F377F" w:rsidRDefault="00E41237" w:rsidP="009F377F">
            <w:pPr>
              <w:widowControl/>
              <w:suppressAutoHyphens w:val="0"/>
              <w:autoSpaceDE w:val="0"/>
              <w:autoSpaceDN w:val="0"/>
              <w:adjustRightInd w:val="0"/>
              <w:spacing w:line="360" w:lineRule="auto"/>
              <w:rPr>
                <w:rFonts w:eastAsiaTheme="minorHAnsi"/>
                <w:b/>
                <w:bCs/>
                <w:iCs/>
                <w:kern w:val="0"/>
                <w:lang w:eastAsia="en-US"/>
              </w:rPr>
            </w:pPr>
            <w:r w:rsidRPr="009F377F">
              <w:rPr>
                <w:rFonts w:eastAsiaTheme="minorHAnsi"/>
                <w:b/>
                <w:bCs/>
                <w:iCs/>
                <w:kern w:val="0"/>
                <w:lang w:eastAsia="en-US"/>
              </w:rPr>
              <w:t xml:space="preserve">Moksliniai tyrimai </w:t>
            </w:r>
          </w:p>
          <w:p w14:paraId="7B207A12" w14:textId="77777777" w:rsidR="00E41237" w:rsidRPr="009F377F" w:rsidRDefault="00E41237" w:rsidP="009F377F">
            <w:pPr>
              <w:pageBreakBefore/>
              <w:widowControl/>
              <w:suppressAutoHyphens w:val="0"/>
              <w:autoSpaceDE w:val="0"/>
              <w:autoSpaceDN w:val="0"/>
              <w:adjustRightInd w:val="0"/>
              <w:spacing w:line="360" w:lineRule="auto"/>
            </w:pPr>
            <w:r w:rsidRPr="009F377F">
              <w:lastRenderedPageBreak/>
              <w:t>1. Šiame reglamente numatytos techninės priemonės netaikomos žvejybos operacijoms, vykdomoms mokslinių tyrimų tikslais, laikantis šių sąlygų:</w:t>
            </w:r>
          </w:p>
          <w:p w14:paraId="27F8098A" w14:textId="77777777" w:rsidR="00E41237" w:rsidRPr="009F377F" w:rsidRDefault="00E41237" w:rsidP="009F377F">
            <w:pPr>
              <w:pageBreakBefore/>
              <w:widowControl/>
              <w:suppressAutoHyphens w:val="0"/>
              <w:autoSpaceDE w:val="0"/>
              <w:autoSpaceDN w:val="0"/>
              <w:adjustRightInd w:val="0"/>
              <w:spacing w:line="360" w:lineRule="auto"/>
            </w:pPr>
            <w:r w:rsidRPr="009F377F">
              <w:t>&lt;...&gt;</w:t>
            </w:r>
          </w:p>
          <w:p w14:paraId="57F18BDE" w14:textId="07A6791A" w:rsidR="00123E25" w:rsidRPr="000030B7" w:rsidRDefault="00E41237" w:rsidP="009F377F">
            <w:pPr>
              <w:widowControl/>
              <w:suppressAutoHyphens w:val="0"/>
              <w:autoSpaceDE w:val="0"/>
              <w:autoSpaceDN w:val="0"/>
              <w:adjustRightInd w:val="0"/>
              <w:spacing w:line="360" w:lineRule="auto"/>
              <w:jc w:val="both"/>
              <w:rPr>
                <w:sz w:val="22"/>
              </w:rPr>
            </w:pPr>
            <w:r w:rsidRPr="009F377F">
              <w:t>e) komercinių laivų vykdomų žvejybos operacijų mokslinių tyrimų tikslais laikas yra ribotas. Jei komercinių laivų vykdomose žvejybos operacijose mokslinių tyrimų tikslais dalyvauja daugiau kaip šeši komerciniai laivai, vėliavos valstybė narė informuoja Komisiją bent prieš tris mėnesius ir, jei tikslinga, Komisija pasikonsultuoja su ŽMTEK norėdama gauti patvirtinimą, kad tokio lygio dalyvavimas moksliniu požiūriu yra pagrįstas; jei, remiantis ŽMTEK rekomendacija, tokio lygio dalyvavimas nelaikomas pagrįstu, atitinkama valstybė narė atitinkamai iš dalies pakeičia mokslinių tyrimų sąlygas;</w:t>
            </w:r>
            <w:r w:rsidR="00956AD9" w:rsidRPr="000030B7">
              <w:rPr>
                <w:sz w:val="22"/>
              </w:rPr>
              <w:t xml:space="preserve"> </w:t>
            </w:r>
          </w:p>
        </w:tc>
        <w:tc>
          <w:tcPr>
            <w:tcW w:w="7512" w:type="dxa"/>
            <w:tcBorders>
              <w:top w:val="single" w:sz="4" w:space="0" w:color="auto"/>
              <w:left w:val="single" w:sz="4" w:space="0" w:color="auto"/>
              <w:bottom w:val="single" w:sz="4" w:space="0" w:color="auto"/>
              <w:right w:val="single" w:sz="4" w:space="0" w:color="auto"/>
            </w:tcBorders>
          </w:tcPr>
          <w:p w14:paraId="472E0CF3" w14:textId="7E105CA3" w:rsidR="005343B2" w:rsidRPr="00A7125F" w:rsidRDefault="00125073" w:rsidP="00E41237">
            <w:pPr>
              <w:tabs>
                <w:tab w:val="left" w:pos="993"/>
              </w:tabs>
              <w:ind w:left="57" w:firstLine="1134"/>
              <w:jc w:val="both"/>
              <w:rPr>
                <w:rFonts w:eastAsia="Calibri"/>
                <w:b/>
              </w:rPr>
            </w:pPr>
            <w:r>
              <w:rPr>
                <w:rFonts w:eastAsia="Calibri"/>
                <w:b/>
              </w:rPr>
              <w:lastRenderedPageBreak/>
              <w:t>3</w:t>
            </w:r>
            <w:r w:rsidR="005343B2" w:rsidRPr="00A7125F">
              <w:rPr>
                <w:rFonts w:eastAsia="Calibri"/>
                <w:b/>
              </w:rPr>
              <w:t xml:space="preserve"> straipsnis. 13 straipsnio pakeitimas</w:t>
            </w:r>
          </w:p>
          <w:p w14:paraId="0AF71F39" w14:textId="77777777" w:rsidR="005343B2" w:rsidRPr="00A7125F" w:rsidRDefault="005343B2" w:rsidP="005343B2">
            <w:pPr>
              <w:tabs>
                <w:tab w:val="left" w:pos="993"/>
              </w:tabs>
              <w:spacing w:line="360" w:lineRule="auto"/>
              <w:ind w:left="57" w:firstLine="1105"/>
              <w:jc w:val="both"/>
              <w:rPr>
                <w:rFonts w:eastAsia="Calibri"/>
              </w:rPr>
            </w:pPr>
            <w:r w:rsidRPr="00A7125F">
              <w:rPr>
                <w:rFonts w:eastAsia="Calibri"/>
              </w:rPr>
              <w:t>1. Pakeisti 13 straipsnio 1 dalies 9 punktą ir jį išdėstyti taip:</w:t>
            </w:r>
          </w:p>
          <w:p w14:paraId="457574AB" w14:textId="4ED0458F" w:rsidR="005343B2" w:rsidRPr="00A7125F" w:rsidRDefault="005343B2" w:rsidP="005343B2">
            <w:pPr>
              <w:pStyle w:val="Standard"/>
              <w:tabs>
                <w:tab w:val="left" w:pos="1050"/>
              </w:tabs>
              <w:spacing w:after="0" w:line="360" w:lineRule="auto"/>
              <w:ind w:left="57" w:firstLine="1105"/>
              <w:jc w:val="both"/>
              <w:rPr>
                <w:rFonts w:ascii="Times New Roman" w:eastAsia="Calibri" w:hAnsi="Times New Roman" w:cs="Times New Roman"/>
                <w:sz w:val="24"/>
                <w:szCs w:val="24"/>
              </w:rPr>
            </w:pPr>
            <w:r w:rsidRPr="00A7125F">
              <w:rPr>
                <w:rFonts w:ascii="Times New Roman" w:eastAsia="Calibri" w:hAnsi="Times New Roman" w:cs="Times New Roman"/>
                <w:sz w:val="24"/>
                <w:szCs w:val="24"/>
              </w:rPr>
              <w:lastRenderedPageBreak/>
              <w:t xml:space="preserve">„9) ūkio subjektas turi ne mažesnio kaip žvejybos laivo, kuriam prašoma išduoti Lietuvos Respublikos žvejybos laivo liudijimą, žvejybos pajėgumo dydžio laisvą žvejybos pajėgumą. Šis reikalavimas netaikomas, jei </w:t>
            </w:r>
            <w:r w:rsidR="006C6F8C" w:rsidRPr="00A7125F">
              <w:rPr>
                <w:rFonts w:ascii="Times New Roman" w:eastAsia="Calibri" w:hAnsi="Times New Roman" w:cs="Times New Roman"/>
                <w:sz w:val="24"/>
                <w:szCs w:val="24"/>
              </w:rPr>
              <w:t xml:space="preserve">tam tikram laikotarpiui, reikalingam atlikti nurodytus mokslinius tyrimus, </w:t>
            </w:r>
            <w:r w:rsidRPr="00A7125F">
              <w:rPr>
                <w:rFonts w:ascii="Times New Roman" w:eastAsia="Calibri" w:hAnsi="Times New Roman" w:cs="Times New Roman"/>
                <w:sz w:val="24"/>
                <w:szCs w:val="24"/>
              </w:rPr>
              <w:t>prašoma išduoti Lietuvos Respublikos žvejybos laivo liudijimą vykdyti žvejybą tik mokslinių tyrimų tikslais;“.</w:t>
            </w:r>
          </w:p>
          <w:p w14:paraId="7E5179FB" w14:textId="3CE7C8BC" w:rsidR="005343B2" w:rsidRPr="00A7125F" w:rsidRDefault="005343B2" w:rsidP="005343B2">
            <w:pPr>
              <w:tabs>
                <w:tab w:val="left" w:pos="993"/>
              </w:tabs>
              <w:ind w:left="57" w:firstLine="1077"/>
              <w:jc w:val="both"/>
            </w:pPr>
            <w:r w:rsidRPr="00A7125F">
              <w:t>&lt;...&gt;</w:t>
            </w:r>
          </w:p>
          <w:p w14:paraId="230CBB66" w14:textId="77777777" w:rsidR="00A7125F" w:rsidRPr="00A7125F" w:rsidRDefault="00A7125F" w:rsidP="005343B2">
            <w:pPr>
              <w:tabs>
                <w:tab w:val="left" w:pos="993"/>
              </w:tabs>
              <w:ind w:left="57" w:firstLine="1077"/>
              <w:jc w:val="both"/>
              <w:rPr>
                <w:rFonts w:eastAsia="Calibri"/>
              </w:rPr>
            </w:pPr>
          </w:p>
          <w:p w14:paraId="7C29EE1B" w14:textId="286F7AAB" w:rsidR="00E41237" w:rsidRPr="00A7125F" w:rsidRDefault="00125073" w:rsidP="00E41237">
            <w:pPr>
              <w:tabs>
                <w:tab w:val="left" w:pos="993"/>
              </w:tabs>
              <w:ind w:left="57" w:firstLine="1134"/>
              <w:jc w:val="both"/>
              <w:rPr>
                <w:rFonts w:eastAsia="Calibri"/>
                <w:b/>
              </w:rPr>
            </w:pPr>
            <w:r>
              <w:rPr>
                <w:rFonts w:eastAsia="Calibri"/>
                <w:b/>
              </w:rPr>
              <w:t>11</w:t>
            </w:r>
            <w:r w:rsidR="00E41237" w:rsidRPr="00A7125F">
              <w:rPr>
                <w:rFonts w:eastAsia="Calibri"/>
                <w:b/>
              </w:rPr>
              <w:t xml:space="preserve"> straipsnis. 21 straipsnio pakeitimas</w:t>
            </w:r>
          </w:p>
          <w:p w14:paraId="6FA07FD6" w14:textId="77777777" w:rsidR="00E41237" w:rsidRPr="00A7125F" w:rsidRDefault="00E41237" w:rsidP="00E41237">
            <w:pPr>
              <w:tabs>
                <w:tab w:val="left" w:pos="993"/>
              </w:tabs>
              <w:ind w:left="57" w:firstLine="1077"/>
              <w:jc w:val="both"/>
              <w:rPr>
                <w:rFonts w:eastAsia="Calibri"/>
              </w:rPr>
            </w:pPr>
            <w:r w:rsidRPr="00A7125F">
              <w:t>&lt;...&gt;</w:t>
            </w:r>
          </w:p>
          <w:p w14:paraId="4BEEC694" w14:textId="77777777" w:rsidR="002171C4" w:rsidRPr="00A7125F" w:rsidRDefault="002171C4" w:rsidP="002171C4">
            <w:pPr>
              <w:tabs>
                <w:tab w:val="left" w:pos="993"/>
              </w:tabs>
              <w:ind w:firstLine="1276"/>
              <w:jc w:val="both"/>
              <w:rPr>
                <w:rFonts w:eastAsia="Calibri"/>
              </w:rPr>
            </w:pPr>
            <w:r w:rsidRPr="00A7125F">
              <w:rPr>
                <w:rFonts w:eastAsia="Calibri"/>
              </w:rPr>
              <w:t>2. Pakeisti 21 straipsnio 5 dalį ir ją išdėstyti taip:</w:t>
            </w:r>
          </w:p>
          <w:p w14:paraId="1FAC5892" w14:textId="502B905B" w:rsidR="00CD7781" w:rsidRPr="00A7125F" w:rsidRDefault="002171C4" w:rsidP="00CD7781">
            <w:pPr>
              <w:pStyle w:val="Standard"/>
              <w:tabs>
                <w:tab w:val="left" w:pos="1050"/>
              </w:tabs>
              <w:spacing w:after="0" w:line="360" w:lineRule="auto"/>
              <w:ind w:left="57" w:firstLine="1077"/>
              <w:jc w:val="both"/>
              <w:rPr>
                <w:rFonts w:ascii="Times New Roman" w:eastAsia="Calibri" w:hAnsi="Times New Roman" w:cs="Times New Roman"/>
                <w:sz w:val="24"/>
                <w:szCs w:val="24"/>
              </w:rPr>
            </w:pPr>
            <w:r w:rsidRPr="00A7125F">
              <w:rPr>
                <w:rFonts w:ascii="Times New Roman" w:eastAsia="Calibri" w:hAnsi="Times New Roman" w:cs="Times New Roman"/>
                <w:sz w:val="24"/>
                <w:szCs w:val="24"/>
              </w:rPr>
              <w:t>„</w:t>
            </w:r>
            <w:r w:rsidR="00CD7781" w:rsidRPr="00A7125F">
              <w:rPr>
                <w:rFonts w:ascii="Times New Roman" w:eastAsia="Calibri" w:hAnsi="Times New Roman" w:cs="Times New Roman"/>
                <w:sz w:val="24"/>
                <w:szCs w:val="24"/>
              </w:rPr>
              <w:t xml:space="preserve">5. </w:t>
            </w:r>
            <w:r w:rsidR="00285568" w:rsidRPr="00A7125F">
              <w:rPr>
                <w:rFonts w:ascii="Times New Roman" w:eastAsia="Calibri" w:hAnsi="Times New Roman" w:cs="Times New Roman"/>
                <w:sz w:val="24"/>
                <w:szCs w:val="24"/>
              </w:rPr>
              <w:t xml:space="preserve">Specialiosios žvejybos leidimą išduoti įgaliota institucija ne vėliau kaip per 10 darbo dienų nuo dokumentų leidimui išduoti gavimo dienos išduoda specialiosios žvejybos leidimą arba informuoja apie atsisakymą jį išduoti, nurodydama atsisakymo priežastis, tokiu būdu, kokiu buvo gauti dokumentai leidimui išduoti, arba kitu pareiškėjo prašyme nurodytu būdu. Jei specialiąją žvejybą mokslinių tyrimų tikslais planuojama vykdyti jūrų vandenyse, į kuriuos viena ar kelios kitos Europos Sąjungos valstybės narės turi suverenias teises arba kurie priklauso jų jurisdikcijai, specialiosios žvejybos leidimo išdavimo terminas gali būti pratęstas dviem savaitėms, išskyrus tą atvejį, jei specialiąją žvejybą planuojama vykdyti vandens organizmų išteklių atkūrimo arba perkėlimo tikslais – tokiu atveju terminas pratęsiamas 20 kalendorinių dienų ir specialiosios žvejybos leidimas išduodamas tik gavus suinteresuotų Europos Sąjungos valstybių narių </w:t>
            </w:r>
            <w:r w:rsidR="00285568" w:rsidRPr="00A7125F">
              <w:rPr>
                <w:rFonts w:ascii="Times New Roman" w:eastAsia="Calibri" w:hAnsi="Times New Roman" w:cs="Times New Roman"/>
                <w:sz w:val="24"/>
                <w:szCs w:val="24"/>
              </w:rPr>
              <w:lastRenderedPageBreak/>
              <w:t>leidimą. Jei specialiąją žvejybą jūrų vandenyse planuojama vykdyti daugiau kaip 6 žvejybos laivais, specialiosios žvejybos leidimo išdavimo terminas pratęsiamas 3 mėnesiais ir specialiosios žvejybos leidimas išduodamas tik gavus Europos Komisijos pritarimą.</w:t>
            </w:r>
            <w:r w:rsidR="00CD7781" w:rsidRPr="00A7125F">
              <w:rPr>
                <w:rFonts w:ascii="Times New Roman" w:eastAsia="Calibri" w:hAnsi="Times New Roman" w:cs="Times New Roman"/>
                <w:sz w:val="24"/>
                <w:szCs w:val="24"/>
              </w:rPr>
              <w:t>“</w:t>
            </w:r>
          </w:p>
          <w:p w14:paraId="24523A1F" w14:textId="77777777" w:rsidR="000030B7" w:rsidRDefault="00CD7781" w:rsidP="00A7125F">
            <w:pPr>
              <w:pStyle w:val="Standard"/>
              <w:tabs>
                <w:tab w:val="left" w:pos="1050"/>
              </w:tabs>
              <w:spacing w:after="0" w:line="360" w:lineRule="auto"/>
              <w:ind w:left="57" w:firstLine="1077"/>
              <w:jc w:val="both"/>
              <w:rPr>
                <w:rFonts w:ascii="Times New Roman" w:eastAsia="Calibri" w:hAnsi="Times New Roman" w:cs="Times New Roman"/>
                <w:sz w:val="24"/>
                <w:szCs w:val="24"/>
              </w:rPr>
            </w:pPr>
            <w:r w:rsidRPr="00A7125F">
              <w:rPr>
                <w:rFonts w:ascii="Times New Roman" w:hAnsi="Times New Roman" w:cs="Times New Roman"/>
                <w:sz w:val="24"/>
                <w:szCs w:val="24"/>
              </w:rPr>
              <w:t>&lt;...&gt;</w:t>
            </w:r>
            <w:r w:rsidR="00E41237" w:rsidRPr="00A7125F">
              <w:rPr>
                <w:rFonts w:ascii="Times New Roman" w:eastAsia="Calibri" w:hAnsi="Times New Roman" w:cs="Times New Roman"/>
                <w:sz w:val="24"/>
                <w:szCs w:val="24"/>
              </w:rPr>
              <w:t xml:space="preserve"> </w:t>
            </w:r>
          </w:p>
          <w:p w14:paraId="4F2BDC99" w14:textId="06B9E350" w:rsidR="00A7125F" w:rsidRPr="00A7125F" w:rsidRDefault="00A7125F" w:rsidP="00A7125F">
            <w:pPr>
              <w:pStyle w:val="Standard"/>
              <w:tabs>
                <w:tab w:val="left" w:pos="1050"/>
              </w:tabs>
              <w:spacing w:after="0" w:line="360" w:lineRule="auto"/>
              <w:ind w:left="57" w:firstLine="1077"/>
              <w:jc w:val="both"/>
              <w:rPr>
                <w:rFonts w:ascii="Times New Roman" w:eastAsia="Calibri"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14:paraId="60BAB657" w14:textId="05A00E46" w:rsidR="000030B7" w:rsidRPr="00937307" w:rsidRDefault="00E41237" w:rsidP="004A2B69">
            <w:pPr>
              <w:pStyle w:val="TableContents"/>
              <w:rPr>
                <w:sz w:val="22"/>
              </w:rPr>
            </w:pPr>
            <w:r>
              <w:rPr>
                <w:sz w:val="22"/>
              </w:rPr>
              <w:lastRenderedPageBreak/>
              <w:t>Visiškas</w:t>
            </w:r>
          </w:p>
        </w:tc>
      </w:tr>
      <w:tr w:rsidR="00C500BB" w:rsidRPr="00937307" w14:paraId="7BA80F98" w14:textId="77777777" w:rsidTr="00231798">
        <w:trPr>
          <w:trHeight w:val="1820"/>
        </w:trPr>
        <w:tc>
          <w:tcPr>
            <w:tcW w:w="6380" w:type="dxa"/>
            <w:tcBorders>
              <w:top w:val="single" w:sz="4" w:space="0" w:color="auto"/>
              <w:left w:val="single" w:sz="4" w:space="0" w:color="auto"/>
              <w:bottom w:val="single" w:sz="4" w:space="0" w:color="auto"/>
              <w:right w:val="single" w:sz="4" w:space="0" w:color="auto"/>
            </w:tcBorders>
          </w:tcPr>
          <w:p w14:paraId="507CC248" w14:textId="085754DF" w:rsidR="00C500BB" w:rsidRPr="002171C4" w:rsidRDefault="00E41237" w:rsidP="002171C4">
            <w:pPr>
              <w:widowControl/>
              <w:suppressAutoHyphens w:val="0"/>
              <w:autoSpaceDE w:val="0"/>
              <w:autoSpaceDN w:val="0"/>
              <w:adjustRightInd w:val="0"/>
              <w:spacing w:before="60" w:after="60" w:line="360" w:lineRule="auto"/>
              <w:rPr>
                <w:rFonts w:eastAsiaTheme="minorHAnsi"/>
                <w:b/>
                <w:bCs/>
                <w:color w:val="000000"/>
                <w:kern w:val="0"/>
                <w:lang w:eastAsia="en-US"/>
              </w:rPr>
            </w:pPr>
            <w:r w:rsidRPr="002171C4">
              <w:rPr>
                <w:rFonts w:eastAsiaTheme="minorHAnsi"/>
                <w:b/>
                <w:bCs/>
                <w:color w:val="000000"/>
                <w:kern w:val="0"/>
                <w:lang w:eastAsia="en-US"/>
              </w:rPr>
              <w:lastRenderedPageBreak/>
              <w:t>26</w:t>
            </w:r>
            <w:r w:rsidR="00C500BB" w:rsidRPr="002171C4">
              <w:rPr>
                <w:rFonts w:eastAsiaTheme="minorHAnsi"/>
                <w:b/>
                <w:bCs/>
                <w:color w:val="000000"/>
                <w:kern w:val="0"/>
                <w:lang w:eastAsia="en-US"/>
              </w:rPr>
              <w:t xml:space="preserve"> straipsnis</w:t>
            </w:r>
          </w:p>
          <w:p w14:paraId="5D3624E3" w14:textId="27B275BF" w:rsidR="00C500BB" w:rsidRPr="002171C4" w:rsidRDefault="00E41237" w:rsidP="002171C4">
            <w:pPr>
              <w:widowControl/>
              <w:suppressAutoHyphens w:val="0"/>
              <w:autoSpaceDE w:val="0"/>
              <w:autoSpaceDN w:val="0"/>
              <w:adjustRightInd w:val="0"/>
              <w:spacing w:before="60" w:after="60" w:line="360" w:lineRule="auto"/>
              <w:rPr>
                <w:rFonts w:eastAsiaTheme="minorHAnsi"/>
                <w:b/>
                <w:bCs/>
                <w:color w:val="000000"/>
                <w:kern w:val="0"/>
                <w:lang w:eastAsia="en-US"/>
              </w:rPr>
            </w:pPr>
            <w:r w:rsidRPr="002171C4">
              <w:rPr>
                <w:rFonts w:eastAsiaTheme="minorHAnsi"/>
                <w:b/>
                <w:bCs/>
                <w:color w:val="000000"/>
                <w:kern w:val="0"/>
                <w:lang w:eastAsia="en-US"/>
              </w:rPr>
              <w:t>Tiesioginis išteklių atkūrimas ir perkėlimas</w:t>
            </w:r>
          </w:p>
          <w:p w14:paraId="2D924E4B" w14:textId="77777777" w:rsidR="00E41237" w:rsidRPr="002171C4" w:rsidRDefault="00E41237" w:rsidP="002171C4">
            <w:pPr>
              <w:pageBreakBefore/>
              <w:widowControl/>
              <w:suppressAutoHyphens w:val="0"/>
              <w:autoSpaceDE w:val="0"/>
              <w:autoSpaceDN w:val="0"/>
              <w:adjustRightInd w:val="0"/>
              <w:spacing w:line="360" w:lineRule="auto"/>
            </w:pPr>
            <w:r w:rsidRPr="002171C4">
              <w:t>&lt;...&gt;</w:t>
            </w:r>
          </w:p>
          <w:p w14:paraId="0132056A" w14:textId="4A44E218" w:rsidR="00E41237" w:rsidRPr="002171C4" w:rsidRDefault="00E41237" w:rsidP="002171C4">
            <w:pPr>
              <w:widowControl/>
              <w:suppressAutoHyphens w:val="0"/>
              <w:autoSpaceDE w:val="0"/>
              <w:autoSpaceDN w:val="0"/>
              <w:adjustRightInd w:val="0"/>
              <w:spacing w:before="60" w:after="60" w:line="360" w:lineRule="auto"/>
              <w:rPr>
                <w:rFonts w:eastAsia="Calibri"/>
              </w:rPr>
            </w:pPr>
            <w:r w:rsidRPr="002171C4">
              <w:rPr>
                <w:rFonts w:eastAsia="Calibri"/>
              </w:rPr>
              <w:t>2</w:t>
            </w:r>
            <w:r w:rsidR="00C500BB" w:rsidRPr="002171C4">
              <w:rPr>
                <w:rFonts w:eastAsia="Calibri" w:hint="eastAsia"/>
              </w:rPr>
              <w:t>.  </w:t>
            </w:r>
            <w:r w:rsidRPr="002171C4">
              <w:rPr>
                <w:rFonts w:eastAsia="Calibri"/>
              </w:rPr>
              <w:t xml:space="preserve">Jeigu tiesioginis išteklių atkūrimas ar perkėlimas vykdomas kitos valstybės narės ar valstybių narių vandenyse, Komisija ir visos tos valstybės narės apie ketinimą vykdyti tokias žvejybos operacijas informuojamos bent prieš 20 kalendorinių dienų. </w:t>
            </w:r>
          </w:p>
          <w:p w14:paraId="4C44DC3C" w14:textId="4FA27D6C" w:rsidR="00C500BB" w:rsidRPr="00B83C63" w:rsidRDefault="00C500BB" w:rsidP="00C500BB">
            <w:pPr>
              <w:widowControl/>
              <w:suppressAutoHyphens w:val="0"/>
              <w:autoSpaceDE w:val="0"/>
              <w:autoSpaceDN w:val="0"/>
              <w:adjustRightInd w:val="0"/>
              <w:spacing w:before="60" w:after="60"/>
              <w:rPr>
                <w:rFonts w:eastAsiaTheme="minorHAnsi"/>
                <w:color w:val="000000"/>
                <w:kern w:val="0"/>
                <w:lang w:eastAsia="en-US"/>
              </w:rPr>
            </w:pPr>
          </w:p>
        </w:tc>
        <w:tc>
          <w:tcPr>
            <w:tcW w:w="7512" w:type="dxa"/>
            <w:tcBorders>
              <w:top w:val="single" w:sz="4" w:space="0" w:color="auto"/>
              <w:left w:val="single" w:sz="4" w:space="0" w:color="auto"/>
              <w:bottom w:val="single" w:sz="4" w:space="0" w:color="auto"/>
              <w:right w:val="single" w:sz="4" w:space="0" w:color="auto"/>
            </w:tcBorders>
          </w:tcPr>
          <w:p w14:paraId="1121531F" w14:textId="3262BA31" w:rsidR="00E41237" w:rsidRPr="00A7125F" w:rsidRDefault="00125073" w:rsidP="00E41237">
            <w:pPr>
              <w:tabs>
                <w:tab w:val="left" w:pos="993"/>
              </w:tabs>
              <w:ind w:left="57" w:firstLine="1134"/>
              <w:jc w:val="both"/>
              <w:rPr>
                <w:rFonts w:eastAsia="Calibri"/>
                <w:b/>
              </w:rPr>
            </w:pPr>
            <w:r>
              <w:rPr>
                <w:rFonts w:eastAsia="Calibri"/>
                <w:b/>
              </w:rPr>
              <w:t>11</w:t>
            </w:r>
            <w:bookmarkStart w:id="0" w:name="_GoBack"/>
            <w:bookmarkEnd w:id="0"/>
            <w:r w:rsidR="00E41237" w:rsidRPr="00A7125F">
              <w:rPr>
                <w:rFonts w:eastAsia="Calibri"/>
                <w:b/>
              </w:rPr>
              <w:t xml:space="preserve"> straipsnis. 21 straipsnio pakeitimas</w:t>
            </w:r>
          </w:p>
          <w:p w14:paraId="467E90D2" w14:textId="77777777" w:rsidR="00E41237" w:rsidRPr="00A7125F" w:rsidRDefault="00E41237" w:rsidP="00E41237">
            <w:pPr>
              <w:tabs>
                <w:tab w:val="left" w:pos="993"/>
              </w:tabs>
              <w:ind w:left="57" w:firstLine="1077"/>
              <w:jc w:val="both"/>
              <w:rPr>
                <w:rFonts w:eastAsia="Calibri"/>
              </w:rPr>
            </w:pPr>
            <w:r w:rsidRPr="00A7125F">
              <w:t>&lt;...&gt;</w:t>
            </w:r>
          </w:p>
          <w:p w14:paraId="0E01A64E" w14:textId="77777777" w:rsidR="002171C4" w:rsidRPr="00A7125F" w:rsidRDefault="002171C4" w:rsidP="00A7125F">
            <w:pPr>
              <w:tabs>
                <w:tab w:val="left" w:pos="993"/>
              </w:tabs>
              <w:spacing w:line="360" w:lineRule="auto"/>
              <w:ind w:firstLine="1276"/>
              <w:jc w:val="both"/>
              <w:rPr>
                <w:rFonts w:eastAsia="Calibri"/>
              </w:rPr>
            </w:pPr>
            <w:r w:rsidRPr="00A7125F">
              <w:rPr>
                <w:rFonts w:eastAsia="Calibri"/>
              </w:rPr>
              <w:t>2. Pakeisti 21 straipsnio 5 dalį ir ją išdėstyti taip:</w:t>
            </w:r>
          </w:p>
          <w:p w14:paraId="68909221" w14:textId="0C0DF0EA" w:rsidR="00CD7781" w:rsidRPr="00A7125F" w:rsidRDefault="002171C4" w:rsidP="00A7125F">
            <w:pPr>
              <w:pStyle w:val="Standard"/>
              <w:tabs>
                <w:tab w:val="left" w:pos="1050"/>
              </w:tabs>
              <w:spacing w:after="0" w:line="360" w:lineRule="auto"/>
              <w:ind w:left="57" w:firstLine="1077"/>
              <w:jc w:val="both"/>
              <w:rPr>
                <w:rFonts w:ascii="Times New Roman" w:eastAsia="Calibri" w:hAnsi="Times New Roman" w:cs="Times New Roman"/>
                <w:sz w:val="24"/>
                <w:szCs w:val="24"/>
              </w:rPr>
            </w:pPr>
            <w:r w:rsidRPr="00A7125F">
              <w:rPr>
                <w:rFonts w:ascii="Times New Roman" w:eastAsia="Calibri" w:hAnsi="Times New Roman" w:cs="Times New Roman"/>
                <w:sz w:val="24"/>
                <w:szCs w:val="24"/>
              </w:rPr>
              <w:t>„</w:t>
            </w:r>
            <w:r w:rsidR="00CD7781" w:rsidRPr="00A7125F">
              <w:rPr>
                <w:rFonts w:ascii="Times New Roman" w:eastAsia="Calibri" w:hAnsi="Times New Roman" w:cs="Times New Roman"/>
                <w:sz w:val="24"/>
                <w:szCs w:val="24"/>
              </w:rPr>
              <w:t xml:space="preserve">5. </w:t>
            </w:r>
            <w:r w:rsidR="00285568" w:rsidRPr="00A7125F">
              <w:rPr>
                <w:rFonts w:ascii="Times New Roman" w:eastAsia="Calibri" w:hAnsi="Times New Roman" w:cs="Times New Roman"/>
                <w:sz w:val="24"/>
                <w:szCs w:val="24"/>
              </w:rPr>
              <w:t xml:space="preserve">Specialiosios žvejybos leidimą išduoti įgaliota institucija ne vėliau kaip per 10 darbo dienų nuo dokumentų leidimui išduoti gavimo dienos išduoda specialiosios žvejybos leidimą arba informuoja apie atsisakymą jį išduoti, nurodydama atsisakymo priežastis, tokiu būdu, kokiu buvo gauti dokumentai leidimui išduoti, arba kitu pareiškėjo prašyme nurodytu būdu. Jei specialiąją žvejybą mokslinių tyrimų tikslais planuojama vykdyti jūrų vandenyse, į kuriuos viena ar kelios kitos Europos Sąjungos valstybės narės turi suverenias teises arba kurie priklauso jų jurisdikcijai, specialiosios žvejybos leidimo išdavimo terminas gali būti pratęstas dviem savaitėms, išskyrus tą atvejį, jei specialiąją žvejybą planuojama vykdyti vandens organizmų išteklių atkūrimo arba perkėlimo tikslais – tokiu atveju terminas pratęsiamas 20 kalendorinių dienų ir specialiosios žvejybos leidimas išduodamas tik gavus suinteresuotų Europos Sąjungos valstybių narių leidimą. Jei specialiąją žvejybą jūrų vandenyse planuojama vykdyti daugiau </w:t>
            </w:r>
            <w:r w:rsidR="00285568" w:rsidRPr="00A7125F">
              <w:rPr>
                <w:rFonts w:ascii="Times New Roman" w:eastAsia="Calibri" w:hAnsi="Times New Roman" w:cs="Times New Roman"/>
                <w:sz w:val="24"/>
                <w:szCs w:val="24"/>
              </w:rPr>
              <w:lastRenderedPageBreak/>
              <w:t>kaip 6 žvejybos laivais, specialiosios žvejybos leidimo išdavimo terminas pratęsiamas 3 mėnesiais ir specialiosios žvejybos leidimas išduodamas tik gavus Europos Komisijos pritarimą.</w:t>
            </w:r>
            <w:r w:rsidR="00CD7781" w:rsidRPr="00A7125F">
              <w:rPr>
                <w:rFonts w:ascii="Times New Roman" w:eastAsia="Calibri" w:hAnsi="Times New Roman" w:cs="Times New Roman"/>
                <w:sz w:val="24"/>
                <w:szCs w:val="24"/>
              </w:rPr>
              <w:t>“</w:t>
            </w:r>
          </w:p>
          <w:p w14:paraId="2FA919A6" w14:textId="65E27D24" w:rsidR="00C500BB" w:rsidRPr="00A7125F" w:rsidRDefault="00CD7781" w:rsidP="00A7125F">
            <w:pPr>
              <w:pStyle w:val="Standard"/>
              <w:tabs>
                <w:tab w:val="left" w:pos="1050"/>
              </w:tabs>
              <w:spacing w:after="0" w:line="360" w:lineRule="auto"/>
              <w:ind w:left="57" w:firstLine="1077"/>
              <w:jc w:val="both"/>
              <w:rPr>
                <w:rFonts w:ascii="Times New Roman" w:eastAsia="Calibri" w:hAnsi="Times New Roman" w:cs="Times New Roman"/>
                <w:b/>
                <w:sz w:val="24"/>
                <w:szCs w:val="24"/>
              </w:rPr>
            </w:pPr>
            <w:r w:rsidRPr="00A7125F">
              <w:rPr>
                <w:rFonts w:ascii="Times New Roman" w:hAnsi="Times New Roman" w:cs="Times New Roman"/>
                <w:sz w:val="24"/>
                <w:szCs w:val="24"/>
              </w:rPr>
              <w:t>&lt;...&gt;</w:t>
            </w:r>
          </w:p>
        </w:tc>
        <w:tc>
          <w:tcPr>
            <w:tcW w:w="1700" w:type="dxa"/>
            <w:tcBorders>
              <w:top w:val="single" w:sz="4" w:space="0" w:color="auto"/>
              <w:left w:val="single" w:sz="4" w:space="0" w:color="auto"/>
              <w:bottom w:val="single" w:sz="4" w:space="0" w:color="auto"/>
              <w:right w:val="single" w:sz="4" w:space="0" w:color="auto"/>
            </w:tcBorders>
          </w:tcPr>
          <w:p w14:paraId="0549CF73" w14:textId="77777777" w:rsidR="00C500BB" w:rsidRDefault="00734339" w:rsidP="004A2B69">
            <w:pPr>
              <w:pStyle w:val="TableContents"/>
              <w:rPr>
                <w:sz w:val="22"/>
              </w:rPr>
            </w:pPr>
            <w:r w:rsidRPr="00734339">
              <w:rPr>
                <w:sz w:val="22"/>
              </w:rPr>
              <w:lastRenderedPageBreak/>
              <w:t>Dalinis</w:t>
            </w:r>
          </w:p>
        </w:tc>
      </w:tr>
    </w:tbl>
    <w:p w14:paraId="53B5DA45" w14:textId="77777777" w:rsidR="004F6789" w:rsidRDefault="004F6789"/>
    <w:sectPr w:rsidR="004F6789" w:rsidSect="00744C7B">
      <w:headerReference w:type="default" r:id="rId7"/>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AFCC1" w14:textId="77777777" w:rsidR="001E4BB4" w:rsidRDefault="001E4BB4" w:rsidP="00744C7B">
      <w:r>
        <w:separator/>
      </w:r>
    </w:p>
  </w:endnote>
  <w:endnote w:type="continuationSeparator" w:id="0">
    <w:p w14:paraId="68DF4667" w14:textId="77777777" w:rsidR="001E4BB4" w:rsidRDefault="001E4BB4" w:rsidP="00744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EUAlbertina">
    <w:altName w:val="Cambria"/>
    <w:panose1 w:val="00000000000000000000"/>
    <w:charset w:val="00"/>
    <w:family w:val="roman"/>
    <w:notTrueType/>
    <w:pitch w:val="default"/>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TimesNewRomanBold">
    <w:altName w:val="Times New Roman"/>
    <w:panose1 w:val="00000000000000000000"/>
    <w:charset w:val="00"/>
    <w:family w:val="roman"/>
    <w:notTrueType/>
    <w:pitch w:val="default"/>
    <w:sig w:usb0="00000003" w:usb1="00000000" w:usb2="00000000" w:usb3="00000000" w:csb0="00000001" w:csb1="00000000"/>
  </w:font>
  <w:font w:name="Andale Sans UI">
    <w:altName w:val="Times New Roman"/>
    <w:charset w:val="BA"/>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92D4F" w14:textId="77777777" w:rsidR="001E4BB4" w:rsidRDefault="001E4BB4" w:rsidP="00744C7B">
      <w:r>
        <w:separator/>
      </w:r>
    </w:p>
  </w:footnote>
  <w:footnote w:type="continuationSeparator" w:id="0">
    <w:p w14:paraId="0751FFB9" w14:textId="77777777" w:rsidR="001E4BB4" w:rsidRDefault="001E4BB4" w:rsidP="00744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34003"/>
      <w:docPartObj>
        <w:docPartGallery w:val="Page Numbers (Top of Page)"/>
        <w:docPartUnique/>
      </w:docPartObj>
    </w:sdtPr>
    <w:sdtEndPr/>
    <w:sdtContent>
      <w:p w14:paraId="0283763E" w14:textId="77777777" w:rsidR="00744C7B" w:rsidRDefault="007505DC">
        <w:pPr>
          <w:pStyle w:val="Antrats"/>
          <w:jc w:val="center"/>
        </w:pPr>
        <w:r>
          <w:fldChar w:fldCharType="begin"/>
        </w:r>
        <w:r>
          <w:instrText xml:space="preserve"> PAGE   \* MERGEFORMAT </w:instrText>
        </w:r>
        <w:r>
          <w:fldChar w:fldCharType="separate"/>
        </w:r>
        <w:r w:rsidR="00066DB1">
          <w:rPr>
            <w:noProof/>
          </w:rPr>
          <w:t>4</w:t>
        </w:r>
        <w:r>
          <w:rPr>
            <w:noProof/>
          </w:rPr>
          <w:fldChar w:fldCharType="end"/>
        </w:r>
      </w:p>
    </w:sdtContent>
  </w:sdt>
  <w:p w14:paraId="085BCE97" w14:textId="77777777" w:rsidR="00744C7B" w:rsidRDefault="00744C7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6EE"/>
    <w:rsid w:val="00000FDD"/>
    <w:rsid w:val="000030B7"/>
    <w:rsid w:val="00066DB1"/>
    <w:rsid w:val="00083B0D"/>
    <w:rsid w:val="000932A0"/>
    <w:rsid w:val="000948F0"/>
    <w:rsid w:val="00095601"/>
    <w:rsid w:val="000A68E5"/>
    <w:rsid w:val="000A76CA"/>
    <w:rsid w:val="000C3186"/>
    <w:rsid w:val="000D3F58"/>
    <w:rsid w:val="000F3DD8"/>
    <w:rsid w:val="00112F20"/>
    <w:rsid w:val="00123E25"/>
    <w:rsid w:val="00125073"/>
    <w:rsid w:val="00134CB4"/>
    <w:rsid w:val="00152057"/>
    <w:rsid w:val="00181F72"/>
    <w:rsid w:val="00190A93"/>
    <w:rsid w:val="001A5580"/>
    <w:rsid w:val="001E151D"/>
    <w:rsid w:val="001E4BB4"/>
    <w:rsid w:val="002171C4"/>
    <w:rsid w:val="00230C41"/>
    <w:rsid w:val="00231559"/>
    <w:rsid w:val="00231798"/>
    <w:rsid w:val="00231E1C"/>
    <w:rsid w:val="00237796"/>
    <w:rsid w:val="00270F5A"/>
    <w:rsid w:val="00285568"/>
    <w:rsid w:val="002932A1"/>
    <w:rsid w:val="002C2429"/>
    <w:rsid w:val="003213DD"/>
    <w:rsid w:val="00322ECA"/>
    <w:rsid w:val="0032785B"/>
    <w:rsid w:val="00336C9E"/>
    <w:rsid w:val="00337355"/>
    <w:rsid w:val="0034187C"/>
    <w:rsid w:val="00342DAE"/>
    <w:rsid w:val="00353658"/>
    <w:rsid w:val="00353ED8"/>
    <w:rsid w:val="00366512"/>
    <w:rsid w:val="003818AB"/>
    <w:rsid w:val="003D7C2A"/>
    <w:rsid w:val="003F276C"/>
    <w:rsid w:val="003F754E"/>
    <w:rsid w:val="00405891"/>
    <w:rsid w:val="00412443"/>
    <w:rsid w:val="0043151A"/>
    <w:rsid w:val="00440805"/>
    <w:rsid w:val="0045463B"/>
    <w:rsid w:val="004635E1"/>
    <w:rsid w:val="004814DB"/>
    <w:rsid w:val="00487559"/>
    <w:rsid w:val="004973EE"/>
    <w:rsid w:val="004A3B0D"/>
    <w:rsid w:val="004B2D24"/>
    <w:rsid w:val="004B5CBF"/>
    <w:rsid w:val="004C1462"/>
    <w:rsid w:val="004C7C8C"/>
    <w:rsid w:val="004D7BF7"/>
    <w:rsid w:val="004F6789"/>
    <w:rsid w:val="0052112B"/>
    <w:rsid w:val="005343B2"/>
    <w:rsid w:val="00544599"/>
    <w:rsid w:val="00544E1D"/>
    <w:rsid w:val="0056261E"/>
    <w:rsid w:val="005A4646"/>
    <w:rsid w:val="005B3B7A"/>
    <w:rsid w:val="005F1224"/>
    <w:rsid w:val="005F250D"/>
    <w:rsid w:val="006153F9"/>
    <w:rsid w:val="00632B28"/>
    <w:rsid w:val="00674363"/>
    <w:rsid w:val="006C6F8C"/>
    <w:rsid w:val="006F6D65"/>
    <w:rsid w:val="006F7527"/>
    <w:rsid w:val="00714B9A"/>
    <w:rsid w:val="0071768A"/>
    <w:rsid w:val="00734339"/>
    <w:rsid w:val="00737DD3"/>
    <w:rsid w:val="00744C7B"/>
    <w:rsid w:val="007505DC"/>
    <w:rsid w:val="00752BF4"/>
    <w:rsid w:val="00753F96"/>
    <w:rsid w:val="0075755E"/>
    <w:rsid w:val="007636BE"/>
    <w:rsid w:val="00777B43"/>
    <w:rsid w:val="00793592"/>
    <w:rsid w:val="007B3B01"/>
    <w:rsid w:val="007C6743"/>
    <w:rsid w:val="007F3C19"/>
    <w:rsid w:val="00821149"/>
    <w:rsid w:val="00827BC8"/>
    <w:rsid w:val="00847121"/>
    <w:rsid w:val="00851F61"/>
    <w:rsid w:val="0085248A"/>
    <w:rsid w:val="008676EE"/>
    <w:rsid w:val="00871223"/>
    <w:rsid w:val="008769DC"/>
    <w:rsid w:val="00890FAA"/>
    <w:rsid w:val="00892A22"/>
    <w:rsid w:val="008A11AB"/>
    <w:rsid w:val="008A37F3"/>
    <w:rsid w:val="008A49DB"/>
    <w:rsid w:val="008A6E11"/>
    <w:rsid w:val="008D2AE7"/>
    <w:rsid w:val="008F1316"/>
    <w:rsid w:val="008F614F"/>
    <w:rsid w:val="00910B8B"/>
    <w:rsid w:val="00946DDF"/>
    <w:rsid w:val="00956AD9"/>
    <w:rsid w:val="009755A7"/>
    <w:rsid w:val="00995860"/>
    <w:rsid w:val="009B4602"/>
    <w:rsid w:val="009E1BE0"/>
    <w:rsid w:val="009F377F"/>
    <w:rsid w:val="00A2182B"/>
    <w:rsid w:val="00A27F4F"/>
    <w:rsid w:val="00A57416"/>
    <w:rsid w:val="00A7125F"/>
    <w:rsid w:val="00A96794"/>
    <w:rsid w:val="00AA7162"/>
    <w:rsid w:val="00AB3102"/>
    <w:rsid w:val="00AC10E5"/>
    <w:rsid w:val="00AC1C45"/>
    <w:rsid w:val="00AD6D7D"/>
    <w:rsid w:val="00B03BA3"/>
    <w:rsid w:val="00B05B4F"/>
    <w:rsid w:val="00B346EC"/>
    <w:rsid w:val="00B52E02"/>
    <w:rsid w:val="00B70352"/>
    <w:rsid w:val="00B722C1"/>
    <w:rsid w:val="00B83C63"/>
    <w:rsid w:val="00B939D0"/>
    <w:rsid w:val="00BB65EF"/>
    <w:rsid w:val="00BC02D1"/>
    <w:rsid w:val="00BD7672"/>
    <w:rsid w:val="00BE3F6E"/>
    <w:rsid w:val="00BE4195"/>
    <w:rsid w:val="00BE7F68"/>
    <w:rsid w:val="00BF55C4"/>
    <w:rsid w:val="00C115BD"/>
    <w:rsid w:val="00C37601"/>
    <w:rsid w:val="00C44984"/>
    <w:rsid w:val="00C500BB"/>
    <w:rsid w:val="00C511E7"/>
    <w:rsid w:val="00C518DB"/>
    <w:rsid w:val="00C768F9"/>
    <w:rsid w:val="00C96950"/>
    <w:rsid w:val="00CA6665"/>
    <w:rsid w:val="00CA7A53"/>
    <w:rsid w:val="00CB461C"/>
    <w:rsid w:val="00CB5C97"/>
    <w:rsid w:val="00CD13FB"/>
    <w:rsid w:val="00CD2FF8"/>
    <w:rsid w:val="00CD7781"/>
    <w:rsid w:val="00CF3DBD"/>
    <w:rsid w:val="00CF610A"/>
    <w:rsid w:val="00D02E57"/>
    <w:rsid w:val="00D16062"/>
    <w:rsid w:val="00D17756"/>
    <w:rsid w:val="00D34EA0"/>
    <w:rsid w:val="00D44F50"/>
    <w:rsid w:val="00D45083"/>
    <w:rsid w:val="00D7116F"/>
    <w:rsid w:val="00D95C63"/>
    <w:rsid w:val="00DB456A"/>
    <w:rsid w:val="00DC6279"/>
    <w:rsid w:val="00E22491"/>
    <w:rsid w:val="00E41237"/>
    <w:rsid w:val="00E4700C"/>
    <w:rsid w:val="00E66E34"/>
    <w:rsid w:val="00E75A78"/>
    <w:rsid w:val="00E77B54"/>
    <w:rsid w:val="00EA6E79"/>
    <w:rsid w:val="00EB581C"/>
    <w:rsid w:val="00EB5B18"/>
    <w:rsid w:val="00EC20CA"/>
    <w:rsid w:val="00ED3610"/>
    <w:rsid w:val="00EF4A53"/>
    <w:rsid w:val="00EF6BFD"/>
    <w:rsid w:val="00F06506"/>
    <w:rsid w:val="00F11DF6"/>
    <w:rsid w:val="00F14792"/>
    <w:rsid w:val="00F24A79"/>
    <w:rsid w:val="00F4612A"/>
    <w:rsid w:val="00F715DD"/>
    <w:rsid w:val="00F77AA4"/>
    <w:rsid w:val="00F90A5E"/>
    <w:rsid w:val="00FA1241"/>
    <w:rsid w:val="00FE59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68B63"/>
  <w15:docId w15:val="{9D7E6E9C-1BAF-4B18-B844-2DCCF548A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C500BB"/>
    <w:pPr>
      <w:widowControl w:val="0"/>
      <w:suppressAutoHyphens/>
      <w:spacing w:after="0" w:line="240" w:lineRule="auto"/>
    </w:pPr>
    <w:rPr>
      <w:rFonts w:eastAsia="Lucida Sans Unicode" w:cs="Times New Roman"/>
      <w:kern w:val="2"/>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bleContents">
    <w:name w:val="Table Contents"/>
    <w:basedOn w:val="prastasis"/>
    <w:rsid w:val="008676EE"/>
    <w:pPr>
      <w:suppressLineNumbers/>
    </w:pPr>
  </w:style>
  <w:style w:type="paragraph" w:customStyle="1" w:styleId="Default">
    <w:name w:val="Default"/>
    <w:rsid w:val="008676EE"/>
    <w:pPr>
      <w:autoSpaceDE w:val="0"/>
      <w:autoSpaceDN w:val="0"/>
      <w:adjustRightInd w:val="0"/>
      <w:spacing w:after="0" w:line="240" w:lineRule="auto"/>
    </w:pPr>
    <w:rPr>
      <w:rFonts w:ascii="EUAlbertina" w:eastAsia="Calibri" w:hAnsi="EUAlbertina" w:cs="EUAlbertina"/>
      <w:color w:val="000000"/>
      <w:szCs w:val="24"/>
    </w:rPr>
  </w:style>
  <w:style w:type="paragraph" w:customStyle="1" w:styleId="Hyperlink1">
    <w:name w:val="Hyperlink1"/>
    <w:rsid w:val="008676E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M11">
    <w:name w:val="CM1+1"/>
    <w:basedOn w:val="Default"/>
    <w:next w:val="Default"/>
    <w:uiPriority w:val="99"/>
    <w:rsid w:val="00B346EC"/>
    <w:rPr>
      <w:rFonts w:eastAsiaTheme="minorHAnsi" w:cstheme="minorBidi"/>
      <w:color w:val="auto"/>
    </w:rPr>
  </w:style>
  <w:style w:type="paragraph" w:customStyle="1" w:styleId="CM31">
    <w:name w:val="CM3+1"/>
    <w:basedOn w:val="Default"/>
    <w:next w:val="Default"/>
    <w:uiPriority w:val="99"/>
    <w:rsid w:val="00B346EC"/>
    <w:rPr>
      <w:rFonts w:eastAsiaTheme="minorHAnsi" w:cstheme="minorBidi"/>
      <w:color w:val="auto"/>
    </w:rPr>
  </w:style>
  <w:style w:type="paragraph" w:customStyle="1" w:styleId="CM41">
    <w:name w:val="CM4+1"/>
    <w:basedOn w:val="Default"/>
    <w:next w:val="Default"/>
    <w:uiPriority w:val="99"/>
    <w:rsid w:val="00B346EC"/>
    <w:rPr>
      <w:rFonts w:eastAsiaTheme="minorHAnsi" w:cstheme="minorBidi"/>
      <w:color w:val="auto"/>
    </w:rPr>
  </w:style>
  <w:style w:type="paragraph" w:customStyle="1" w:styleId="CM1">
    <w:name w:val="CM1"/>
    <w:basedOn w:val="Default"/>
    <w:next w:val="Default"/>
    <w:uiPriority w:val="99"/>
    <w:rsid w:val="00F11DF6"/>
    <w:rPr>
      <w:rFonts w:eastAsiaTheme="minorHAnsi" w:cstheme="minorBidi"/>
      <w:color w:val="auto"/>
    </w:rPr>
  </w:style>
  <w:style w:type="paragraph" w:customStyle="1" w:styleId="CM3">
    <w:name w:val="CM3"/>
    <w:basedOn w:val="Default"/>
    <w:next w:val="Default"/>
    <w:uiPriority w:val="99"/>
    <w:rsid w:val="00F11DF6"/>
    <w:rPr>
      <w:rFonts w:eastAsiaTheme="minorHAnsi" w:cstheme="minorBidi"/>
      <w:color w:val="auto"/>
    </w:rPr>
  </w:style>
  <w:style w:type="paragraph" w:customStyle="1" w:styleId="CM4">
    <w:name w:val="CM4"/>
    <w:basedOn w:val="Default"/>
    <w:next w:val="Default"/>
    <w:uiPriority w:val="99"/>
    <w:rsid w:val="00F11DF6"/>
    <w:rPr>
      <w:rFonts w:eastAsiaTheme="minorHAnsi" w:cstheme="minorBidi"/>
      <w:color w:val="auto"/>
    </w:rPr>
  </w:style>
  <w:style w:type="paragraph" w:styleId="Sraopastraipa">
    <w:name w:val="List Paragraph"/>
    <w:basedOn w:val="prastasis"/>
    <w:uiPriority w:val="34"/>
    <w:qFormat/>
    <w:rsid w:val="002C2429"/>
    <w:pPr>
      <w:ind w:left="720"/>
      <w:contextualSpacing/>
    </w:pPr>
  </w:style>
  <w:style w:type="paragraph" w:styleId="Antrats">
    <w:name w:val="header"/>
    <w:basedOn w:val="prastasis"/>
    <w:link w:val="AntratsDiagrama"/>
    <w:uiPriority w:val="99"/>
    <w:unhideWhenUsed/>
    <w:rsid w:val="00744C7B"/>
    <w:pPr>
      <w:tabs>
        <w:tab w:val="center" w:pos="4819"/>
        <w:tab w:val="right" w:pos="9638"/>
      </w:tabs>
    </w:pPr>
  </w:style>
  <w:style w:type="character" w:customStyle="1" w:styleId="AntratsDiagrama">
    <w:name w:val="Antraštės Diagrama"/>
    <w:basedOn w:val="Numatytasispastraiposriftas"/>
    <w:link w:val="Antrats"/>
    <w:uiPriority w:val="99"/>
    <w:rsid w:val="00744C7B"/>
    <w:rPr>
      <w:rFonts w:eastAsia="Lucida Sans Unicode" w:cs="Times New Roman"/>
      <w:kern w:val="2"/>
      <w:szCs w:val="24"/>
      <w:lang w:eastAsia="lt-LT"/>
    </w:rPr>
  </w:style>
  <w:style w:type="paragraph" w:styleId="Porat">
    <w:name w:val="footer"/>
    <w:basedOn w:val="prastasis"/>
    <w:link w:val="PoratDiagrama"/>
    <w:uiPriority w:val="99"/>
    <w:semiHidden/>
    <w:unhideWhenUsed/>
    <w:rsid w:val="00744C7B"/>
    <w:pPr>
      <w:tabs>
        <w:tab w:val="center" w:pos="4819"/>
        <w:tab w:val="right" w:pos="9638"/>
      </w:tabs>
    </w:pPr>
  </w:style>
  <w:style w:type="character" w:customStyle="1" w:styleId="PoratDiagrama">
    <w:name w:val="Poraštė Diagrama"/>
    <w:basedOn w:val="Numatytasispastraiposriftas"/>
    <w:link w:val="Porat"/>
    <w:uiPriority w:val="99"/>
    <w:semiHidden/>
    <w:rsid w:val="00744C7B"/>
    <w:rPr>
      <w:rFonts w:eastAsia="Lucida Sans Unicode" w:cs="Times New Roman"/>
      <w:kern w:val="2"/>
      <w:szCs w:val="24"/>
      <w:lang w:eastAsia="lt-LT"/>
    </w:rPr>
  </w:style>
  <w:style w:type="paragraph" w:styleId="Debesliotekstas">
    <w:name w:val="Balloon Text"/>
    <w:basedOn w:val="prastasis"/>
    <w:link w:val="DebesliotekstasDiagrama"/>
    <w:uiPriority w:val="99"/>
    <w:semiHidden/>
    <w:unhideWhenUsed/>
    <w:rsid w:val="00D34EA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4EA0"/>
    <w:rPr>
      <w:rFonts w:ascii="Segoe UI" w:eastAsia="Lucida Sans Unicode" w:hAnsi="Segoe UI" w:cs="Segoe UI"/>
      <w:kern w:val="2"/>
      <w:sz w:val="18"/>
      <w:szCs w:val="18"/>
      <w:lang w:eastAsia="lt-LT"/>
    </w:rPr>
  </w:style>
  <w:style w:type="character" w:styleId="Komentaronuoroda">
    <w:name w:val="annotation reference"/>
    <w:basedOn w:val="Numatytasispastraiposriftas"/>
    <w:uiPriority w:val="99"/>
    <w:semiHidden/>
    <w:unhideWhenUsed/>
    <w:rsid w:val="00D34EA0"/>
    <w:rPr>
      <w:sz w:val="16"/>
      <w:szCs w:val="16"/>
    </w:rPr>
  </w:style>
  <w:style w:type="paragraph" w:styleId="Komentarotekstas">
    <w:name w:val="annotation text"/>
    <w:basedOn w:val="prastasis"/>
    <w:link w:val="KomentarotekstasDiagrama"/>
    <w:uiPriority w:val="99"/>
    <w:semiHidden/>
    <w:unhideWhenUsed/>
    <w:rsid w:val="00D34EA0"/>
    <w:rPr>
      <w:sz w:val="20"/>
      <w:szCs w:val="20"/>
    </w:rPr>
  </w:style>
  <w:style w:type="character" w:customStyle="1" w:styleId="KomentarotekstasDiagrama">
    <w:name w:val="Komentaro tekstas Diagrama"/>
    <w:basedOn w:val="Numatytasispastraiposriftas"/>
    <w:link w:val="Komentarotekstas"/>
    <w:uiPriority w:val="99"/>
    <w:semiHidden/>
    <w:rsid w:val="00D34EA0"/>
    <w:rPr>
      <w:rFonts w:eastAsia="Lucida Sans Unicode" w:cs="Times New Roman"/>
      <w:kern w:val="2"/>
      <w:sz w:val="20"/>
      <w:szCs w:val="20"/>
      <w:lang w:eastAsia="lt-LT"/>
    </w:rPr>
  </w:style>
  <w:style w:type="paragraph" w:styleId="Komentarotema">
    <w:name w:val="annotation subject"/>
    <w:basedOn w:val="Komentarotekstas"/>
    <w:next w:val="Komentarotekstas"/>
    <w:link w:val="KomentarotemaDiagrama"/>
    <w:uiPriority w:val="99"/>
    <w:semiHidden/>
    <w:unhideWhenUsed/>
    <w:rsid w:val="00D34EA0"/>
    <w:rPr>
      <w:b/>
      <w:bCs/>
    </w:rPr>
  </w:style>
  <w:style w:type="character" w:customStyle="1" w:styleId="KomentarotemaDiagrama">
    <w:name w:val="Komentaro tema Diagrama"/>
    <w:basedOn w:val="KomentarotekstasDiagrama"/>
    <w:link w:val="Komentarotema"/>
    <w:uiPriority w:val="99"/>
    <w:semiHidden/>
    <w:rsid w:val="00D34EA0"/>
    <w:rPr>
      <w:rFonts w:eastAsia="Lucida Sans Unicode" w:cs="Times New Roman"/>
      <w:b/>
      <w:bCs/>
      <w:kern w:val="2"/>
      <w:sz w:val="20"/>
      <w:szCs w:val="20"/>
      <w:lang w:eastAsia="lt-LT"/>
    </w:rPr>
  </w:style>
  <w:style w:type="paragraph" w:customStyle="1" w:styleId="Standard">
    <w:name w:val="Standard"/>
    <w:qFormat/>
    <w:rsid w:val="009F377F"/>
    <w:pPr>
      <w:suppressAutoHyphens/>
      <w:autoSpaceDN w:val="0"/>
      <w:spacing w:after="200" w:line="276" w:lineRule="auto"/>
      <w:textAlignment w:val="baseline"/>
    </w:pPr>
    <w:rPr>
      <w:rFonts w:ascii="Calibri" w:eastAsia="SimSun" w:hAnsi="Calibri" w:cs="F"/>
      <w:kern w:val="3"/>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541617">
      <w:bodyDiv w:val="1"/>
      <w:marLeft w:val="390"/>
      <w:marRight w:val="390"/>
      <w:marTop w:val="390"/>
      <w:marBottom w:val="0"/>
      <w:divBdr>
        <w:top w:val="none" w:sz="0" w:space="0" w:color="auto"/>
        <w:left w:val="none" w:sz="0" w:space="0" w:color="auto"/>
        <w:bottom w:val="none" w:sz="0" w:space="0" w:color="auto"/>
        <w:right w:val="none" w:sz="0" w:space="0" w:color="auto"/>
      </w:divBdr>
    </w:div>
    <w:div w:id="1562326002">
      <w:bodyDiv w:val="1"/>
      <w:marLeft w:val="0"/>
      <w:marRight w:val="0"/>
      <w:marTop w:val="0"/>
      <w:marBottom w:val="0"/>
      <w:divBdr>
        <w:top w:val="none" w:sz="0" w:space="0" w:color="auto"/>
        <w:left w:val="none" w:sz="0" w:space="0" w:color="auto"/>
        <w:bottom w:val="none" w:sz="0" w:space="0" w:color="auto"/>
        <w:right w:val="none" w:sz="0" w:space="0" w:color="auto"/>
      </w:divBdr>
    </w:div>
    <w:div w:id="1833443402">
      <w:bodyDiv w:val="1"/>
      <w:marLeft w:val="390"/>
      <w:marRight w:val="390"/>
      <w:marTop w:val="39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89E5C-89E6-44C9-8074-70FFD3319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5019</Words>
  <Characters>2862</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Adrija Gasiliauskienė</dc:creator>
  <cp:lastModifiedBy>Ramunė Mickuvienė</cp:lastModifiedBy>
  <cp:revision>11</cp:revision>
  <cp:lastPrinted>2018-05-11T10:32:00Z</cp:lastPrinted>
  <dcterms:created xsi:type="dcterms:W3CDTF">2019-10-21T06:21:00Z</dcterms:created>
  <dcterms:modified xsi:type="dcterms:W3CDTF">2020-05-06T12:35:00Z</dcterms:modified>
</cp:coreProperties>
</file>