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4F5635" w:rsidRDefault="006E224F" w:rsidP="006E224F">
      <w:pPr>
        <w:spacing w:after="0" w:line="240" w:lineRule="auto"/>
        <w:jc w:val="center"/>
        <w:rPr>
          <w:rFonts w:eastAsia="Calibri" w:cs="Times New Roman"/>
          <w:b/>
          <w:sz w:val="28"/>
          <w:szCs w:val="28"/>
        </w:rPr>
      </w:pPr>
      <w:r w:rsidRPr="004F5635">
        <w:rPr>
          <w:rFonts w:eastAsia="Calibri" w:cs="Times New Roman"/>
          <w:b/>
          <w:sz w:val="28"/>
          <w:szCs w:val="28"/>
        </w:rPr>
        <w:t>PAŽYMA</w:t>
      </w:r>
    </w:p>
    <w:p w:rsidR="006E224F" w:rsidRPr="004F5635" w:rsidRDefault="006E224F" w:rsidP="006E224F">
      <w:pPr>
        <w:spacing w:after="0" w:line="240" w:lineRule="auto"/>
        <w:jc w:val="center"/>
        <w:rPr>
          <w:rFonts w:eastAsia="Calibri" w:cs="Times New Roman"/>
          <w:b/>
          <w:sz w:val="28"/>
          <w:szCs w:val="28"/>
        </w:rPr>
      </w:pPr>
      <w:r w:rsidRPr="004F5635">
        <w:rPr>
          <w:rFonts w:eastAsia="Calibri" w:cs="Times New Roman"/>
          <w:b/>
          <w:sz w:val="28"/>
          <w:szCs w:val="28"/>
        </w:rPr>
        <w:t>Dėl š. m. vasario 18 d. Ekonomikos ir finansų reikalų (ECOFIN) taryboje svarstomų klausimų</w:t>
      </w:r>
    </w:p>
    <w:p w:rsidR="006E224F" w:rsidRPr="004F5635" w:rsidRDefault="006E224F" w:rsidP="006E224F">
      <w:pPr>
        <w:spacing w:after="0" w:line="240" w:lineRule="auto"/>
        <w:jc w:val="both"/>
        <w:rPr>
          <w:rFonts w:eastAsia="Calibri" w:cs="Times New Roman"/>
          <w:sz w:val="28"/>
          <w:szCs w:val="28"/>
        </w:rPr>
      </w:pPr>
    </w:p>
    <w:p w:rsidR="006E224F" w:rsidRPr="00720C6E" w:rsidRDefault="006E224F" w:rsidP="006E224F">
      <w:pPr>
        <w:spacing w:after="0" w:line="240" w:lineRule="auto"/>
        <w:jc w:val="both"/>
        <w:rPr>
          <w:rFonts w:eastAsia="Calibri" w:cs="Times New Roman"/>
          <w:szCs w:val="24"/>
        </w:rPr>
      </w:pPr>
    </w:p>
    <w:p w:rsidR="00C7657E" w:rsidRPr="00720C6E" w:rsidRDefault="00C7657E" w:rsidP="006E224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Europos Semestras 2020 m.:</w:t>
      </w:r>
    </w:p>
    <w:p w:rsidR="006E224F" w:rsidRPr="00720C6E" w:rsidRDefault="00A0435E" w:rsidP="006E224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a) Tarybos išvadų projektas dėl Metinės tvaraus augimo strategijos</w:t>
      </w:r>
      <w:r w:rsidR="006E224F" w:rsidRPr="00720C6E">
        <w:rPr>
          <w:rFonts w:cs="Times New Roman"/>
          <w:b/>
          <w:szCs w:val="24"/>
        </w:rPr>
        <w:t xml:space="preserve"> </w:t>
      </w:r>
      <w:r w:rsidR="00C7657E" w:rsidRPr="00720C6E">
        <w:rPr>
          <w:rFonts w:cs="Times New Roman"/>
          <w:i/>
          <w:szCs w:val="24"/>
        </w:rPr>
        <w:t>(Priėmimas</w:t>
      </w:r>
      <w:r w:rsidR="006E224F" w:rsidRPr="00720C6E">
        <w:rPr>
          <w:rFonts w:cs="Times New Roman"/>
          <w:i/>
          <w:szCs w:val="24"/>
        </w:rPr>
        <w:t>)</w:t>
      </w:r>
    </w:p>
    <w:p w:rsidR="00C7657E" w:rsidRPr="00720C6E" w:rsidRDefault="00C7657E" w:rsidP="006E224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 xml:space="preserve">b) Tarybos išvadų projektas dėl Įspėjimo mechanizmo ataskaitos </w:t>
      </w:r>
      <w:r w:rsidRPr="00720C6E">
        <w:rPr>
          <w:rFonts w:cs="Times New Roman"/>
          <w:i/>
          <w:szCs w:val="24"/>
        </w:rPr>
        <w:t>(Priėmimas)</w:t>
      </w:r>
    </w:p>
    <w:p w:rsidR="00C7657E" w:rsidRPr="00720C6E" w:rsidRDefault="00C7657E" w:rsidP="006E224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 xml:space="preserve">c) Tarybos rekomendacijos euro zonai </w:t>
      </w:r>
      <w:r w:rsidRPr="00720C6E">
        <w:rPr>
          <w:rFonts w:cs="Times New Roman"/>
          <w:i/>
          <w:szCs w:val="24"/>
        </w:rPr>
        <w:t>(Tvirtinimas)</w:t>
      </w:r>
    </w:p>
    <w:p w:rsidR="004F5635" w:rsidRPr="00720C6E" w:rsidRDefault="004F5635" w:rsidP="006E224F">
      <w:pPr>
        <w:spacing w:after="0" w:line="240" w:lineRule="auto"/>
        <w:jc w:val="both"/>
        <w:rPr>
          <w:rFonts w:cs="Times New Roman"/>
          <w:szCs w:val="24"/>
          <w:lang w:bidi="lt-LT"/>
        </w:rPr>
      </w:pPr>
    </w:p>
    <w:p w:rsidR="006E224F" w:rsidRPr="00720C6E" w:rsidRDefault="006E224F" w:rsidP="006E224F">
      <w:pPr>
        <w:spacing w:after="0" w:line="240" w:lineRule="auto"/>
        <w:jc w:val="both"/>
        <w:rPr>
          <w:rFonts w:cs="Times New Roman"/>
          <w:b/>
          <w:szCs w:val="24"/>
          <w:u w:val="single"/>
          <w:lang w:bidi="lt-LT"/>
        </w:rPr>
      </w:pPr>
      <w:r w:rsidRPr="00720C6E">
        <w:rPr>
          <w:rFonts w:cs="Times New Roman"/>
          <w:b/>
          <w:szCs w:val="24"/>
          <w:u w:val="single"/>
          <w:lang w:bidi="lt-LT"/>
        </w:rPr>
        <w:t>Klausimo esmė.</w:t>
      </w:r>
    </w:p>
    <w:p w:rsidR="00C7657E" w:rsidRPr="00720C6E" w:rsidRDefault="00C7657E" w:rsidP="009633E2">
      <w:pPr>
        <w:spacing w:after="0" w:line="240" w:lineRule="auto"/>
        <w:contextualSpacing/>
        <w:jc w:val="both"/>
        <w:rPr>
          <w:rFonts w:cs="Times New Roman"/>
          <w:szCs w:val="24"/>
        </w:rPr>
      </w:pPr>
      <w:r w:rsidRPr="00720C6E">
        <w:rPr>
          <w:rFonts w:cs="Times New Roman"/>
          <w:b/>
          <w:szCs w:val="24"/>
        </w:rPr>
        <w:t xml:space="preserve">a) Tarybos išvadų projektas dėl Metinės tvaraus augimo strategijos. </w:t>
      </w:r>
      <w:r w:rsidRPr="00720C6E">
        <w:rPr>
          <w:rFonts w:cs="Times New Roman"/>
          <w:szCs w:val="24"/>
        </w:rPr>
        <w:t>Metinė tvaraus augimo strategija apima keturis tarpusavyje susijusius ir vienas kitą papildančius aspektus, skirtus ilgalaikiams uždaviniams spręsti. Šiais aspektais visose valstybėse narėse turėtų būti grindžiamos struktūrinės reformos, užimtumo politika, investicijos ir atsakinga fiskalinė politika, kad būtų sukurta žmonėms ir planetai tarnaujanti ekonomika. Taip pat, pirmą kartą į Europos semestrą buvo įtraukti Jungtinių tautų darnaus vystymosi tikslai. Minėti keturi aspektai:</w:t>
      </w:r>
    </w:p>
    <w:p w:rsidR="00C7657E" w:rsidRPr="00720C6E" w:rsidRDefault="00C7657E" w:rsidP="004F5635">
      <w:pPr>
        <w:numPr>
          <w:ilvl w:val="0"/>
          <w:numId w:val="1"/>
        </w:numPr>
        <w:spacing w:after="0" w:line="240" w:lineRule="auto"/>
        <w:contextualSpacing/>
        <w:jc w:val="both"/>
        <w:rPr>
          <w:rFonts w:cs="Times New Roman"/>
          <w:szCs w:val="24"/>
        </w:rPr>
      </w:pPr>
      <w:r w:rsidRPr="00720C6E">
        <w:rPr>
          <w:rFonts w:cs="Times New Roman"/>
          <w:szCs w:val="24"/>
        </w:rPr>
        <w:t>aplinkos tvarumas,</w:t>
      </w:r>
    </w:p>
    <w:p w:rsidR="00C7657E" w:rsidRPr="00720C6E" w:rsidRDefault="00C7657E" w:rsidP="004F5635">
      <w:pPr>
        <w:numPr>
          <w:ilvl w:val="0"/>
          <w:numId w:val="1"/>
        </w:numPr>
        <w:spacing w:after="0" w:line="240" w:lineRule="auto"/>
        <w:contextualSpacing/>
        <w:jc w:val="both"/>
        <w:rPr>
          <w:rFonts w:cs="Times New Roman"/>
          <w:szCs w:val="24"/>
        </w:rPr>
      </w:pPr>
      <w:r w:rsidRPr="00720C6E">
        <w:rPr>
          <w:rFonts w:cs="Times New Roman"/>
          <w:szCs w:val="24"/>
        </w:rPr>
        <w:t>našumo didinimas,</w:t>
      </w:r>
    </w:p>
    <w:p w:rsidR="00C7657E" w:rsidRPr="00720C6E" w:rsidRDefault="00C7657E" w:rsidP="004F5635">
      <w:pPr>
        <w:numPr>
          <w:ilvl w:val="0"/>
          <w:numId w:val="1"/>
        </w:numPr>
        <w:spacing w:after="0" w:line="240" w:lineRule="auto"/>
        <w:contextualSpacing/>
        <w:jc w:val="both"/>
        <w:rPr>
          <w:rFonts w:cs="Times New Roman"/>
          <w:szCs w:val="24"/>
        </w:rPr>
      </w:pPr>
      <w:r w:rsidRPr="00720C6E">
        <w:rPr>
          <w:rFonts w:cs="Times New Roman"/>
          <w:szCs w:val="24"/>
        </w:rPr>
        <w:t>sąžiningumas,</w:t>
      </w:r>
    </w:p>
    <w:p w:rsidR="00C7657E" w:rsidRPr="00720C6E" w:rsidRDefault="00C7657E" w:rsidP="004F5635">
      <w:pPr>
        <w:numPr>
          <w:ilvl w:val="0"/>
          <w:numId w:val="1"/>
        </w:numPr>
        <w:spacing w:after="0" w:line="240" w:lineRule="auto"/>
        <w:contextualSpacing/>
        <w:jc w:val="both"/>
        <w:rPr>
          <w:rFonts w:cs="Times New Roman"/>
          <w:szCs w:val="24"/>
        </w:rPr>
      </w:pPr>
      <w:r w:rsidRPr="00720C6E">
        <w:rPr>
          <w:rFonts w:cs="Times New Roman"/>
          <w:szCs w:val="24"/>
        </w:rPr>
        <w:t>makroekonominis stabilumas.</w:t>
      </w:r>
    </w:p>
    <w:p w:rsidR="00C7657E" w:rsidRPr="00720C6E" w:rsidRDefault="00C7657E" w:rsidP="004F5635">
      <w:pPr>
        <w:spacing w:after="0" w:line="240" w:lineRule="auto"/>
        <w:contextualSpacing/>
        <w:jc w:val="both"/>
        <w:rPr>
          <w:rFonts w:cs="Times New Roman"/>
          <w:b/>
          <w:color w:val="FF0000"/>
          <w:szCs w:val="24"/>
        </w:rPr>
      </w:pPr>
      <w:r w:rsidRPr="00720C6E">
        <w:rPr>
          <w:rFonts w:cs="Times New Roman"/>
          <w:b/>
          <w:szCs w:val="24"/>
        </w:rPr>
        <w:t xml:space="preserve">Tarybos išvadų projekte komitetai sveikina šias keturias dimensijas. </w:t>
      </w:r>
      <w:r w:rsidRPr="00720C6E">
        <w:rPr>
          <w:rFonts w:cs="Times New Roman"/>
          <w:szCs w:val="24"/>
        </w:rPr>
        <w:t xml:space="preserve">Iš esmės buvo pritarta ir Jungtinių tautų darnaus vystymosi tikslų integravimui į Europos semestrą, bet buvo išreikštas nerimas dėl to kaip šie tikslai bus integruoti. Europos socialinio teisių ramstis buvo paminėtas kaip sėkmingas tokio tipo integravimo pavyzdys. Komisija pažymėjo, kad dėmesys makroekonominiam stabilumui niekur nedingo, tačiau būtina atsižvelgti į socialinę ir aplinkos dimensijas. </w:t>
      </w:r>
      <w:r w:rsidRPr="00720C6E">
        <w:rPr>
          <w:rFonts w:cs="Times New Roman"/>
          <w:b/>
          <w:szCs w:val="24"/>
        </w:rPr>
        <w:t xml:space="preserve">Iš esmės nesutarimų buvo tik dėl mokestinės dalies </w:t>
      </w:r>
      <w:r w:rsidRPr="00720C6E">
        <w:rPr>
          <w:rFonts w:cs="Times New Roman"/>
          <w:szCs w:val="24"/>
        </w:rPr>
        <w:t xml:space="preserve">(agresyvaus mokesčių planavimo ir lenktynių iki dugno pelno apmokestinime). Ją pakeisti norėjo IE, MT, CY, LU. Buvo priimtas sprendimas taikyti tokią pačią formuluotę kaip ir Euro zonos rekomendacijų tekste. </w:t>
      </w:r>
      <w:r w:rsidRPr="00720C6E">
        <w:rPr>
          <w:rFonts w:cs="Times New Roman"/>
          <w:i/>
          <w:szCs w:val="24"/>
        </w:rPr>
        <w:t>„</w:t>
      </w:r>
      <w:r w:rsidRPr="00720C6E">
        <w:rPr>
          <w:rFonts w:cs="Times New Roman"/>
          <w:i/>
          <w:szCs w:val="24"/>
          <w:lang w:val="en-GB"/>
        </w:rPr>
        <w:t>Support and implement EU actions to combat Aggressive Tax Planning and avoid a race to the bottom in corporate taxation.”</w:t>
      </w:r>
      <w:r w:rsidRPr="00720C6E">
        <w:rPr>
          <w:rFonts w:cs="Times New Roman"/>
          <w:szCs w:val="24"/>
          <w:lang w:val="en-GB"/>
        </w:rPr>
        <w:t xml:space="preserve"> </w:t>
      </w:r>
      <w:proofErr w:type="gramStart"/>
      <w:r w:rsidRPr="00720C6E">
        <w:rPr>
          <w:rFonts w:cs="Times New Roman"/>
          <w:szCs w:val="24"/>
          <w:lang w:val="en-GB"/>
        </w:rPr>
        <w:t xml:space="preserve">(20 </w:t>
      </w:r>
      <w:r w:rsidRPr="00720C6E">
        <w:rPr>
          <w:rFonts w:cs="Times New Roman"/>
          <w:szCs w:val="24"/>
        </w:rPr>
        <w:t>pastraipa</w:t>
      </w:r>
      <w:r w:rsidRPr="00720C6E">
        <w:rPr>
          <w:rFonts w:cs="Times New Roman"/>
          <w:szCs w:val="24"/>
          <w:lang w:val="en-GB"/>
        </w:rPr>
        <w:t>).</w:t>
      </w:r>
      <w:proofErr w:type="gramEnd"/>
      <w:r w:rsidRPr="00720C6E">
        <w:rPr>
          <w:rFonts w:cs="Times New Roman"/>
          <w:b/>
          <w:szCs w:val="24"/>
          <w:lang w:val="en-GB"/>
        </w:rPr>
        <w:t xml:space="preserve"> </w:t>
      </w:r>
    </w:p>
    <w:p w:rsidR="00C7657E" w:rsidRPr="00720C6E" w:rsidRDefault="00C7657E" w:rsidP="004F5635">
      <w:pPr>
        <w:spacing w:after="0" w:line="240" w:lineRule="auto"/>
        <w:contextualSpacing/>
        <w:jc w:val="both"/>
        <w:rPr>
          <w:rFonts w:cs="Times New Roman"/>
          <w:szCs w:val="24"/>
          <w:lang w:eastAsia="lt-LT" w:bidi="lt-LT"/>
        </w:rPr>
      </w:pPr>
      <w:r w:rsidRPr="00720C6E">
        <w:rPr>
          <w:rFonts w:cs="Times New Roman"/>
          <w:b/>
          <w:szCs w:val="24"/>
          <w:u w:val="single"/>
          <w:lang w:eastAsia="lt-LT" w:bidi="lt-LT"/>
        </w:rPr>
        <w:t>Lietuvos pozicija.</w:t>
      </w:r>
      <w:r w:rsidRPr="00720C6E">
        <w:rPr>
          <w:rFonts w:cs="Times New Roman"/>
          <w:szCs w:val="24"/>
          <w:lang w:eastAsia="lt-LT" w:bidi="lt-LT"/>
        </w:rPr>
        <w:t xml:space="preserve"> Pritariame Tarybos išvadų projektui dėl Metinės tvaraus augimo strategijos.</w:t>
      </w:r>
    </w:p>
    <w:p w:rsidR="00C7657E" w:rsidRPr="00720C6E" w:rsidRDefault="00C7657E" w:rsidP="004F5635">
      <w:pPr>
        <w:spacing w:after="0" w:line="240" w:lineRule="auto"/>
        <w:contextualSpacing/>
        <w:jc w:val="both"/>
        <w:rPr>
          <w:rFonts w:cs="Times New Roman"/>
          <w:b/>
          <w:szCs w:val="24"/>
        </w:rPr>
      </w:pPr>
    </w:p>
    <w:p w:rsidR="00A0435E" w:rsidRPr="00720C6E" w:rsidRDefault="00C7657E" w:rsidP="004F5635">
      <w:pPr>
        <w:spacing w:after="0" w:line="240" w:lineRule="auto"/>
        <w:jc w:val="both"/>
        <w:rPr>
          <w:rFonts w:cs="Times New Roman"/>
          <w:szCs w:val="24"/>
        </w:rPr>
      </w:pPr>
      <w:r w:rsidRPr="00720C6E">
        <w:rPr>
          <w:rFonts w:cs="Times New Roman"/>
          <w:b/>
          <w:szCs w:val="24"/>
        </w:rPr>
        <w:t xml:space="preserve">b) Tarybos išvadų projektas dėl Įspėjimo mechanizmo ataskaitos. </w:t>
      </w:r>
      <w:r w:rsidRPr="00720C6E">
        <w:rPr>
          <w:rFonts w:cs="Times New Roman"/>
          <w:szCs w:val="24"/>
        </w:rPr>
        <w:t xml:space="preserve">Esminių diskusijų dėl šio dokumento nekilo buvo atlikti redakcinio pobūdžio pokyčiai. VN pritarė šalių pasirinktų nuodugnioms apžvalgoms sąrašui: Bulgarijai, Kroatijai, Prancūzijai, Vokietijai, Airijai, Nyderlandams, Portugalijai, Ispanijai, Švedijai, Rumunijai nustatyti </w:t>
      </w:r>
      <w:proofErr w:type="spellStart"/>
      <w:r w:rsidRPr="00720C6E">
        <w:rPr>
          <w:rFonts w:cs="Times New Roman"/>
          <w:szCs w:val="24"/>
        </w:rPr>
        <w:t>disbalansai</w:t>
      </w:r>
      <w:proofErr w:type="spellEnd"/>
      <w:r w:rsidRPr="00720C6E">
        <w:rPr>
          <w:rFonts w:cs="Times New Roman"/>
          <w:szCs w:val="24"/>
        </w:rPr>
        <w:t xml:space="preserve">. Graikijai, Italijai, Kiprui nustatyti </w:t>
      </w:r>
      <w:proofErr w:type="spellStart"/>
      <w:r w:rsidRPr="00720C6E">
        <w:rPr>
          <w:rFonts w:cs="Times New Roman"/>
          <w:szCs w:val="24"/>
        </w:rPr>
        <w:t>perviršiniai</w:t>
      </w:r>
      <w:proofErr w:type="spellEnd"/>
      <w:r w:rsidRPr="00720C6E">
        <w:rPr>
          <w:rFonts w:cs="Times New Roman"/>
          <w:szCs w:val="24"/>
        </w:rPr>
        <w:t xml:space="preserve"> </w:t>
      </w:r>
      <w:proofErr w:type="spellStart"/>
      <w:r w:rsidRPr="00720C6E">
        <w:rPr>
          <w:rFonts w:cs="Times New Roman"/>
          <w:szCs w:val="24"/>
        </w:rPr>
        <w:t>disbalansai</w:t>
      </w:r>
      <w:proofErr w:type="spellEnd"/>
      <w:r w:rsidRPr="00720C6E">
        <w:rPr>
          <w:rFonts w:cs="Times New Roman"/>
          <w:szCs w:val="24"/>
        </w:rPr>
        <w:t>. Buvo akcentuotas Euro zonos perbalansavimas: produktyvumo augimo poreikis VN skolininkėse ir visuminės paklausos stimuliavimas skolinančiose VN.</w:t>
      </w:r>
    </w:p>
    <w:p w:rsidR="00C7657E" w:rsidRPr="00720C6E" w:rsidRDefault="00C7657E" w:rsidP="004F5635">
      <w:pPr>
        <w:spacing w:after="0" w:line="240" w:lineRule="auto"/>
        <w:contextualSpacing/>
        <w:jc w:val="both"/>
        <w:rPr>
          <w:rFonts w:cs="Times New Roman"/>
          <w:szCs w:val="24"/>
          <w:lang w:eastAsia="lt-LT" w:bidi="lt-LT"/>
        </w:rPr>
      </w:pPr>
      <w:r w:rsidRPr="00720C6E">
        <w:rPr>
          <w:rFonts w:cs="Times New Roman"/>
          <w:b/>
          <w:szCs w:val="24"/>
          <w:u w:val="single"/>
          <w:lang w:eastAsia="lt-LT" w:bidi="lt-LT"/>
        </w:rPr>
        <w:t>Lietuvos pozicija.</w:t>
      </w:r>
      <w:r w:rsidRPr="00720C6E">
        <w:rPr>
          <w:rFonts w:cs="Times New Roman"/>
          <w:szCs w:val="24"/>
          <w:lang w:eastAsia="lt-LT" w:bidi="lt-LT"/>
        </w:rPr>
        <w:t xml:space="preserve"> Pritariame Tarybos išvadų projektui dėl Įspėjimo mechanizmo ataskaitos.</w:t>
      </w:r>
    </w:p>
    <w:p w:rsidR="00C7657E" w:rsidRPr="00720C6E" w:rsidRDefault="00C7657E" w:rsidP="004F5635">
      <w:pPr>
        <w:spacing w:after="0" w:line="240" w:lineRule="auto"/>
        <w:contextualSpacing/>
        <w:jc w:val="both"/>
        <w:rPr>
          <w:rFonts w:cs="Times New Roman"/>
          <w:szCs w:val="24"/>
          <w:lang w:eastAsia="lt-LT" w:bidi="lt-LT"/>
        </w:rPr>
      </w:pPr>
    </w:p>
    <w:p w:rsidR="00C7657E" w:rsidRPr="00720C6E" w:rsidRDefault="00C7657E" w:rsidP="004F5635">
      <w:pPr>
        <w:spacing w:after="0" w:line="240" w:lineRule="auto"/>
        <w:contextualSpacing/>
        <w:jc w:val="both"/>
        <w:rPr>
          <w:rFonts w:cs="Times New Roman"/>
          <w:szCs w:val="24"/>
          <w:lang w:eastAsia="lt-LT" w:bidi="lt-LT"/>
        </w:rPr>
      </w:pPr>
      <w:r w:rsidRPr="00720C6E">
        <w:rPr>
          <w:rFonts w:cs="Times New Roman"/>
          <w:b/>
          <w:szCs w:val="24"/>
          <w:lang w:eastAsia="lt-LT" w:bidi="lt-LT"/>
        </w:rPr>
        <w:t>c)</w:t>
      </w:r>
      <w:r w:rsidRPr="00720C6E">
        <w:rPr>
          <w:b/>
          <w:szCs w:val="24"/>
        </w:rPr>
        <w:t xml:space="preserve"> </w:t>
      </w:r>
      <w:r w:rsidRPr="00720C6E">
        <w:rPr>
          <w:rFonts w:cs="Times New Roman"/>
          <w:b/>
          <w:szCs w:val="24"/>
          <w:lang w:eastAsia="lt-LT" w:bidi="lt-LT"/>
        </w:rPr>
        <w:t xml:space="preserve">Tarybos rekomendacijos euro zonai. </w:t>
      </w:r>
      <w:r w:rsidRPr="00720C6E">
        <w:rPr>
          <w:rFonts w:cs="Times New Roman"/>
          <w:szCs w:val="24"/>
          <w:lang w:eastAsia="lt-LT" w:bidi="lt-LT"/>
        </w:rPr>
        <w:t>Ši dalis detaliau aptariama Euro grupėje, todėl informacija pateikta prie Euro grupės klausimų.</w:t>
      </w:r>
    </w:p>
    <w:p w:rsidR="006E224F" w:rsidRPr="00720C6E" w:rsidRDefault="006E224F" w:rsidP="004F5635">
      <w:pPr>
        <w:spacing w:after="0" w:line="240" w:lineRule="auto"/>
        <w:rPr>
          <w:rFonts w:eastAsia="Calibri" w:cs="Times New Roman"/>
          <w:szCs w:val="24"/>
        </w:rPr>
      </w:pPr>
    </w:p>
    <w:p w:rsidR="000769A5" w:rsidRPr="00720C6E" w:rsidRDefault="000769A5" w:rsidP="004F5635">
      <w:pPr>
        <w:spacing w:after="0" w:line="240" w:lineRule="auto"/>
        <w:rPr>
          <w:rFonts w:eastAsia="Calibri" w:cs="Times New Roman"/>
          <w:szCs w:val="24"/>
        </w:rPr>
      </w:pPr>
    </w:p>
    <w:p w:rsidR="000769A5" w:rsidRPr="00720C6E" w:rsidRDefault="000769A5" w:rsidP="004F563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720C6E">
        <w:rPr>
          <w:rFonts w:cs="Times New Roman"/>
          <w:b/>
          <w:szCs w:val="24"/>
        </w:rPr>
        <w:t>Pasiruošimas vasario mėnesį vyksianti</w:t>
      </w:r>
      <w:r w:rsidR="00455FB7" w:rsidRPr="00720C6E">
        <w:rPr>
          <w:rFonts w:cs="Times New Roman"/>
          <w:b/>
          <w:szCs w:val="24"/>
        </w:rPr>
        <w:t>ems G20 susitikimams</w:t>
      </w:r>
      <w:r w:rsidRPr="00720C6E">
        <w:rPr>
          <w:rFonts w:cs="Times New Roman"/>
          <w:b/>
          <w:szCs w:val="24"/>
        </w:rPr>
        <w:t xml:space="preserve"> </w:t>
      </w:r>
      <w:r w:rsidRPr="00720C6E">
        <w:rPr>
          <w:rFonts w:cs="Times New Roman"/>
          <w:i/>
          <w:szCs w:val="24"/>
        </w:rPr>
        <w:t>(Priėmimas)</w:t>
      </w:r>
    </w:p>
    <w:p w:rsidR="00455FB7" w:rsidRPr="00720C6E" w:rsidRDefault="00455FB7" w:rsidP="00547D85">
      <w:pPr>
        <w:spacing w:after="0" w:line="240" w:lineRule="auto"/>
        <w:jc w:val="both"/>
        <w:rPr>
          <w:rFonts w:cs="Times New Roman"/>
          <w:b/>
          <w:szCs w:val="24"/>
          <w:u w:val="single"/>
          <w:lang w:bidi="lt-LT"/>
        </w:rPr>
      </w:pPr>
    </w:p>
    <w:p w:rsidR="00547D85" w:rsidRPr="00720C6E" w:rsidRDefault="00547D85" w:rsidP="00547D85">
      <w:pPr>
        <w:spacing w:after="0" w:line="240" w:lineRule="auto"/>
        <w:jc w:val="both"/>
        <w:rPr>
          <w:rFonts w:eastAsia="Calibri" w:cs="Times New Roman"/>
          <w:szCs w:val="24"/>
        </w:rPr>
      </w:pPr>
      <w:r w:rsidRPr="00720C6E">
        <w:rPr>
          <w:rFonts w:cs="Times New Roman"/>
          <w:b/>
          <w:szCs w:val="24"/>
          <w:u w:val="single"/>
          <w:lang w:bidi="lt-LT"/>
        </w:rPr>
        <w:t>Klausimo esmė.</w:t>
      </w:r>
      <w:r w:rsidRPr="00720C6E">
        <w:rPr>
          <w:rFonts w:cs="Times New Roman"/>
          <w:b/>
          <w:szCs w:val="24"/>
          <w:lang w:bidi="lt-LT"/>
        </w:rPr>
        <w:t xml:space="preserve"> </w:t>
      </w:r>
      <w:r w:rsidRPr="00720C6E">
        <w:rPr>
          <w:rFonts w:eastAsia="Calibri" w:cs="Times New Roman"/>
          <w:szCs w:val="24"/>
        </w:rPr>
        <w:t xml:space="preserve">Pagrindiniai G20 finansų ministrų ir centrinių bankų valdytojų pozicijų gairių aspektai: </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xml:space="preserve">● Pasaulio ekonomikos augimas išlieka silpnas. Pagrindinės rizikos – prekybos ir geopolitinės įtampos, o jų sprendimas – didžiausias prioritetas. Svarbu tęsti pasaulio </w:t>
      </w:r>
      <w:proofErr w:type="spellStart"/>
      <w:r w:rsidRPr="00720C6E">
        <w:rPr>
          <w:rFonts w:eastAsia="Calibri" w:cs="Times New Roman"/>
          <w:szCs w:val="24"/>
        </w:rPr>
        <w:t>disbalansų</w:t>
      </w:r>
      <w:proofErr w:type="spellEnd"/>
      <w:r w:rsidRPr="00720C6E">
        <w:rPr>
          <w:rFonts w:eastAsia="Calibri" w:cs="Times New Roman"/>
          <w:szCs w:val="24"/>
        </w:rPr>
        <w:t xml:space="preserve"> sprendimą. </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xml:space="preserve">● Aukštą skolos lygį turinčios šalys turėtų įgyvendinti atsargią fiskalinę politiką, o fiskalinės erdvės turinčios šalys turėtų apsvarstyti jos panaudojimą aukštos kokybės investicijoms, tačiau išsaugant viešųjų finansų tvarumą. Svarbu įgyvendinti struktūrines reformas tvaraus ir integracinio augimo užtikrinimui ir </w:t>
      </w:r>
      <w:r w:rsidRPr="00720C6E">
        <w:rPr>
          <w:rFonts w:eastAsia="Calibri" w:cs="Times New Roman"/>
          <w:szCs w:val="24"/>
        </w:rPr>
        <w:lastRenderedPageBreak/>
        <w:t xml:space="preserve">viešųjų finansų kokybės gerinimui, nukreipti išteklius produktyvioms ir žalioms investicijoms, taikyti </w:t>
      </w:r>
      <w:proofErr w:type="spellStart"/>
      <w:r w:rsidRPr="00720C6E">
        <w:rPr>
          <w:rFonts w:eastAsia="Calibri" w:cs="Times New Roman"/>
          <w:szCs w:val="24"/>
        </w:rPr>
        <w:t>makroprudencinę</w:t>
      </w:r>
      <w:proofErr w:type="spellEnd"/>
      <w:r w:rsidRPr="00720C6E">
        <w:rPr>
          <w:rFonts w:eastAsia="Calibri" w:cs="Times New Roman"/>
          <w:szCs w:val="24"/>
        </w:rPr>
        <w:t xml:space="preserve"> politiką finansiniam stabilumui užtikrinti.</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xml:space="preserve">● Patvirtinama parama taisyklėmis paremtai daugiašalei prekybos sistemai ir aktyvus įsitraukimas į Pasaulio prekybos organizacijos reformavimą, pateikiama informacija apie ES pateiktus pasiūlymus dėl ginčų sprendimo ir </w:t>
      </w:r>
      <w:proofErr w:type="spellStart"/>
      <w:r w:rsidRPr="00720C6E">
        <w:rPr>
          <w:rFonts w:eastAsia="Calibri" w:cs="Times New Roman"/>
          <w:szCs w:val="24"/>
        </w:rPr>
        <w:t>stebėsenos</w:t>
      </w:r>
      <w:proofErr w:type="spellEnd"/>
      <w:r w:rsidRPr="00720C6E">
        <w:rPr>
          <w:rFonts w:eastAsia="Calibri" w:cs="Times New Roman"/>
          <w:szCs w:val="24"/>
        </w:rPr>
        <w:t xml:space="preserve"> ir tolesnius veiksmus.</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Sveikinami pirmininkaujančios šalies prioritetai infrastruktūros srityje ir laukiama G20 kokybiškų investicijų į infrastruktūrą principų įgyvendinimo. Darbas technologijų srityje turėtų būti nukreiptas į būdus, kuriais technologijos galėtų padėti spręsti esamus aplinkosauginius ir socialinius iššūkius. Remiamas tolesnis darbas Investicijų į kokybišką infrastruktūrą indikatorių srityje, infrastruktūros valdymo gerinimas.</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Mokesčių srityje prioritetas skiriamas pasauliniams sprendimams skaitmeninės ekonomikos apmokestinimui ir likusiems BEPS klausimams spręsti. Laukiama ambicingų, teisingų, efektyvių, nediskriminuojančių ir įvykdomų pasaulinių sprendimų, pasižadama dvigubinti pastangas siekiant konsensusu pagrįsto pasaulinio sprendimo 2020 m. Siūloma intensyviau dirbti ties apmokestinimo skaidrumu ir siekti tarptautinių standartų dėl skaidrumo ir tikrųjų savininkų įgyvendinimą efektyvaus įgyvendinimo arba peržiūros.</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xml:space="preserve">● Finansų reguliavimo srityje svarbiausi klausimai yra G20 sutartų finansinio sektoriaus reformų įgyvendinimas, savalaikis </w:t>
      </w:r>
      <w:proofErr w:type="spellStart"/>
      <w:r w:rsidRPr="00720C6E">
        <w:rPr>
          <w:rFonts w:eastAsia="Calibri" w:cs="Times New Roman"/>
          <w:szCs w:val="24"/>
        </w:rPr>
        <w:t>Basel</w:t>
      </w:r>
      <w:proofErr w:type="spellEnd"/>
      <w:r w:rsidRPr="00720C6E">
        <w:rPr>
          <w:rFonts w:eastAsia="Calibri" w:cs="Times New Roman"/>
          <w:szCs w:val="24"/>
        </w:rPr>
        <w:t xml:space="preserve"> III susitarimo įgyvendinimas, su ne bankų teikiamomis finansinio tarpininkavimo paslaugomis susijusių </w:t>
      </w:r>
      <w:proofErr w:type="spellStart"/>
      <w:r w:rsidRPr="00720C6E">
        <w:rPr>
          <w:rFonts w:eastAsia="Calibri" w:cs="Times New Roman"/>
          <w:szCs w:val="24"/>
        </w:rPr>
        <w:t>rizikų</w:t>
      </w:r>
      <w:proofErr w:type="spellEnd"/>
      <w:r w:rsidRPr="00720C6E">
        <w:rPr>
          <w:rFonts w:eastAsia="Calibri" w:cs="Times New Roman"/>
          <w:szCs w:val="24"/>
        </w:rPr>
        <w:t xml:space="preserve"> </w:t>
      </w:r>
      <w:proofErr w:type="spellStart"/>
      <w:r w:rsidRPr="00720C6E">
        <w:rPr>
          <w:rFonts w:eastAsia="Calibri" w:cs="Times New Roman"/>
          <w:szCs w:val="24"/>
        </w:rPr>
        <w:t>stebėsena</w:t>
      </w:r>
      <w:proofErr w:type="spellEnd"/>
      <w:r w:rsidRPr="00720C6E">
        <w:rPr>
          <w:rFonts w:eastAsia="Calibri" w:cs="Times New Roman"/>
          <w:szCs w:val="24"/>
        </w:rPr>
        <w:t xml:space="preserve">, kibernetinis atsparumas, technologinės inovacijos, pinigų plovimas ir terorizmo finansavimas, </w:t>
      </w:r>
      <w:proofErr w:type="spellStart"/>
      <w:r w:rsidRPr="00720C6E">
        <w:rPr>
          <w:rFonts w:eastAsia="Calibri" w:cs="Times New Roman"/>
          <w:szCs w:val="24"/>
        </w:rPr>
        <w:t>kriptovaliutų</w:t>
      </w:r>
      <w:proofErr w:type="spellEnd"/>
      <w:r w:rsidRPr="00720C6E">
        <w:rPr>
          <w:rFonts w:eastAsia="Calibri" w:cs="Times New Roman"/>
          <w:szCs w:val="24"/>
        </w:rPr>
        <w:t xml:space="preserve"> klausimai. Pakartojamas įsipareigojimas laikytis atnaujintų standartų dėl virtualaus turto ir pabrėžiama, kad tvarių finansų ir klimato </w:t>
      </w:r>
      <w:proofErr w:type="spellStart"/>
      <w:r w:rsidRPr="00720C6E">
        <w:rPr>
          <w:rFonts w:eastAsia="Calibri" w:cs="Times New Roman"/>
          <w:szCs w:val="24"/>
        </w:rPr>
        <w:t>rizikų</w:t>
      </w:r>
      <w:proofErr w:type="spellEnd"/>
      <w:r w:rsidRPr="00720C6E">
        <w:rPr>
          <w:rFonts w:eastAsia="Calibri" w:cs="Times New Roman"/>
          <w:szCs w:val="24"/>
        </w:rPr>
        <w:t xml:space="preserve"> klausimai turi būti tinkamai išlaikyti G20 darbotvarkėje.</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xml:space="preserve">● ES remia IMFC ir G20 lyderių įsipareigojimą TVF kaip stipriai, kvota paremtai ir tinkamą kiekį išteklių turinčiai institucijai pasaulinės finansinės apsaugos sistemos centre. ES prisidės prie TVF išteklių ir valdymo paketo įgyvendinimo, kaip sutarta 2020 m. spalio mėn. metinių susitikimų metu. Sveikinamas jau pasiektas sutarimas pratęsti dvišalių skolinimo susitarimų galiojimą metams, kuris sudaro galimybes pereiti prie naujųjų skolinimo susitarimų atnaujinimo ir padvigubinimo. </w:t>
      </w:r>
    </w:p>
    <w:p w:rsidR="00547D85" w:rsidRPr="00720C6E" w:rsidRDefault="00547D85" w:rsidP="00547D85">
      <w:pPr>
        <w:spacing w:after="0" w:line="240" w:lineRule="auto"/>
        <w:jc w:val="both"/>
        <w:rPr>
          <w:rFonts w:eastAsia="Calibri" w:cs="Times New Roman"/>
          <w:szCs w:val="24"/>
        </w:rPr>
      </w:pPr>
      <w:r w:rsidRPr="00720C6E">
        <w:rPr>
          <w:rFonts w:eastAsia="Calibri" w:cs="Times New Roman"/>
          <w:szCs w:val="24"/>
        </w:rPr>
        <w:t>● ES remia G20 darbą mažų pajamų valstybių skolos skaidrumo ir tvarumo srityje.</w:t>
      </w:r>
    </w:p>
    <w:p w:rsidR="00547D85" w:rsidRPr="00720C6E" w:rsidRDefault="00547D85" w:rsidP="00547D85">
      <w:pPr>
        <w:spacing w:after="0" w:line="240" w:lineRule="auto"/>
        <w:jc w:val="both"/>
        <w:rPr>
          <w:rFonts w:eastAsia="Calibri" w:cs="Times New Roman"/>
          <w:iCs/>
          <w:szCs w:val="24"/>
        </w:rPr>
      </w:pPr>
      <w:r w:rsidRPr="00720C6E">
        <w:rPr>
          <w:rFonts w:eastAsia="Calibri" w:cs="Times New Roman"/>
          <w:szCs w:val="24"/>
        </w:rPr>
        <w:t xml:space="preserve">● G20 Pripažintų ekspertų grupės (angl. </w:t>
      </w:r>
      <w:proofErr w:type="spellStart"/>
      <w:r w:rsidRPr="00720C6E">
        <w:rPr>
          <w:rFonts w:eastAsia="Calibri" w:cs="Times New Roman"/>
          <w:i/>
          <w:szCs w:val="24"/>
        </w:rPr>
        <w:t>Eminent</w:t>
      </w:r>
      <w:proofErr w:type="spellEnd"/>
      <w:r w:rsidRPr="00720C6E">
        <w:rPr>
          <w:rFonts w:eastAsia="Calibri" w:cs="Times New Roman"/>
          <w:i/>
          <w:szCs w:val="24"/>
        </w:rPr>
        <w:t xml:space="preserve"> </w:t>
      </w:r>
      <w:proofErr w:type="spellStart"/>
      <w:r w:rsidRPr="00720C6E">
        <w:rPr>
          <w:rFonts w:eastAsia="Calibri" w:cs="Times New Roman"/>
          <w:i/>
          <w:szCs w:val="24"/>
        </w:rPr>
        <w:t>Persons</w:t>
      </w:r>
      <w:proofErr w:type="spellEnd"/>
      <w:r w:rsidRPr="00720C6E">
        <w:rPr>
          <w:rFonts w:eastAsia="Calibri" w:cs="Times New Roman"/>
          <w:i/>
          <w:szCs w:val="24"/>
        </w:rPr>
        <w:t xml:space="preserve"> </w:t>
      </w:r>
      <w:proofErr w:type="spellStart"/>
      <w:r w:rsidRPr="00720C6E">
        <w:rPr>
          <w:rFonts w:eastAsia="Calibri" w:cs="Times New Roman"/>
          <w:i/>
          <w:szCs w:val="24"/>
        </w:rPr>
        <w:t>Group</w:t>
      </w:r>
      <w:proofErr w:type="spellEnd"/>
      <w:r w:rsidRPr="00720C6E">
        <w:rPr>
          <w:rFonts w:eastAsia="Calibri" w:cs="Times New Roman"/>
          <w:szCs w:val="24"/>
        </w:rPr>
        <w:t xml:space="preserve">, EPG) rekomendacijų atžvilgiu, ES sveikina atliktą darbą dėl šalių lygmens platformų sukūrimo ir laukia įgyvendinimo fazės. Toliau būtų galima apsvarstyti šių EPG pasiūlymų įgyvendinimą: i) šalių įgalinimas geriau pasinaudoti tarptautinių kapitalo srautų nauda, </w:t>
      </w:r>
      <w:proofErr w:type="spellStart"/>
      <w:r w:rsidRPr="00720C6E">
        <w:rPr>
          <w:rFonts w:eastAsia="Calibri" w:cs="Times New Roman"/>
          <w:szCs w:val="24"/>
        </w:rPr>
        <w:t>ii</w:t>
      </w:r>
      <w:proofErr w:type="spellEnd"/>
      <w:r w:rsidRPr="00720C6E">
        <w:rPr>
          <w:rFonts w:eastAsia="Calibri" w:cs="Times New Roman"/>
          <w:szCs w:val="24"/>
        </w:rPr>
        <w:t xml:space="preserve">) rizikos </w:t>
      </w:r>
      <w:proofErr w:type="spellStart"/>
      <w:r w:rsidRPr="00720C6E">
        <w:rPr>
          <w:rFonts w:eastAsia="Calibri" w:cs="Times New Roman"/>
          <w:szCs w:val="24"/>
        </w:rPr>
        <w:t>stebėsenos</w:t>
      </w:r>
      <w:proofErr w:type="spellEnd"/>
      <w:r w:rsidRPr="00720C6E">
        <w:rPr>
          <w:rFonts w:eastAsia="Calibri" w:cs="Times New Roman"/>
          <w:szCs w:val="24"/>
        </w:rPr>
        <w:t xml:space="preserve"> stiprinimas, </w:t>
      </w:r>
      <w:proofErr w:type="spellStart"/>
      <w:r w:rsidRPr="00720C6E">
        <w:rPr>
          <w:rFonts w:eastAsia="Calibri" w:cs="Times New Roman"/>
          <w:szCs w:val="24"/>
        </w:rPr>
        <w:t>iii</w:t>
      </w:r>
      <w:proofErr w:type="spellEnd"/>
      <w:r w:rsidRPr="00720C6E">
        <w:rPr>
          <w:rFonts w:eastAsia="Calibri" w:cs="Times New Roman"/>
          <w:szCs w:val="24"/>
        </w:rPr>
        <w:t xml:space="preserve">) tarptautinių organizacijų tarpusavio koordinavimo ir gebėjimų stiprinimo veiklų gerinimas, ir </w:t>
      </w:r>
      <w:proofErr w:type="spellStart"/>
      <w:r w:rsidRPr="00720C6E">
        <w:rPr>
          <w:rFonts w:eastAsia="Calibri" w:cs="Times New Roman"/>
          <w:szCs w:val="24"/>
        </w:rPr>
        <w:t>iv</w:t>
      </w:r>
      <w:proofErr w:type="spellEnd"/>
      <w:r w:rsidRPr="00720C6E">
        <w:rPr>
          <w:rFonts w:eastAsia="Calibri" w:cs="Times New Roman"/>
          <w:szCs w:val="24"/>
        </w:rPr>
        <w:t xml:space="preserve">) mažesne apimtimi - kai kuriuos pasiūlymų dėl pasaulio finansinės apsaugos sistemos efektyvumo stiprinimo aspektus. Pakartojamas įsipareigojimas toliau tęsti Susitarimo su Afrika (angl. </w:t>
      </w:r>
      <w:proofErr w:type="spellStart"/>
      <w:r w:rsidRPr="00720C6E">
        <w:rPr>
          <w:rFonts w:eastAsia="Calibri" w:cs="Times New Roman"/>
          <w:i/>
          <w:szCs w:val="24"/>
        </w:rPr>
        <w:t>Compact</w:t>
      </w:r>
      <w:proofErr w:type="spellEnd"/>
      <w:r w:rsidRPr="00720C6E">
        <w:rPr>
          <w:rFonts w:eastAsia="Calibri" w:cs="Times New Roman"/>
          <w:i/>
          <w:szCs w:val="24"/>
        </w:rPr>
        <w:t xml:space="preserve"> </w:t>
      </w:r>
      <w:proofErr w:type="spellStart"/>
      <w:r w:rsidRPr="00720C6E">
        <w:rPr>
          <w:rFonts w:eastAsia="Calibri" w:cs="Times New Roman"/>
          <w:i/>
          <w:szCs w:val="24"/>
        </w:rPr>
        <w:t>with</w:t>
      </w:r>
      <w:proofErr w:type="spellEnd"/>
      <w:r w:rsidRPr="00720C6E">
        <w:rPr>
          <w:rFonts w:eastAsia="Calibri" w:cs="Times New Roman"/>
          <w:i/>
          <w:szCs w:val="24"/>
        </w:rPr>
        <w:t xml:space="preserve"> </w:t>
      </w:r>
      <w:proofErr w:type="spellStart"/>
      <w:r w:rsidRPr="00720C6E">
        <w:rPr>
          <w:rFonts w:eastAsia="Calibri" w:cs="Times New Roman"/>
          <w:i/>
          <w:szCs w:val="24"/>
        </w:rPr>
        <w:t>Africa</w:t>
      </w:r>
      <w:proofErr w:type="spellEnd"/>
      <w:r w:rsidRPr="00720C6E">
        <w:rPr>
          <w:rFonts w:eastAsia="Calibri" w:cs="Times New Roman"/>
          <w:szCs w:val="24"/>
        </w:rPr>
        <w:t>) iniciatyvą.</w:t>
      </w:r>
    </w:p>
    <w:p w:rsidR="00547D85" w:rsidRPr="00720C6E" w:rsidRDefault="00547D85" w:rsidP="00547D85">
      <w:pPr>
        <w:spacing w:after="0" w:line="240" w:lineRule="auto"/>
        <w:jc w:val="both"/>
        <w:rPr>
          <w:rFonts w:cs="Times New Roman"/>
          <w:szCs w:val="24"/>
          <w:lang w:eastAsia="fr-BE"/>
        </w:rPr>
      </w:pPr>
      <w:r w:rsidRPr="00720C6E">
        <w:rPr>
          <w:rFonts w:eastAsia="Calibri" w:cs="Times New Roman"/>
          <w:b/>
          <w:szCs w:val="24"/>
          <w:u w:val="single"/>
        </w:rPr>
        <w:t>Lietuvos pozicija.</w:t>
      </w:r>
      <w:r w:rsidRPr="00720C6E">
        <w:rPr>
          <w:rFonts w:cs="Times New Roman"/>
          <w:color w:val="000000"/>
          <w:szCs w:val="24"/>
          <w:shd w:val="clear" w:color="auto" w:fill="FFFFFF"/>
        </w:rPr>
        <w:t xml:space="preserve"> Be pastabų pritariame G20 pozicijų gairėms.</w:t>
      </w:r>
    </w:p>
    <w:p w:rsidR="009633E2" w:rsidRPr="00720C6E" w:rsidRDefault="009633E2" w:rsidP="00547D85">
      <w:pPr>
        <w:spacing w:after="0" w:line="240" w:lineRule="auto"/>
        <w:jc w:val="both"/>
        <w:rPr>
          <w:rFonts w:eastAsia="Calibri" w:cs="Times New Roman"/>
          <w:szCs w:val="24"/>
        </w:rPr>
      </w:pPr>
    </w:p>
    <w:p w:rsidR="009633E2" w:rsidRPr="00720C6E" w:rsidRDefault="009633E2" w:rsidP="004F5635">
      <w:pPr>
        <w:spacing w:after="0" w:line="240" w:lineRule="auto"/>
        <w:jc w:val="both"/>
        <w:rPr>
          <w:rFonts w:eastAsia="Calibri"/>
          <w:color w:val="000000" w:themeColor="text1"/>
          <w:szCs w:val="24"/>
          <w:lang w:val="en-US"/>
        </w:rPr>
      </w:pPr>
    </w:p>
    <w:p w:rsidR="009633E2" w:rsidRPr="00720C6E" w:rsidRDefault="009633E2" w:rsidP="004F563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720C6E">
        <w:rPr>
          <w:rFonts w:cs="Times New Roman"/>
          <w:b/>
          <w:szCs w:val="24"/>
        </w:rPr>
        <w:t xml:space="preserve">Tarybos išvados dėl  </w:t>
      </w:r>
      <w:r w:rsidRPr="00720C6E">
        <w:rPr>
          <w:rFonts w:eastAsia="Calibri"/>
          <w:b/>
          <w:color w:val="000000" w:themeColor="text1"/>
          <w:szCs w:val="24"/>
        </w:rPr>
        <w:t>nebendradarbiaujančių jurisdikcijų sąrašo mokesčių tikslais</w:t>
      </w:r>
      <w:r w:rsidRPr="00720C6E">
        <w:rPr>
          <w:rFonts w:cs="Times New Roman"/>
          <w:i/>
          <w:szCs w:val="24"/>
        </w:rPr>
        <w:t xml:space="preserve"> (</w:t>
      </w:r>
      <w:r w:rsidR="000769A5" w:rsidRPr="00720C6E">
        <w:rPr>
          <w:rFonts w:cs="Times New Roman"/>
          <w:i/>
          <w:szCs w:val="24"/>
        </w:rPr>
        <w:t>Priėmimas</w:t>
      </w:r>
      <w:r w:rsidRPr="00720C6E">
        <w:rPr>
          <w:rFonts w:cs="Times New Roman"/>
          <w:i/>
          <w:szCs w:val="24"/>
        </w:rPr>
        <w:t>)</w:t>
      </w:r>
    </w:p>
    <w:p w:rsidR="009633E2" w:rsidRPr="00720C6E" w:rsidRDefault="009633E2" w:rsidP="004F5635">
      <w:pPr>
        <w:spacing w:after="0" w:line="240" w:lineRule="auto"/>
        <w:jc w:val="both"/>
        <w:rPr>
          <w:rFonts w:eastAsia="Calibri" w:cs="Times New Roman"/>
          <w:b/>
          <w:szCs w:val="24"/>
        </w:rPr>
      </w:pPr>
    </w:p>
    <w:p w:rsidR="004F5635" w:rsidRPr="00720C6E" w:rsidRDefault="004F5635" w:rsidP="004F5635">
      <w:pPr>
        <w:spacing w:after="0" w:line="240" w:lineRule="auto"/>
        <w:jc w:val="both"/>
        <w:rPr>
          <w:szCs w:val="24"/>
        </w:rPr>
      </w:pPr>
      <w:r w:rsidRPr="00720C6E">
        <w:rPr>
          <w:rFonts w:eastAsia="Calibri" w:cs="Times New Roman"/>
          <w:b/>
          <w:szCs w:val="24"/>
          <w:u w:val="single"/>
        </w:rPr>
        <w:t>Klausimo esmė.</w:t>
      </w:r>
      <w:r w:rsidRPr="00720C6E">
        <w:rPr>
          <w:rFonts w:eastAsia="Calibri" w:cs="Times New Roman"/>
          <w:b/>
          <w:szCs w:val="24"/>
        </w:rPr>
        <w:t xml:space="preserve"> </w:t>
      </w:r>
      <w:r w:rsidRPr="00720C6E">
        <w:rPr>
          <w:szCs w:val="24"/>
        </w:rPr>
        <w:t xml:space="preserve">Siūloma patvirtinti Tarybos išvadas, kuriomis dar kartą atnaujinamas ES nebendradarbiaujančių jurisdikcijų sąrašas mokesčių tikslais, atsižvelgiant į sąrašuose esančių jurisdikcijų padarytą pažangą (pirmasis „ES sąrašas“ patvirtintas 2017 m. gruodžio 5 d.; dabar galiojanti sąrašo redakcija patvirtinta 2019 m. lapkričio 14 d.). </w:t>
      </w:r>
    </w:p>
    <w:p w:rsidR="004F5635" w:rsidRPr="00720C6E" w:rsidRDefault="004F5635" w:rsidP="004F5635">
      <w:pPr>
        <w:pStyle w:val="Point123"/>
        <w:numPr>
          <w:ilvl w:val="0"/>
          <w:numId w:val="0"/>
        </w:numPr>
        <w:spacing w:before="0"/>
        <w:jc w:val="both"/>
        <w:rPr>
          <w:color w:val="000000"/>
          <w:szCs w:val="24"/>
          <w:lang w:val="lt-LT"/>
        </w:rPr>
      </w:pPr>
    </w:p>
    <w:p w:rsidR="004F5635" w:rsidRPr="00720C6E" w:rsidRDefault="004F5635" w:rsidP="004F5635">
      <w:pPr>
        <w:pStyle w:val="Point123"/>
        <w:numPr>
          <w:ilvl w:val="0"/>
          <w:numId w:val="0"/>
        </w:numPr>
        <w:spacing w:before="0"/>
        <w:jc w:val="both"/>
        <w:rPr>
          <w:szCs w:val="24"/>
          <w:lang w:val="lt-LT"/>
        </w:rPr>
      </w:pPr>
      <w:r w:rsidRPr="00720C6E">
        <w:rPr>
          <w:color w:val="000000"/>
          <w:szCs w:val="24"/>
          <w:lang w:val="lt-LT"/>
        </w:rPr>
        <w:t xml:space="preserve">Išvadų </w:t>
      </w:r>
      <w:r w:rsidRPr="00720C6E">
        <w:rPr>
          <w:szCs w:val="24"/>
          <w:lang w:val="lt-LT"/>
        </w:rPr>
        <w:t>projektu Taryba:</w:t>
      </w:r>
    </w:p>
    <w:p w:rsidR="004F5635" w:rsidRPr="00720C6E" w:rsidRDefault="004F5635" w:rsidP="004F5635">
      <w:pPr>
        <w:pStyle w:val="Point123"/>
        <w:numPr>
          <w:ilvl w:val="0"/>
          <w:numId w:val="0"/>
        </w:numPr>
        <w:spacing w:before="0"/>
        <w:jc w:val="both"/>
        <w:rPr>
          <w:szCs w:val="24"/>
          <w:lang w:val="lt-LT"/>
        </w:rPr>
      </w:pPr>
      <w:r w:rsidRPr="00720C6E">
        <w:rPr>
          <w:szCs w:val="24"/>
          <w:lang w:val="lt-LT"/>
        </w:rPr>
        <w:t xml:space="preserve">- sveikina bendradarbiavimą tarp </w:t>
      </w:r>
      <w:proofErr w:type="spellStart"/>
      <w:r w:rsidRPr="00720C6E">
        <w:rPr>
          <w:szCs w:val="24"/>
          <w:lang w:val="lt-LT"/>
        </w:rPr>
        <w:t>CoC</w:t>
      </w:r>
      <w:proofErr w:type="spellEnd"/>
      <w:r w:rsidRPr="00720C6E">
        <w:rPr>
          <w:szCs w:val="24"/>
          <w:lang w:val="lt-LT"/>
        </w:rPr>
        <w:t xml:space="preserve"> </w:t>
      </w:r>
      <w:r w:rsidR="00BD577A" w:rsidRPr="00BD577A">
        <w:rPr>
          <w:i/>
          <w:szCs w:val="24"/>
          <w:lang w:val="lt-LT"/>
        </w:rPr>
        <w:t>(Elgesio kodekso grupė)</w:t>
      </w:r>
      <w:r w:rsidR="00BD577A">
        <w:rPr>
          <w:szCs w:val="24"/>
          <w:lang w:val="lt-LT"/>
        </w:rPr>
        <w:t xml:space="preserve"> </w:t>
      </w:r>
      <w:r w:rsidRPr="00720C6E">
        <w:rPr>
          <w:szCs w:val="24"/>
          <w:lang w:val="lt-LT"/>
        </w:rPr>
        <w:t xml:space="preserve">grupės ir daugumos jurisdikcijų bei faktą, kad dauguma jurisdikcijų ėmėsi aktyvių veiksmų spręsti </w:t>
      </w:r>
      <w:proofErr w:type="spellStart"/>
      <w:r w:rsidRPr="00720C6E">
        <w:rPr>
          <w:szCs w:val="24"/>
          <w:lang w:val="lt-LT"/>
        </w:rPr>
        <w:t>CoC</w:t>
      </w:r>
      <w:proofErr w:type="spellEnd"/>
      <w:r w:rsidRPr="00720C6E">
        <w:rPr>
          <w:szCs w:val="24"/>
          <w:lang w:val="lt-LT"/>
        </w:rPr>
        <w:t xml:space="preserve"> identifikuotus neatitikimus; kartu išreiškia apgailestavimą, kad ne visos šalys įsipareigojimus įvykdė laiku ar apskritai nebendradarbiavo;</w:t>
      </w:r>
    </w:p>
    <w:p w:rsidR="004F5635" w:rsidRPr="00720C6E" w:rsidRDefault="004F5635" w:rsidP="004F5635">
      <w:pPr>
        <w:pStyle w:val="Point123"/>
        <w:numPr>
          <w:ilvl w:val="0"/>
          <w:numId w:val="0"/>
        </w:numPr>
        <w:spacing w:before="0"/>
        <w:jc w:val="both"/>
        <w:rPr>
          <w:szCs w:val="24"/>
          <w:lang w:val="lt-LT"/>
        </w:rPr>
      </w:pPr>
      <w:r w:rsidRPr="00720C6E">
        <w:rPr>
          <w:szCs w:val="24"/>
          <w:lang w:val="lt-LT"/>
        </w:rPr>
        <w:t>- tvirtina peržiūrėtus I ir II priedus bei numato, kad kita sąrašo peržiūra bus atliekama 2020 spalio mėn.;</w:t>
      </w:r>
    </w:p>
    <w:p w:rsidR="004F5635" w:rsidRPr="00720C6E" w:rsidRDefault="004F5635" w:rsidP="004F5635">
      <w:pPr>
        <w:pStyle w:val="Point123"/>
        <w:numPr>
          <w:ilvl w:val="0"/>
          <w:numId w:val="0"/>
        </w:numPr>
        <w:spacing w:before="0"/>
        <w:jc w:val="both"/>
        <w:rPr>
          <w:szCs w:val="24"/>
          <w:lang w:val="lt-LT"/>
        </w:rPr>
      </w:pPr>
      <w:r w:rsidRPr="00720C6E">
        <w:rPr>
          <w:szCs w:val="24"/>
          <w:lang w:val="lt-LT"/>
        </w:rPr>
        <w:t xml:space="preserve">- primena sutarimą dėl atsakomųjų priemonių; </w:t>
      </w:r>
    </w:p>
    <w:p w:rsidR="004F5635" w:rsidRPr="00720C6E" w:rsidRDefault="004F5635" w:rsidP="004F5635">
      <w:pPr>
        <w:pStyle w:val="Point123"/>
        <w:numPr>
          <w:ilvl w:val="0"/>
          <w:numId w:val="0"/>
        </w:numPr>
        <w:spacing w:before="0"/>
        <w:jc w:val="both"/>
        <w:rPr>
          <w:szCs w:val="24"/>
          <w:lang w:val="lt-LT"/>
        </w:rPr>
      </w:pPr>
      <w:r w:rsidRPr="00720C6E">
        <w:rPr>
          <w:szCs w:val="24"/>
          <w:lang w:val="lt-LT"/>
        </w:rPr>
        <w:t xml:space="preserve">- patvirtina, kad išimtinais atvejais jurisdikcijų pateikta informacija apie svarbius trukdžius įgyvendinti įsipareigojimus gali būti pagrindu atidėti įgyvendinimo terminą; </w:t>
      </w:r>
    </w:p>
    <w:p w:rsidR="00BD577A" w:rsidRDefault="004F5635" w:rsidP="00BD577A">
      <w:pPr>
        <w:spacing w:after="0" w:line="240" w:lineRule="auto"/>
        <w:jc w:val="both"/>
        <w:outlineLvl w:val="0"/>
        <w:rPr>
          <w:szCs w:val="24"/>
        </w:rPr>
      </w:pPr>
      <w:r w:rsidRPr="00720C6E">
        <w:rPr>
          <w:szCs w:val="24"/>
        </w:rPr>
        <w:lastRenderedPageBreak/>
        <w:t>- laikosi nuomonės, kad: a) besivystančios šalys be finansinių centrų, gavusios žemesnį GF</w:t>
      </w:r>
      <w:r w:rsidR="00BE1479">
        <w:rPr>
          <w:szCs w:val="24"/>
        </w:rPr>
        <w:t xml:space="preserve"> (</w:t>
      </w:r>
      <w:proofErr w:type="spellStart"/>
      <w:r w:rsidR="00BE1479" w:rsidRPr="00BE1479">
        <w:rPr>
          <w:i/>
          <w:szCs w:val="24"/>
        </w:rPr>
        <w:t>Global</w:t>
      </w:r>
      <w:proofErr w:type="spellEnd"/>
      <w:r w:rsidR="00BE1479" w:rsidRPr="00BE1479">
        <w:rPr>
          <w:i/>
          <w:szCs w:val="24"/>
        </w:rPr>
        <w:t xml:space="preserve"> </w:t>
      </w:r>
      <w:proofErr w:type="spellStart"/>
      <w:r w:rsidR="00BE1479" w:rsidRPr="00BE1479">
        <w:rPr>
          <w:i/>
          <w:szCs w:val="24"/>
        </w:rPr>
        <w:t>forum</w:t>
      </w:r>
      <w:proofErr w:type="spellEnd"/>
      <w:r w:rsidR="00BE1479" w:rsidRPr="00BE1479">
        <w:rPr>
          <w:i/>
          <w:szCs w:val="24"/>
        </w:rPr>
        <w:t xml:space="preserve"> OECD</w:t>
      </w:r>
      <w:r w:rsidR="00BE1479">
        <w:rPr>
          <w:szCs w:val="24"/>
        </w:rPr>
        <w:t>)</w:t>
      </w:r>
      <w:r w:rsidRPr="00720C6E">
        <w:rPr>
          <w:szCs w:val="24"/>
        </w:rPr>
        <w:t xml:space="preserve"> vertinimo reitingą ir įsipareigojusios per 18 mėn. kreiptis į OECD dėl pakartotinio vertinimo turėtų likti II Priede iki vertinimo rezultatų gavimo; b) besivystančios šalys be finansinių centrų, galėtų gauti papildomo laiko įsipareigojimų įgyvendinimui, jeigu jos ėmėsi reikšmingų žingsnių, pvz. pasirašė, bet dar neratifikavo </w:t>
      </w:r>
      <w:r w:rsidRPr="00BD577A">
        <w:rPr>
          <w:szCs w:val="24"/>
        </w:rPr>
        <w:t>MAC</w:t>
      </w:r>
      <w:r w:rsidR="00BE1479" w:rsidRPr="00BD577A">
        <w:rPr>
          <w:i/>
          <w:szCs w:val="24"/>
        </w:rPr>
        <w:t xml:space="preserve"> (</w:t>
      </w:r>
      <w:proofErr w:type="spellStart"/>
      <w:r w:rsidR="00BD577A" w:rsidRPr="00E7751A">
        <w:rPr>
          <w:rFonts w:eastAsia="Times New Roman" w:cs="Times New Roman"/>
          <w:bCs/>
          <w:i/>
          <w:kern w:val="36"/>
          <w:szCs w:val="24"/>
          <w:lang w:eastAsia="lt-LT"/>
        </w:rPr>
        <w:t>Convention</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on</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Mutual</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Administrative</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Assistance</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in</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Tax</w:t>
      </w:r>
      <w:proofErr w:type="spellEnd"/>
      <w:r w:rsidR="00BD577A" w:rsidRPr="00E7751A">
        <w:rPr>
          <w:rFonts w:eastAsia="Times New Roman" w:cs="Times New Roman"/>
          <w:bCs/>
          <w:i/>
          <w:kern w:val="36"/>
          <w:szCs w:val="24"/>
          <w:lang w:eastAsia="lt-LT"/>
        </w:rPr>
        <w:t xml:space="preserve"> </w:t>
      </w:r>
      <w:proofErr w:type="spellStart"/>
      <w:r w:rsidR="00BD577A" w:rsidRPr="00E7751A">
        <w:rPr>
          <w:rFonts w:eastAsia="Times New Roman" w:cs="Times New Roman"/>
          <w:bCs/>
          <w:i/>
          <w:kern w:val="36"/>
          <w:szCs w:val="24"/>
          <w:lang w:eastAsia="lt-LT"/>
        </w:rPr>
        <w:t>Matters</w:t>
      </w:r>
      <w:proofErr w:type="spellEnd"/>
      <w:r w:rsidR="00BD577A" w:rsidRPr="00BD577A">
        <w:rPr>
          <w:rFonts w:eastAsia="Times New Roman" w:cs="Times New Roman"/>
          <w:bCs/>
          <w:i/>
          <w:kern w:val="36"/>
          <w:szCs w:val="24"/>
          <w:lang w:eastAsia="lt-LT"/>
        </w:rPr>
        <w:t>)</w:t>
      </w:r>
      <w:r w:rsidRPr="00720C6E">
        <w:rPr>
          <w:szCs w:val="24"/>
        </w:rPr>
        <w:t xml:space="preserve">, ir </w:t>
      </w:r>
      <w:proofErr w:type="spellStart"/>
      <w:r w:rsidRPr="00720C6E">
        <w:rPr>
          <w:szCs w:val="24"/>
        </w:rPr>
        <w:t>CoC</w:t>
      </w:r>
      <w:proofErr w:type="spellEnd"/>
      <w:r w:rsidRPr="00720C6E">
        <w:rPr>
          <w:szCs w:val="24"/>
        </w:rPr>
        <w:t xml:space="preserve"> patvirtinimui aukštu politiniu lygiu pateikė MAC ratifikavimo terminus; c) procedūriniai vėlavimai dėl </w:t>
      </w:r>
      <w:r w:rsidRPr="00BD577A">
        <w:rPr>
          <w:szCs w:val="24"/>
        </w:rPr>
        <w:t>FHTP</w:t>
      </w:r>
      <w:r w:rsidR="00BD577A" w:rsidRPr="00BD577A">
        <w:rPr>
          <w:rFonts w:ascii="Helv" w:hAnsi="Helv" w:cs="Helv"/>
          <w:color w:val="000000"/>
          <w:sz w:val="20"/>
          <w:szCs w:val="20"/>
        </w:rPr>
        <w:t xml:space="preserve"> </w:t>
      </w:r>
      <w:r w:rsidR="00BD577A" w:rsidRPr="00BD577A">
        <w:rPr>
          <w:rFonts w:cs="Times New Roman"/>
          <w:color w:val="000000"/>
          <w:szCs w:val="24"/>
        </w:rPr>
        <w:t>(OECD Forum on harmful tax practice)</w:t>
      </w:r>
      <w:r w:rsidRPr="00720C6E">
        <w:rPr>
          <w:szCs w:val="24"/>
        </w:rPr>
        <w:t xml:space="preserve"> veiksmų taip turėtų būti vertinami;</w:t>
      </w:r>
      <w:r w:rsidR="00BD577A">
        <w:rPr>
          <w:szCs w:val="24"/>
        </w:rPr>
        <w:t xml:space="preserve"> </w:t>
      </w:r>
    </w:p>
    <w:p w:rsidR="004F5635" w:rsidRPr="00720C6E" w:rsidRDefault="004F5635" w:rsidP="00BD577A">
      <w:pPr>
        <w:spacing w:after="0" w:line="240" w:lineRule="auto"/>
        <w:jc w:val="both"/>
        <w:outlineLvl w:val="0"/>
        <w:rPr>
          <w:bCs/>
          <w:i/>
          <w:iCs/>
          <w:szCs w:val="24"/>
        </w:rPr>
      </w:pPr>
      <w:r w:rsidRPr="00720C6E">
        <w:rPr>
          <w:bCs/>
          <w:szCs w:val="24"/>
        </w:rPr>
        <w:t xml:space="preserve">- kviečia </w:t>
      </w:r>
      <w:proofErr w:type="spellStart"/>
      <w:r w:rsidRPr="00720C6E">
        <w:rPr>
          <w:bCs/>
          <w:szCs w:val="24"/>
        </w:rPr>
        <w:t>CoC</w:t>
      </w:r>
      <w:proofErr w:type="spellEnd"/>
      <w:r w:rsidRPr="00720C6E">
        <w:rPr>
          <w:bCs/>
          <w:szCs w:val="24"/>
        </w:rPr>
        <w:t xml:space="preserve"> grupę ir toliau tęsti darbus, praplečiant jurisdikcijų peržiūros geografinę apimtį ir ES gero mokesčių valdymo principų stiprinimą, įtraukiant ateities kriterijų </w:t>
      </w:r>
      <w:r w:rsidRPr="00720C6E">
        <w:rPr>
          <w:bCs/>
          <w:szCs w:val="24"/>
          <w:lang w:val="en-US"/>
        </w:rPr>
        <w:t>1.4 (</w:t>
      </w:r>
      <w:r w:rsidRPr="00720C6E">
        <w:rPr>
          <w:bCs/>
          <w:i/>
          <w:iCs/>
          <w:color w:val="222222"/>
          <w:szCs w:val="24"/>
          <w:shd w:val="clear" w:color="auto" w:fill="FFFFFF"/>
        </w:rPr>
        <w:t>beneficial ownership</w:t>
      </w:r>
      <w:r w:rsidRPr="00720C6E">
        <w:rPr>
          <w:bCs/>
          <w:color w:val="222222"/>
          <w:szCs w:val="24"/>
          <w:shd w:val="clear" w:color="auto" w:fill="FFFFFF"/>
        </w:rPr>
        <w:t>)</w:t>
      </w:r>
      <w:r w:rsidRPr="00720C6E">
        <w:rPr>
          <w:bCs/>
          <w:szCs w:val="24"/>
        </w:rPr>
        <w:t xml:space="preserve">. </w:t>
      </w:r>
    </w:p>
    <w:p w:rsidR="004F5635" w:rsidRPr="00720C6E" w:rsidRDefault="004F5635" w:rsidP="00BD577A">
      <w:pPr>
        <w:tabs>
          <w:tab w:val="left" w:pos="851"/>
        </w:tabs>
        <w:spacing w:after="0" w:line="240" w:lineRule="auto"/>
        <w:jc w:val="both"/>
        <w:rPr>
          <w:szCs w:val="24"/>
        </w:rPr>
      </w:pPr>
      <w:r w:rsidRPr="00720C6E">
        <w:rPr>
          <w:szCs w:val="24"/>
        </w:rPr>
        <w:t xml:space="preserve">Išvadų projektu patvirtinami du atnaujinti priedai: </w:t>
      </w:r>
    </w:p>
    <w:p w:rsidR="004F5635" w:rsidRPr="00720C6E" w:rsidRDefault="004F5635" w:rsidP="00BD577A">
      <w:pPr>
        <w:pStyle w:val="Sraopastraipa"/>
        <w:numPr>
          <w:ilvl w:val="0"/>
          <w:numId w:val="3"/>
        </w:numPr>
        <w:tabs>
          <w:tab w:val="left" w:pos="851"/>
        </w:tabs>
        <w:spacing w:after="0" w:line="240" w:lineRule="auto"/>
        <w:ind w:left="0" w:firstLine="0"/>
        <w:jc w:val="both"/>
        <w:rPr>
          <w:szCs w:val="24"/>
        </w:rPr>
      </w:pPr>
      <w:r w:rsidRPr="00720C6E">
        <w:rPr>
          <w:szCs w:val="24"/>
        </w:rPr>
        <w:t xml:space="preserve">I priedas, kuriame pateikiamas nebendradarbiaujančių jurisdikcijų sąrašas; Siūloma į sąrašą papildomai įtraukti </w:t>
      </w:r>
      <w:proofErr w:type="spellStart"/>
      <w:r w:rsidRPr="00720C6E">
        <w:rPr>
          <w:szCs w:val="24"/>
        </w:rPr>
        <w:t>Palau</w:t>
      </w:r>
      <w:proofErr w:type="spellEnd"/>
      <w:r w:rsidRPr="00720C6E">
        <w:rPr>
          <w:szCs w:val="24"/>
        </w:rPr>
        <w:t xml:space="preserve"> ir Kaimanų salas.  </w:t>
      </w:r>
    </w:p>
    <w:p w:rsidR="004F5635" w:rsidRPr="00720C6E" w:rsidRDefault="004F5635" w:rsidP="00BD577A">
      <w:pPr>
        <w:pStyle w:val="Sraopastraipa"/>
        <w:numPr>
          <w:ilvl w:val="0"/>
          <w:numId w:val="3"/>
        </w:numPr>
        <w:tabs>
          <w:tab w:val="left" w:pos="851"/>
        </w:tabs>
        <w:spacing w:after="0" w:line="240" w:lineRule="auto"/>
        <w:ind w:left="0" w:firstLine="0"/>
        <w:jc w:val="both"/>
        <w:rPr>
          <w:szCs w:val="24"/>
        </w:rPr>
      </w:pPr>
      <w:r w:rsidRPr="00720C6E">
        <w:rPr>
          <w:szCs w:val="24"/>
        </w:rPr>
        <w:t xml:space="preserve">II priedas, kuriame pateikiamas šiai dienai dar ne visus kriterijus atitinkančių, tačiau įsipareigojusių iki tam tikro termino imtis reikiamų veiksmų kriterijų įgyvendinimui, jurisdikcijų sąrašas. </w:t>
      </w:r>
    </w:p>
    <w:p w:rsidR="004F5635" w:rsidRPr="00720C6E" w:rsidRDefault="004F5635" w:rsidP="00BD577A">
      <w:pPr>
        <w:tabs>
          <w:tab w:val="left" w:pos="851"/>
        </w:tabs>
        <w:spacing w:after="0" w:line="240" w:lineRule="auto"/>
        <w:jc w:val="both"/>
        <w:rPr>
          <w:szCs w:val="24"/>
        </w:rPr>
      </w:pPr>
      <w:r w:rsidRPr="00720C6E">
        <w:rPr>
          <w:szCs w:val="24"/>
          <w:u w:val="single"/>
        </w:rPr>
        <w:t>Diskutuotinas klausimas:</w:t>
      </w:r>
      <w:r w:rsidRPr="00720C6E">
        <w:rPr>
          <w:szCs w:val="24"/>
        </w:rPr>
        <w:t xml:space="preserve"> likęs neišspręstas klausimas dėl Turkijos įtraukimo į ES sąrašą. </w:t>
      </w:r>
      <w:r w:rsidRPr="00720C6E">
        <w:rPr>
          <w:rFonts w:eastAsia="Calibri"/>
          <w:szCs w:val="24"/>
        </w:rPr>
        <w:t xml:space="preserve"> Pagal sutartus nebendradarbiaujančių jurisdikcijų kriterijus ir turimą informaciją šiuo metu Turkija  turėtų būti  įtraukta į sąrašą</w:t>
      </w:r>
      <w:r w:rsidRPr="00720C6E">
        <w:rPr>
          <w:szCs w:val="24"/>
        </w:rPr>
        <w:t xml:space="preserve">, kaip neatitinkanti skaidrumo kriterijaus (Turkija nėra pateikusi aiškių įsipareigojimų užtikrinti automatinį keitimąsi informacija apie finansines sąskaitas su visomis ES valstybėmis narėmis). Vis dėl to </w:t>
      </w:r>
      <w:r w:rsidR="00BE1479">
        <w:rPr>
          <w:szCs w:val="24"/>
        </w:rPr>
        <w:t>EK</w:t>
      </w:r>
      <w:r w:rsidRPr="00720C6E">
        <w:rPr>
          <w:szCs w:val="24"/>
        </w:rPr>
        <w:t>, įvertindama politinį klausimo aspektą, siūlo klausimą dar apsvarstyti platesniam kontekste.</w:t>
      </w:r>
    </w:p>
    <w:p w:rsidR="004F5635" w:rsidRPr="00720C6E" w:rsidRDefault="004F5635" w:rsidP="00BD577A">
      <w:pPr>
        <w:tabs>
          <w:tab w:val="left" w:pos="851"/>
        </w:tabs>
        <w:spacing w:after="0" w:line="240" w:lineRule="auto"/>
        <w:jc w:val="both"/>
        <w:rPr>
          <w:color w:val="000000" w:themeColor="text1"/>
          <w:szCs w:val="24"/>
        </w:rPr>
      </w:pPr>
      <w:r w:rsidRPr="00720C6E">
        <w:rPr>
          <w:b/>
          <w:szCs w:val="24"/>
          <w:u w:val="single"/>
        </w:rPr>
        <w:t>Lietuvos pozicija.</w:t>
      </w:r>
      <w:r w:rsidRPr="00720C6E">
        <w:rPr>
          <w:szCs w:val="24"/>
        </w:rPr>
        <w:t xml:space="preserve"> </w:t>
      </w:r>
      <w:r w:rsidRPr="00720C6E">
        <w:rPr>
          <w:color w:val="000000" w:themeColor="text1"/>
          <w:szCs w:val="24"/>
        </w:rPr>
        <w:t>Pritarti pateiktam Tarybos išvadų projektui.</w:t>
      </w:r>
    </w:p>
    <w:p w:rsidR="004F5635" w:rsidRPr="00720C6E" w:rsidRDefault="004F5635" w:rsidP="00BD577A">
      <w:pPr>
        <w:tabs>
          <w:tab w:val="left" w:pos="851"/>
        </w:tabs>
        <w:spacing w:after="0" w:line="240" w:lineRule="auto"/>
        <w:jc w:val="both"/>
        <w:rPr>
          <w:color w:val="000000" w:themeColor="text1"/>
          <w:szCs w:val="24"/>
        </w:rPr>
      </w:pPr>
    </w:p>
    <w:p w:rsidR="005059EB" w:rsidRPr="00720C6E" w:rsidRDefault="005059EB" w:rsidP="004F5635">
      <w:pPr>
        <w:tabs>
          <w:tab w:val="left" w:pos="851"/>
        </w:tabs>
        <w:spacing w:after="0" w:line="240" w:lineRule="auto"/>
        <w:jc w:val="both"/>
        <w:rPr>
          <w:color w:val="000000" w:themeColor="text1"/>
          <w:szCs w:val="24"/>
        </w:rPr>
      </w:pPr>
    </w:p>
    <w:p w:rsidR="004F5635" w:rsidRPr="00720C6E" w:rsidRDefault="004F5635" w:rsidP="004F563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 xml:space="preserve">2018 m. biudžeto įvykdymo patvirtinimo suteikimas Komisijai </w:t>
      </w:r>
      <w:r w:rsidRPr="00720C6E">
        <w:rPr>
          <w:rFonts w:cs="Times New Roman"/>
          <w:i/>
          <w:szCs w:val="24"/>
        </w:rPr>
        <w:t>(</w:t>
      </w:r>
      <w:r w:rsidR="005059EB" w:rsidRPr="00720C6E">
        <w:rPr>
          <w:rFonts w:cs="Times New Roman"/>
          <w:i/>
          <w:szCs w:val="24"/>
        </w:rPr>
        <w:t>Priėmimas</w:t>
      </w:r>
      <w:r w:rsidRPr="00720C6E">
        <w:rPr>
          <w:rFonts w:cs="Times New Roman"/>
          <w:i/>
          <w:szCs w:val="24"/>
        </w:rPr>
        <w:t>)</w:t>
      </w:r>
    </w:p>
    <w:p w:rsidR="004F5635" w:rsidRPr="00720C6E" w:rsidRDefault="004F5635" w:rsidP="004F5635">
      <w:pPr>
        <w:spacing w:after="0" w:line="240" w:lineRule="auto"/>
        <w:jc w:val="both"/>
        <w:rPr>
          <w:rFonts w:cs="Times New Roman"/>
          <w:color w:val="000000"/>
          <w:szCs w:val="24"/>
          <w:shd w:val="clear" w:color="auto" w:fill="FFFFFF"/>
        </w:rPr>
      </w:pP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cs="Times New Roman"/>
          <w:b/>
          <w:szCs w:val="24"/>
          <w:u w:val="single"/>
        </w:rPr>
        <w:t>Klausimo esmė:</w:t>
      </w:r>
      <w:r w:rsidRPr="00720C6E">
        <w:rPr>
          <w:rFonts w:cs="Times New Roman"/>
          <w:szCs w:val="24"/>
        </w:rPr>
        <w:t xml:space="preserve"> </w:t>
      </w:r>
      <w:r w:rsidRPr="00720C6E">
        <w:rPr>
          <w:rFonts w:eastAsia="Times New Roman" w:cs="Times New Roman"/>
          <w:szCs w:val="24"/>
          <w:lang w:eastAsia="lt-LT" w:bidi="lt-LT"/>
        </w:rPr>
        <w:t>Tarybos rekomendacijoje Europos Parlamentui (toliau – EP) siūloma suteikti Europos Komisijai 2018 finansinių metų Europos Sąjungos biudžeto įvykdymo patvirtinimą. ES Tarybos rekomendacijos projektas parengtas remiantis 2019 m. spalio 4 d. Europos Audito Rūmų (toliau – EAR) paskelbta metine ataskaita dėl 2018 metų ES biudžeto įvykdymo, kuri Tarybos Biudžeto komitete buvo analizuota š. m. sausio mėn.</w:t>
      </w:r>
      <w:r w:rsidRPr="00720C6E">
        <w:rPr>
          <w:rFonts w:eastAsia="Times New Roman" w:cs="Times New Roman"/>
          <w:color w:val="000000"/>
          <w:szCs w:val="24"/>
          <w:lang w:eastAsia="lt-LT" w:bidi="lt-LT"/>
        </w:rPr>
        <w:t xml:space="preserve"> </w:t>
      </w:r>
    </w:p>
    <w:p w:rsidR="004F5635" w:rsidRPr="00720C6E" w:rsidRDefault="004F5635" w:rsidP="005059EB">
      <w:pPr>
        <w:spacing w:after="0" w:line="240" w:lineRule="auto"/>
        <w:jc w:val="both"/>
        <w:rPr>
          <w:rFonts w:eastAsia="Times New Roman" w:cs="Times New Roman"/>
          <w:b/>
          <w:szCs w:val="24"/>
          <w:lang w:eastAsia="lt-LT"/>
        </w:rPr>
      </w:pPr>
      <w:r w:rsidRPr="00720C6E">
        <w:rPr>
          <w:rFonts w:eastAsia="Times New Roman" w:cs="Times New Roman"/>
          <w:b/>
          <w:szCs w:val="24"/>
          <w:lang w:eastAsia="lt-LT"/>
        </w:rPr>
        <w:t>Pagrindiniai Tarybos rekomendacijoje išdėstyti elementai:</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xml:space="preserve">- Taryba iš esmės remia EAR rekomendacijas ir tikisi pilno jų įgyvendinimo ir džiaugiasi, kad 2018 m. konsoliduotosios ES finansinės </w:t>
      </w:r>
      <w:r w:rsidRPr="00720C6E">
        <w:rPr>
          <w:rFonts w:eastAsia="Times New Roman" w:cs="Times New Roman"/>
          <w:b/>
          <w:color w:val="000000"/>
          <w:szCs w:val="24"/>
          <w:lang w:eastAsia="lt-LT" w:bidi="lt-LT"/>
        </w:rPr>
        <w:t>ataskaitos nebuvo paveiktos reikšmingo neatitikimų lygio ir visais reikšmingais aspektais teisingai atspindėjo ES finansinę padėtį</w:t>
      </w:r>
      <w:r w:rsidRPr="00720C6E">
        <w:rPr>
          <w:rFonts w:eastAsia="Times New Roman" w:cs="Times New Roman"/>
          <w:color w:val="000000"/>
          <w:szCs w:val="24"/>
          <w:lang w:eastAsia="lt-LT" w:bidi="lt-LT"/>
        </w:rPr>
        <w:t>, operacijų rezultatus bei pinigų srautus. ES pajamos ir įsipareigojimai buvo teisėti ir tvarkingi visais reikšmingais aspektais, šiose srityse klaidų nenustatyta.</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xml:space="preserve">- Reiškiamas apgailestavimas, kad </w:t>
      </w:r>
      <w:r w:rsidRPr="00720C6E">
        <w:rPr>
          <w:rFonts w:eastAsia="Times New Roman" w:cs="Times New Roman"/>
          <w:b/>
          <w:color w:val="000000"/>
          <w:szCs w:val="24"/>
          <w:lang w:eastAsia="lt-LT" w:bidi="lt-LT"/>
        </w:rPr>
        <w:t>mokėjimai ir toliau buvo veikiami reikšmingo klaidų lygio</w:t>
      </w:r>
      <w:r w:rsidRPr="00720C6E">
        <w:rPr>
          <w:rFonts w:eastAsia="Times New Roman" w:cs="Times New Roman"/>
          <w:color w:val="000000"/>
          <w:szCs w:val="24"/>
          <w:lang w:eastAsia="lt-LT" w:bidi="lt-LT"/>
        </w:rPr>
        <w:t>, kuris viršija 2% reikšmingumo ribą (nustatytas klaidų lygis 2,6 %), tačiau džiaugiamasi, kad EAR jau trečius metus iš eilės suteikia sąlyginę nuomonę dėl mokėjimų tvarkingumo ir teisėtumo.</w:t>
      </w:r>
      <w:r w:rsidRPr="00720C6E">
        <w:rPr>
          <w:rFonts w:eastAsia="Times New Roman" w:cs="Times New Roman"/>
          <w:color w:val="000000"/>
          <w:szCs w:val="24"/>
          <w:lang w:eastAsia="lt-LT" w:bidi="lt-LT"/>
        </w:rPr>
        <w:br/>
        <w:t>- Taryba pažymi, jog klaidų lygis „Konkurencingumas augimui ir darbo vietų kūrimui skatinti“ išlaidų srityje sumažėjo iki 2 % (2017 m. siekė 4,2 %).</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xml:space="preserve">- Taryba </w:t>
      </w:r>
      <w:r w:rsidRPr="00720C6E">
        <w:rPr>
          <w:rFonts w:eastAsia="Times New Roman" w:cs="Times New Roman"/>
          <w:b/>
          <w:color w:val="000000"/>
          <w:szCs w:val="24"/>
          <w:lang w:eastAsia="lt-LT" w:bidi="lt-LT"/>
        </w:rPr>
        <w:t>apgailestauja, jog klaidų lygis vis dar viršija 2% reikšmingumo ribą „Ekonominės, socialinės ir teritorinės sanglaudos“ išlaidų srityje</w:t>
      </w:r>
      <w:r w:rsidRPr="00720C6E">
        <w:rPr>
          <w:rFonts w:eastAsia="Times New Roman" w:cs="Times New Roman"/>
          <w:color w:val="000000"/>
          <w:szCs w:val="24"/>
          <w:lang w:eastAsia="lt-LT" w:bidi="lt-LT"/>
        </w:rPr>
        <w:t xml:space="preserve"> (nuo 3 % 2017 m. iki 5% 2018 m.), bet pažymi, kad mažėjimo tendencija dvejus metus buvo pastebima: 2015 m. - 5,2%, 2016 m. - 4,8%. Atkreipia dėmesį, kad skirtinga teisinės bazės interpretacija iš EK ir EAR pusės galėjo daryti įtaką nustatytam klaidų lygiui (tam tikrais tikrintais atvejais EAR laikė pažeidimu, tuo tarpu EK - ne).</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Taryba apgailestauja, jog klaidų lygis vis dar viršija 2% reikšmingumo ribą „Gamtos ištekliai: tvarus augimas“ išlaidų srityje ir išliko toks pat kaip ir praėjusiais metais - 2,4%., bet pažymi, kad mažėjimo tendencija dvejus metus buvo pastebima: 2015 m. - 2,9%, 2016 m. - 2,5%.</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xml:space="preserve">- Taryba </w:t>
      </w:r>
      <w:r w:rsidRPr="00720C6E">
        <w:rPr>
          <w:rFonts w:eastAsia="Times New Roman" w:cs="Times New Roman"/>
          <w:b/>
          <w:color w:val="000000"/>
          <w:szCs w:val="24"/>
          <w:lang w:eastAsia="lt-LT" w:bidi="lt-LT"/>
        </w:rPr>
        <w:t>apgailestauja, kad EAR nenustatė klaidų lygio ES biudžeto kategorijose: „Saugumas ir pilietybė“ bei „Europos vaidmuo pasaulyje</w:t>
      </w:r>
      <w:r w:rsidRPr="00720C6E">
        <w:rPr>
          <w:rFonts w:eastAsia="Times New Roman" w:cs="Times New Roman"/>
          <w:color w:val="000000"/>
          <w:szCs w:val="24"/>
          <w:lang w:eastAsia="lt-LT" w:bidi="lt-LT"/>
        </w:rPr>
        <w:t>“.</w:t>
      </w:r>
    </w:p>
    <w:p w:rsidR="004F5635" w:rsidRPr="00720C6E" w:rsidRDefault="004F5635" w:rsidP="005059EB">
      <w:pPr>
        <w:spacing w:after="0" w:line="240" w:lineRule="auto"/>
        <w:jc w:val="both"/>
        <w:rPr>
          <w:rFonts w:eastAsia="Times New Roman" w:cs="Times New Roman"/>
          <w:color w:val="000000"/>
          <w:szCs w:val="24"/>
          <w:lang w:eastAsia="lt-LT" w:bidi="lt-LT"/>
        </w:rPr>
      </w:pPr>
      <w:r w:rsidRPr="00720C6E">
        <w:rPr>
          <w:rFonts w:eastAsia="Times New Roman" w:cs="Times New Roman"/>
          <w:color w:val="000000"/>
          <w:szCs w:val="24"/>
          <w:lang w:eastAsia="lt-LT" w:bidi="lt-LT"/>
        </w:rPr>
        <w:t>- Taryba džiaugiasi, kad administracinių išlaidų srityje nustatytas klaidų lygis neviršija 2% reikšmingumo ribos.</w:t>
      </w:r>
    </w:p>
    <w:p w:rsidR="004F5635" w:rsidRPr="00720C6E" w:rsidRDefault="004F5635" w:rsidP="005059EB">
      <w:pPr>
        <w:autoSpaceDE w:val="0"/>
        <w:autoSpaceDN w:val="0"/>
        <w:adjustRightInd w:val="0"/>
        <w:spacing w:after="0" w:line="240" w:lineRule="auto"/>
        <w:jc w:val="both"/>
        <w:rPr>
          <w:rFonts w:eastAsia="Times New Roman" w:cs="Times New Roman"/>
          <w:szCs w:val="24"/>
          <w:lang w:eastAsia="lt-LT" w:bidi="lt-LT"/>
        </w:rPr>
      </w:pPr>
      <w:r w:rsidRPr="00720C6E">
        <w:rPr>
          <w:rFonts w:eastAsia="Times New Roman" w:cs="Times New Roman"/>
          <w:szCs w:val="24"/>
          <w:lang w:eastAsia="lt-LT" w:bidi="lt-LT"/>
        </w:rPr>
        <w:lastRenderedPageBreak/>
        <w:t>EP suteikus 2018 metų ES biudžeto įvykdymo patvirtinimą EK, būtų užbaigta 2018 metų ES biudžeto procedūra.</w:t>
      </w:r>
    </w:p>
    <w:p w:rsidR="004F5635" w:rsidRPr="00720C6E" w:rsidRDefault="004F5635" w:rsidP="005059EB">
      <w:pPr>
        <w:spacing w:after="0" w:line="240" w:lineRule="auto"/>
        <w:jc w:val="both"/>
        <w:rPr>
          <w:szCs w:val="24"/>
        </w:rPr>
      </w:pPr>
      <w:r w:rsidRPr="00720C6E">
        <w:rPr>
          <w:rFonts w:eastAsia="Times New Roman" w:cs="Times New Roman"/>
          <w:b/>
          <w:szCs w:val="24"/>
          <w:u w:val="single"/>
        </w:rPr>
        <w:t>Lietuvos pozicija:</w:t>
      </w:r>
      <w:r w:rsidRPr="00720C6E">
        <w:rPr>
          <w:rFonts w:eastAsia="Times New Roman" w:cs="Times New Roman"/>
          <w:szCs w:val="24"/>
        </w:rPr>
        <w:t xml:space="preserve"> </w:t>
      </w:r>
      <w:r w:rsidRPr="00720C6E">
        <w:rPr>
          <w:szCs w:val="24"/>
        </w:rPr>
        <w:t xml:space="preserve">Lietuva pritaria Tarybos rekomendacijai. Parengtas tekstas subalansuotas, jame tinkamai atspindėtas Tarybos teigiamas vertinimas dėl EAR pateiktos sąlyginės nuomonės dėl mokėjimų teisėtumo ir tvarkingumo. </w:t>
      </w:r>
    </w:p>
    <w:p w:rsidR="004F5635" w:rsidRPr="00720C6E" w:rsidRDefault="004F5635" w:rsidP="005059EB">
      <w:pPr>
        <w:spacing w:after="0" w:line="240" w:lineRule="auto"/>
        <w:jc w:val="both"/>
        <w:rPr>
          <w:rFonts w:eastAsia="Times New Roman" w:cs="Times New Roman"/>
          <w:szCs w:val="24"/>
          <w:lang w:eastAsia="lt-LT"/>
        </w:rPr>
      </w:pPr>
      <w:r w:rsidRPr="00720C6E">
        <w:rPr>
          <w:szCs w:val="24"/>
        </w:rPr>
        <w:t>Lietuva remia siekį gerinti ES lėšų finansinį valdymą, atsižvelgiant į tai, kad kai kuriose išlaidų srityse klaidų lygis panaudojant ES biudžeto lėšas vis dar viršija 2% reikšmingumo ribą.</w:t>
      </w:r>
    </w:p>
    <w:p w:rsidR="004F5635" w:rsidRPr="00720C6E" w:rsidRDefault="004F5635" w:rsidP="005059EB">
      <w:pPr>
        <w:spacing w:after="0" w:line="240" w:lineRule="auto"/>
        <w:jc w:val="both"/>
        <w:rPr>
          <w:rFonts w:eastAsia="Times New Roman" w:cs="Times New Roman"/>
          <w:szCs w:val="24"/>
          <w:lang w:eastAsia="lt-LT"/>
        </w:rPr>
      </w:pPr>
    </w:p>
    <w:p w:rsidR="004F5635" w:rsidRPr="00720C6E" w:rsidRDefault="004F5635" w:rsidP="005059EB">
      <w:pPr>
        <w:spacing w:after="0" w:line="240" w:lineRule="auto"/>
        <w:jc w:val="both"/>
        <w:rPr>
          <w:rFonts w:eastAsia="Times New Roman" w:cs="Times New Roman"/>
          <w:szCs w:val="24"/>
          <w:lang w:eastAsia="lt-LT"/>
        </w:rPr>
      </w:pPr>
    </w:p>
    <w:p w:rsidR="004F5635" w:rsidRPr="00720C6E" w:rsidRDefault="004F5635" w:rsidP="005059E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 xml:space="preserve">2021 m. biudžeto gairės </w:t>
      </w:r>
      <w:r w:rsidR="005059EB" w:rsidRPr="00720C6E">
        <w:rPr>
          <w:rFonts w:cs="Times New Roman"/>
          <w:i/>
          <w:szCs w:val="24"/>
        </w:rPr>
        <w:t>(Priėmimas)</w:t>
      </w:r>
    </w:p>
    <w:p w:rsidR="004F5635" w:rsidRPr="00720C6E" w:rsidRDefault="004F5635" w:rsidP="005059EB">
      <w:pPr>
        <w:autoSpaceDE w:val="0"/>
        <w:autoSpaceDN w:val="0"/>
        <w:adjustRightInd w:val="0"/>
        <w:spacing w:after="0" w:line="240" w:lineRule="auto"/>
        <w:jc w:val="both"/>
        <w:rPr>
          <w:rFonts w:cs="Times New Roman"/>
          <w:b/>
          <w:szCs w:val="24"/>
          <w:u w:val="single"/>
        </w:rPr>
      </w:pPr>
    </w:p>
    <w:p w:rsidR="004F5635" w:rsidRPr="00720C6E" w:rsidRDefault="004F5635" w:rsidP="005059EB">
      <w:pPr>
        <w:spacing w:after="0" w:line="240" w:lineRule="auto"/>
        <w:jc w:val="both"/>
        <w:rPr>
          <w:szCs w:val="24"/>
        </w:rPr>
      </w:pPr>
      <w:r w:rsidRPr="00720C6E">
        <w:rPr>
          <w:rFonts w:cs="Times New Roman"/>
          <w:b/>
          <w:szCs w:val="24"/>
          <w:u w:val="single"/>
        </w:rPr>
        <w:t>Klausimo esmė:</w:t>
      </w:r>
      <w:r w:rsidRPr="00720C6E">
        <w:rPr>
          <w:rFonts w:cs="Times New Roman"/>
          <w:szCs w:val="24"/>
        </w:rPr>
        <w:t xml:space="preserve"> </w:t>
      </w:r>
      <w:r w:rsidRPr="00720C6E">
        <w:rPr>
          <w:rFonts w:eastAsia="Times New Roman" w:cs="Times New Roman"/>
          <w:szCs w:val="24"/>
          <w:lang w:eastAsia="lt-LT"/>
        </w:rPr>
        <w:t>Kaip ir kasmet, ruošdamasi metinei ES biudžeto procedūrai, Taryba parengė išvadas dėl 2021 m. ES biudžeto gairių (toliau – gairės), kuriose išdėstyti Tarybos prioritetai metinio ES biudžeto formavimo srityje, pateiktos bendro pobūdžio pastabos ir rekomendacijos, koks turėtų būti kitų metų ES biudžetas ir kaip jis turėtų būti administruojamas.</w:t>
      </w:r>
      <w:r w:rsidRPr="00720C6E">
        <w:rPr>
          <w:szCs w:val="24"/>
        </w:rPr>
        <w:t xml:space="preserve"> </w:t>
      </w:r>
    </w:p>
    <w:p w:rsidR="004F5635" w:rsidRPr="00720C6E" w:rsidRDefault="004F5635" w:rsidP="005059EB">
      <w:pPr>
        <w:autoSpaceDE w:val="0"/>
        <w:autoSpaceDN w:val="0"/>
        <w:adjustRightInd w:val="0"/>
        <w:spacing w:after="0" w:line="240" w:lineRule="auto"/>
        <w:jc w:val="both"/>
        <w:rPr>
          <w:rFonts w:eastAsia="Times New Roman" w:cs="Times New Roman"/>
          <w:b/>
          <w:szCs w:val="24"/>
          <w:lang w:eastAsia="lt-LT"/>
        </w:rPr>
      </w:pPr>
      <w:r w:rsidRPr="00720C6E">
        <w:rPr>
          <w:rFonts w:eastAsia="Times New Roman" w:cs="Times New Roman"/>
          <w:b/>
          <w:szCs w:val="24"/>
          <w:lang w:eastAsia="lt-LT"/>
        </w:rPr>
        <w:t>Pagrindiniai 2021 m. biudžeto gairių elementai:</w:t>
      </w:r>
    </w:p>
    <w:p w:rsidR="004F5635" w:rsidRPr="00720C6E" w:rsidRDefault="004F5635" w:rsidP="005059EB">
      <w:pPr>
        <w:spacing w:after="0" w:line="240" w:lineRule="auto"/>
        <w:jc w:val="both"/>
        <w:rPr>
          <w:szCs w:val="24"/>
        </w:rPr>
      </w:pPr>
      <w:r w:rsidRPr="00720C6E">
        <w:rPr>
          <w:b/>
          <w:szCs w:val="24"/>
        </w:rPr>
        <w:t xml:space="preserve">1. Realistiškas biudžetas </w:t>
      </w:r>
      <w:r w:rsidRPr="00720C6E">
        <w:rPr>
          <w:szCs w:val="24"/>
        </w:rPr>
        <w:t xml:space="preserve">(angl. </w:t>
      </w:r>
      <w:proofErr w:type="spellStart"/>
      <w:r w:rsidRPr="00720C6E">
        <w:rPr>
          <w:i/>
          <w:szCs w:val="24"/>
        </w:rPr>
        <w:t>realistic</w:t>
      </w:r>
      <w:proofErr w:type="spellEnd"/>
      <w:r w:rsidRPr="00720C6E">
        <w:rPr>
          <w:i/>
          <w:szCs w:val="24"/>
        </w:rPr>
        <w:t xml:space="preserve"> </w:t>
      </w:r>
      <w:proofErr w:type="spellStart"/>
      <w:r w:rsidRPr="00720C6E">
        <w:rPr>
          <w:i/>
          <w:szCs w:val="24"/>
        </w:rPr>
        <w:t>budget</w:t>
      </w:r>
      <w:proofErr w:type="spellEnd"/>
      <w:r w:rsidRPr="00720C6E">
        <w:rPr>
          <w:szCs w:val="24"/>
        </w:rPr>
        <w:t>) - tiek MA</w:t>
      </w:r>
      <w:r w:rsidR="00BE1479">
        <w:rPr>
          <w:szCs w:val="24"/>
        </w:rPr>
        <w:t xml:space="preserve"> (mokėjimo asignavimai)</w:t>
      </w:r>
      <w:r w:rsidRPr="00720C6E">
        <w:rPr>
          <w:szCs w:val="24"/>
        </w:rPr>
        <w:t>, tiek ĮA</w:t>
      </w:r>
      <w:r w:rsidR="00BE1479">
        <w:rPr>
          <w:szCs w:val="24"/>
        </w:rPr>
        <w:t xml:space="preserve"> (įsipareigojimų asignavimai)</w:t>
      </w:r>
      <w:r w:rsidRPr="00720C6E">
        <w:rPr>
          <w:szCs w:val="24"/>
        </w:rPr>
        <w:t xml:space="preserve"> turėtų atitikti realius poreikius, t. y. pakankami įgyvendinti esamo programavimo laikotarpio programas laikantis DFP nustatytų įsipareigojimų viršutinių ribų ir vidurio laikotarpio DFP peržiūros rezultatų. Pagrįstais atvejais galėtų būti naudojami specialieji instrumentai.</w:t>
      </w:r>
    </w:p>
    <w:p w:rsidR="004F5635" w:rsidRPr="00720C6E" w:rsidRDefault="004F5635" w:rsidP="005059EB">
      <w:pPr>
        <w:spacing w:after="0" w:line="240" w:lineRule="auto"/>
        <w:jc w:val="both"/>
        <w:rPr>
          <w:szCs w:val="24"/>
        </w:rPr>
      </w:pPr>
      <w:r w:rsidRPr="00720C6E">
        <w:rPr>
          <w:b/>
          <w:szCs w:val="24"/>
        </w:rPr>
        <w:t xml:space="preserve">2. Minimalus taisomųjų biudžetų projektų </w:t>
      </w:r>
      <w:r w:rsidRPr="00720C6E">
        <w:rPr>
          <w:szCs w:val="24"/>
        </w:rPr>
        <w:t xml:space="preserve">(angl. </w:t>
      </w:r>
      <w:proofErr w:type="spellStart"/>
      <w:r w:rsidRPr="00720C6E">
        <w:rPr>
          <w:i/>
          <w:szCs w:val="24"/>
        </w:rPr>
        <w:t>draft</w:t>
      </w:r>
      <w:proofErr w:type="spellEnd"/>
      <w:r w:rsidRPr="00720C6E">
        <w:rPr>
          <w:i/>
          <w:szCs w:val="24"/>
        </w:rPr>
        <w:t xml:space="preserve"> </w:t>
      </w:r>
      <w:proofErr w:type="spellStart"/>
      <w:r w:rsidRPr="00720C6E">
        <w:rPr>
          <w:i/>
          <w:szCs w:val="24"/>
        </w:rPr>
        <w:t>amending</w:t>
      </w:r>
      <w:proofErr w:type="spellEnd"/>
      <w:r w:rsidRPr="00720C6E">
        <w:rPr>
          <w:i/>
          <w:szCs w:val="24"/>
        </w:rPr>
        <w:t xml:space="preserve"> </w:t>
      </w:r>
      <w:proofErr w:type="spellStart"/>
      <w:r w:rsidRPr="00720C6E">
        <w:rPr>
          <w:i/>
          <w:szCs w:val="24"/>
        </w:rPr>
        <w:t>budgets</w:t>
      </w:r>
      <w:proofErr w:type="spellEnd"/>
      <w:r w:rsidRPr="00720C6E">
        <w:rPr>
          <w:szCs w:val="24"/>
        </w:rPr>
        <w:t>) (</w:t>
      </w:r>
      <w:r w:rsidRPr="00720C6E">
        <w:rPr>
          <w:i/>
          <w:szCs w:val="24"/>
        </w:rPr>
        <w:t>DAB</w:t>
      </w:r>
      <w:r w:rsidRPr="00720C6E">
        <w:rPr>
          <w:szCs w:val="24"/>
        </w:rPr>
        <w:t>)</w:t>
      </w:r>
      <w:r w:rsidRPr="00720C6E">
        <w:rPr>
          <w:b/>
          <w:szCs w:val="24"/>
        </w:rPr>
        <w:t xml:space="preserve"> skaičius</w:t>
      </w:r>
      <w:r w:rsidRPr="00720C6E">
        <w:rPr>
          <w:szCs w:val="24"/>
        </w:rPr>
        <w:t xml:space="preserve">. Sutartas biudžetas turi būti keičiamas tik išimtiniais atvejais. Rengdama ES biudžeto projektą, EK turi pateikti išsamias tiek išlaidų, tiek pajamų prognozes ir kitą būtiną informaciją, kad būtų galima tiksliai prognozuoti poreikius formuojant ES biudžetą. </w:t>
      </w:r>
    </w:p>
    <w:p w:rsidR="004F5635" w:rsidRPr="00720C6E" w:rsidRDefault="004F5635" w:rsidP="005059EB">
      <w:pPr>
        <w:spacing w:after="0" w:line="240" w:lineRule="auto"/>
        <w:jc w:val="both"/>
        <w:rPr>
          <w:szCs w:val="24"/>
        </w:rPr>
      </w:pPr>
      <w:r w:rsidRPr="00720C6E">
        <w:rPr>
          <w:szCs w:val="24"/>
        </w:rPr>
        <w:t xml:space="preserve">3. Tekste įtraukta nuostata, nurodanti, kad </w:t>
      </w:r>
      <w:r w:rsidRPr="00720C6E">
        <w:rPr>
          <w:b/>
          <w:szCs w:val="24"/>
        </w:rPr>
        <w:t>UK dalyvauja 2021 m. ES biudžete mokėdama įmokas</w:t>
      </w:r>
      <w:r w:rsidRPr="00720C6E">
        <w:rPr>
          <w:szCs w:val="24"/>
        </w:rPr>
        <w:t xml:space="preserve"> kaip numatyta Pasitraukimo iš ES sutartyje.</w:t>
      </w:r>
    </w:p>
    <w:p w:rsidR="004F5635" w:rsidRPr="00720C6E" w:rsidRDefault="004F5635" w:rsidP="005059EB">
      <w:pPr>
        <w:spacing w:after="0" w:line="240" w:lineRule="auto"/>
        <w:jc w:val="both"/>
        <w:rPr>
          <w:szCs w:val="24"/>
        </w:rPr>
      </w:pPr>
      <w:r w:rsidRPr="00720C6E">
        <w:rPr>
          <w:szCs w:val="24"/>
        </w:rPr>
        <w:t>4. Taryba pabrėžia, kad ES biudžetas turėtų būti įgyvendinamas laikantis jo formavimui taikomų principų bei išskiriant svarbiausius prioritetus.</w:t>
      </w:r>
    </w:p>
    <w:p w:rsidR="004F5635" w:rsidRPr="00720C6E" w:rsidRDefault="004F5635" w:rsidP="005059EB">
      <w:pPr>
        <w:spacing w:after="0" w:line="240" w:lineRule="auto"/>
        <w:jc w:val="both"/>
        <w:rPr>
          <w:szCs w:val="24"/>
        </w:rPr>
      </w:pPr>
      <w:r w:rsidRPr="00720C6E">
        <w:rPr>
          <w:b/>
          <w:szCs w:val="24"/>
        </w:rPr>
        <w:t>5. Aiškių, išsamių ir informatyvių dokumentų, susijusių su ES biudžetu, jo pakeitimais, pateikimas laiku VN-</w:t>
      </w:r>
      <w:proofErr w:type="spellStart"/>
      <w:r w:rsidRPr="00720C6E">
        <w:rPr>
          <w:b/>
          <w:szCs w:val="24"/>
        </w:rPr>
        <w:t>ėms</w:t>
      </w:r>
      <w:proofErr w:type="spellEnd"/>
      <w:r w:rsidRPr="00720C6E">
        <w:rPr>
          <w:b/>
          <w:szCs w:val="24"/>
        </w:rPr>
        <w:t xml:space="preserve">, </w:t>
      </w:r>
      <w:r w:rsidRPr="00720C6E">
        <w:rPr>
          <w:szCs w:val="24"/>
        </w:rPr>
        <w:t xml:space="preserve">siekiant numatyti poveikį </w:t>
      </w:r>
      <w:proofErr w:type="spellStart"/>
      <w:r w:rsidRPr="00720C6E">
        <w:rPr>
          <w:szCs w:val="24"/>
        </w:rPr>
        <w:t>nac</w:t>
      </w:r>
      <w:proofErr w:type="spellEnd"/>
      <w:r w:rsidRPr="00720C6E">
        <w:rPr>
          <w:szCs w:val="24"/>
        </w:rPr>
        <w:t xml:space="preserve">. biudžetams (angl. </w:t>
      </w:r>
      <w:proofErr w:type="spellStart"/>
      <w:r w:rsidRPr="00720C6E">
        <w:rPr>
          <w:i/>
          <w:szCs w:val="24"/>
        </w:rPr>
        <w:t>need</w:t>
      </w:r>
      <w:proofErr w:type="spellEnd"/>
      <w:r w:rsidRPr="00720C6E">
        <w:rPr>
          <w:i/>
          <w:szCs w:val="24"/>
        </w:rPr>
        <w:t xml:space="preserve"> </w:t>
      </w:r>
      <w:proofErr w:type="spellStart"/>
      <w:r w:rsidRPr="00720C6E">
        <w:rPr>
          <w:i/>
          <w:szCs w:val="24"/>
        </w:rPr>
        <w:t>for</w:t>
      </w:r>
      <w:proofErr w:type="spellEnd"/>
      <w:r w:rsidRPr="00720C6E">
        <w:rPr>
          <w:i/>
          <w:szCs w:val="24"/>
        </w:rPr>
        <w:t xml:space="preserve"> </w:t>
      </w:r>
      <w:proofErr w:type="spellStart"/>
      <w:r w:rsidRPr="00720C6E">
        <w:rPr>
          <w:i/>
          <w:szCs w:val="24"/>
        </w:rPr>
        <w:t>predictability</w:t>
      </w:r>
      <w:proofErr w:type="spellEnd"/>
      <w:r w:rsidRPr="00720C6E">
        <w:rPr>
          <w:szCs w:val="24"/>
        </w:rPr>
        <w:t>).</w:t>
      </w:r>
    </w:p>
    <w:p w:rsidR="004F5635" w:rsidRPr="00720C6E" w:rsidRDefault="004F5635" w:rsidP="005059EB">
      <w:pPr>
        <w:spacing w:after="0" w:line="240" w:lineRule="auto"/>
        <w:jc w:val="both"/>
        <w:rPr>
          <w:szCs w:val="24"/>
        </w:rPr>
      </w:pPr>
      <w:r w:rsidRPr="00720C6E">
        <w:rPr>
          <w:b/>
          <w:szCs w:val="24"/>
        </w:rPr>
        <w:t>6. Administravimo išlaidų mažinimas</w:t>
      </w:r>
      <w:r w:rsidRPr="00720C6E">
        <w:rPr>
          <w:szCs w:val="24"/>
        </w:rPr>
        <w:t xml:space="preserve"> visose ES institucijose (įskaitant agentūras) ir pagrįstas personalo darbuotojų skaičius.</w:t>
      </w:r>
    </w:p>
    <w:p w:rsidR="004F5635" w:rsidRPr="00720C6E" w:rsidRDefault="004F5635" w:rsidP="005059EB">
      <w:pPr>
        <w:spacing w:after="0" w:line="240" w:lineRule="auto"/>
        <w:jc w:val="both"/>
        <w:rPr>
          <w:szCs w:val="24"/>
        </w:rPr>
      </w:pPr>
      <w:r w:rsidRPr="00720C6E">
        <w:rPr>
          <w:rFonts w:cs="Times New Roman"/>
          <w:b/>
          <w:szCs w:val="24"/>
          <w:u w:val="single"/>
        </w:rPr>
        <w:t>Lietuvos pozicija</w:t>
      </w:r>
      <w:r w:rsidRPr="00720C6E">
        <w:rPr>
          <w:rFonts w:cs="Times New Roman"/>
          <w:szCs w:val="24"/>
        </w:rPr>
        <w:t xml:space="preserve">: </w:t>
      </w:r>
      <w:r w:rsidRPr="00720C6E">
        <w:rPr>
          <w:szCs w:val="24"/>
        </w:rPr>
        <w:t xml:space="preserve">Lietuva dėkinga Pirm. šaliai už atliktą darbą rengiant Tarybos išvadas dėl 2021 m. ES biudžeto gairių, kurios bus svarbus atspirties taškas būsimose derybose dėl ES biudžeto. </w:t>
      </w:r>
    </w:p>
    <w:p w:rsidR="004F5635" w:rsidRPr="00720C6E" w:rsidRDefault="004F5635" w:rsidP="005059EB">
      <w:pPr>
        <w:spacing w:after="0" w:line="240" w:lineRule="auto"/>
        <w:jc w:val="both"/>
        <w:rPr>
          <w:szCs w:val="24"/>
        </w:rPr>
      </w:pPr>
      <w:r w:rsidRPr="00720C6E">
        <w:rPr>
          <w:szCs w:val="24"/>
        </w:rPr>
        <w:t xml:space="preserve">Manome, kad parengtas subalansuotas tekstas, tinkamai atspindintis valstybių narių požiūriu svarbiausius būsimos biudžeto procedūros elementus. </w:t>
      </w:r>
    </w:p>
    <w:p w:rsidR="004F5635" w:rsidRPr="00720C6E" w:rsidRDefault="004F5635" w:rsidP="004F5635">
      <w:pPr>
        <w:spacing w:after="0" w:line="240" w:lineRule="auto"/>
        <w:jc w:val="both"/>
        <w:rPr>
          <w:szCs w:val="24"/>
        </w:rPr>
      </w:pPr>
      <w:r w:rsidRPr="00720C6E">
        <w:rPr>
          <w:szCs w:val="24"/>
        </w:rPr>
        <w:t xml:space="preserve">Lietuva pabrėžia, kad svarbiausio ES išliekančio tikslo – ekonomikos augimo ir užimtumo skatinimo, įgyvendinimas gali būti užtikrintas tik numatant pakankamą finansavimą pagal 2014-2020 m. DFP prisiimtiems įsipareigojimams padengti. </w:t>
      </w:r>
    </w:p>
    <w:p w:rsidR="004F5635" w:rsidRPr="00720C6E" w:rsidRDefault="004F5635" w:rsidP="004F5635">
      <w:pPr>
        <w:spacing w:after="0" w:line="240" w:lineRule="auto"/>
        <w:jc w:val="both"/>
        <w:rPr>
          <w:szCs w:val="24"/>
        </w:rPr>
      </w:pPr>
      <w:r w:rsidRPr="00720C6E">
        <w:rPr>
          <w:szCs w:val="24"/>
        </w:rPr>
        <w:t>Siūlome pritarti Pirmininkaujančios šalies parengtam išvadų projektui.</w:t>
      </w:r>
    </w:p>
    <w:p w:rsidR="004F5635" w:rsidRPr="00720C6E" w:rsidRDefault="004F5635" w:rsidP="00B9638E">
      <w:pPr>
        <w:tabs>
          <w:tab w:val="left" w:pos="851"/>
        </w:tabs>
        <w:spacing w:after="0" w:line="240" w:lineRule="auto"/>
        <w:jc w:val="both"/>
        <w:rPr>
          <w:szCs w:val="24"/>
        </w:rPr>
      </w:pPr>
    </w:p>
    <w:p w:rsidR="00B9638E" w:rsidRPr="00720C6E" w:rsidRDefault="00B9638E" w:rsidP="00B9638E">
      <w:pPr>
        <w:tabs>
          <w:tab w:val="left" w:pos="851"/>
        </w:tabs>
        <w:spacing w:after="0" w:line="240" w:lineRule="auto"/>
        <w:jc w:val="both"/>
        <w:rPr>
          <w:szCs w:val="24"/>
        </w:rPr>
      </w:pPr>
      <w:r w:rsidRPr="00720C6E">
        <w:rPr>
          <w:szCs w:val="24"/>
        </w:rPr>
        <w:t xml:space="preserve">Apie Komisijos komunikatą </w:t>
      </w:r>
      <w:r w:rsidRPr="00720C6E">
        <w:rPr>
          <w:b/>
          <w:szCs w:val="24"/>
        </w:rPr>
        <w:t>dėl Ekonominės priežiūros sistemos peržiūros</w:t>
      </w:r>
      <w:r w:rsidRPr="00720C6E">
        <w:rPr>
          <w:szCs w:val="24"/>
        </w:rPr>
        <w:t xml:space="preserve"> plačiau skaityti prie Euro grupės pažymos.</w:t>
      </w:r>
    </w:p>
    <w:p w:rsidR="004F5635" w:rsidRPr="00B9638E" w:rsidRDefault="004F5635" w:rsidP="004F5635">
      <w:pPr>
        <w:tabs>
          <w:tab w:val="left" w:pos="851"/>
        </w:tabs>
        <w:spacing w:after="0" w:line="240" w:lineRule="auto"/>
        <w:jc w:val="both"/>
      </w:pPr>
    </w:p>
    <w:p w:rsidR="009633E2" w:rsidRDefault="009633E2" w:rsidP="004F5635">
      <w:pPr>
        <w:spacing w:after="0" w:line="240" w:lineRule="auto"/>
        <w:jc w:val="both"/>
        <w:rPr>
          <w:rFonts w:eastAsia="Calibri" w:cs="Times New Roman"/>
          <w:b/>
          <w:szCs w:val="24"/>
        </w:rPr>
      </w:pPr>
    </w:p>
    <w:p w:rsidR="009633E2" w:rsidRDefault="009633E2"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47D85" w:rsidRDefault="00547D85" w:rsidP="004F5635">
      <w:pPr>
        <w:spacing w:after="0" w:line="240" w:lineRule="auto"/>
        <w:jc w:val="center"/>
        <w:rPr>
          <w:rFonts w:eastAsia="Calibri" w:cs="Times New Roman"/>
          <w:b/>
          <w:szCs w:val="24"/>
        </w:rPr>
      </w:pPr>
    </w:p>
    <w:p w:rsidR="005059EB" w:rsidRPr="005059EB" w:rsidRDefault="006E224F" w:rsidP="004F5635">
      <w:pPr>
        <w:spacing w:after="0" w:line="240" w:lineRule="auto"/>
        <w:jc w:val="center"/>
        <w:rPr>
          <w:rFonts w:eastAsia="Calibri" w:cs="Times New Roman"/>
          <w:b/>
          <w:sz w:val="28"/>
          <w:szCs w:val="28"/>
        </w:rPr>
      </w:pPr>
      <w:r w:rsidRPr="005059EB">
        <w:rPr>
          <w:rFonts w:eastAsia="Calibri" w:cs="Times New Roman"/>
          <w:b/>
          <w:sz w:val="28"/>
          <w:szCs w:val="28"/>
        </w:rPr>
        <w:lastRenderedPageBreak/>
        <w:t xml:space="preserve">PAŽYMA </w:t>
      </w:r>
    </w:p>
    <w:p w:rsidR="006E224F" w:rsidRPr="005059EB" w:rsidRDefault="00E551ED" w:rsidP="004F5635">
      <w:pPr>
        <w:spacing w:after="0" w:line="240" w:lineRule="auto"/>
        <w:jc w:val="center"/>
        <w:rPr>
          <w:rFonts w:eastAsia="Calibri" w:cs="Times New Roman"/>
          <w:b/>
          <w:sz w:val="28"/>
          <w:szCs w:val="28"/>
        </w:rPr>
      </w:pPr>
      <w:r>
        <w:rPr>
          <w:rFonts w:eastAsia="Calibri" w:cs="Times New Roman"/>
          <w:b/>
          <w:sz w:val="28"/>
          <w:szCs w:val="28"/>
        </w:rPr>
        <w:t>D</w:t>
      </w:r>
      <w:r w:rsidR="006E224F" w:rsidRPr="005059EB">
        <w:rPr>
          <w:rFonts w:eastAsia="Calibri" w:cs="Times New Roman"/>
          <w:b/>
          <w:sz w:val="28"/>
          <w:szCs w:val="28"/>
        </w:rPr>
        <w:t xml:space="preserve">ėl š. m. vasario 17 d. EURO </w:t>
      </w:r>
      <w:r w:rsidR="005059EB">
        <w:rPr>
          <w:rFonts w:eastAsia="Calibri" w:cs="Times New Roman"/>
          <w:b/>
          <w:sz w:val="28"/>
          <w:szCs w:val="28"/>
        </w:rPr>
        <w:t>grupėje svarstomų</w:t>
      </w:r>
      <w:r w:rsidR="006E224F" w:rsidRPr="005059EB">
        <w:rPr>
          <w:rFonts w:eastAsia="Calibri" w:cs="Times New Roman"/>
          <w:b/>
          <w:sz w:val="28"/>
          <w:szCs w:val="28"/>
        </w:rPr>
        <w:t xml:space="preserve"> klausimų</w:t>
      </w:r>
    </w:p>
    <w:p w:rsidR="006E224F" w:rsidRPr="00720C6E" w:rsidRDefault="006E224F" w:rsidP="004F5635">
      <w:pPr>
        <w:spacing w:after="0" w:line="240" w:lineRule="auto"/>
        <w:rPr>
          <w:rFonts w:eastAsia="Calibri" w:cs="Times New Roman"/>
          <w:szCs w:val="24"/>
        </w:rPr>
      </w:pPr>
    </w:p>
    <w:p w:rsidR="006E224F" w:rsidRPr="00720C6E" w:rsidRDefault="006E224F" w:rsidP="004F5635">
      <w:pPr>
        <w:spacing w:after="0" w:line="240" w:lineRule="auto"/>
        <w:jc w:val="center"/>
        <w:rPr>
          <w:rFonts w:eastAsia="Calibri" w:cs="Times New Roman"/>
          <w:szCs w:val="24"/>
        </w:rPr>
      </w:pPr>
    </w:p>
    <w:p w:rsidR="006E224F" w:rsidRPr="00720C6E" w:rsidRDefault="006E224F" w:rsidP="004F5635">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T</w:t>
      </w:r>
      <w:r w:rsidR="00D33DBA" w:rsidRPr="00720C6E">
        <w:rPr>
          <w:rFonts w:cs="Times New Roman"/>
          <w:b/>
          <w:szCs w:val="24"/>
        </w:rPr>
        <w:t>eminės diskusijos: Mokesčių pleištas samdomam darbui – pagrindinis dėmesys mokesčių perkėlimui nuo samdomo darbo į kitas apmokestinimo formas</w:t>
      </w:r>
    </w:p>
    <w:p w:rsidR="006E224F" w:rsidRPr="00720C6E" w:rsidRDefault="006E224F" w:rsidP="004F5635">
      <w:pPr>
        <w:spacing w:after="0" w:line="240" w:lineRule="auto"/>
        <w:jc w:val="both"/>
        <w:rPr>
          <w:rFonts w:cs="Times New Roman"/>
          <w:b/>
          <w:szCs w:val="24"/>
          <w:u w:val="single"/>
          <w:lang w:eastAsia="lt-LT" w:bidi="lt-LT"/>
        </w:rPr>
      </w:pPr>
    </w:p>
    <w:p w:rsidR="00D33DBA" w:rsidRPr="00720C6E" w:rsidRDefault="006E224F" w:rsidP="005059EB">
      <w:pPr>
        <w:spacing w:after="0" w:line="240" w:lineRule="auto"/>
        <w:contextualSpacing/>
        <w:jc w:val="both"/>
        <w:rPr>
          <w:rFonts w:cs="Times New Roman"/>
          <w:b/>
          <w:szCs w:val="24"/>
          <w:u w:val="single"/>
          <w:lang w:eastAsia="lt-LT" w:bidi="lt-LT"/>
        </w:rPr>
      </w:pPr>
      <w:r w:rsidRPr="00720C6E">
        <w:rPr>
          <w:rFonts w:cs="Times New Roman"/>
          <w:b/>
          <w:szCs w:val="24"/>
          <w:u w:val="single"/>
          <w:lang w:eastAsia="lt-LT" w:bidi="lt-LT"/>
        </w:rPr>
        <w:t>Klausimo esmė.</w:t>
      </w:r>
      <w:r w:rsidR="00C7657E" w:rsidRPr="00720C6E">
        <w:rPr>
          <w:rFonts w:cs="Times New Roman"/>
          <w:b/>
          <w:szCs w:val="24"/>
          <w:lang w:eastAsia="lt-LT" w:bidi="lt-LT"/>
        </w:rPr>
        <w:t xml:space="preserve"> </w:t>
      </w:r>
      <w:r w:rsidR="00D33DBA" w:rsidRPr="00720C6E">
        <w:rPr>
          <w:rFonts w:cs="Times New Roman"/>
          <w:szCs w:val="24"/>
        </w:rPr>
        <w:t>Be įprastinio mokesčių pleišto samdomam darbui įvertinimo šiais metais daugiau dėme</w:t>
      </w:r>
      <w:r w:rsidR="00E551ED">
        <w:rPr>
          <w:rFonts w:cs="Times New Roman"/>
          <w:szCs w:val="24"/>
        </w:rPr>
        <w:t>sio skirta klimato kaitai, t.y.</w:t>
      </w:r>
      <w:r w:rsidR="00D33DBA" w:rsidRPr="00720C6E">
        <w:rPr>
          <w:rFonts w:cs="Times New Roman"/>
          <w:szCs w:val="24"/>
        </w:rPr>
        <w:t xml:space="preserve"> mokesčių pleišto samdomam darbui mažinimo kompensavimo aplinkos apsaugos mokesčiais. Bendrai mokesčių pleištas samdomam darbui ES yra didesnis nei EBPO vidurkis, tačiau turi šiek tiek mažėjančią trajektoriją.</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szCs w:val="24"/>
          <w:lang w:eastAsia="lt-LT" w:bidi="lt-LT"/>
        </w:rPr>
        <w:t>Mokesčių pleišto mažinimas samdomam darbui yra naudingas siekiant didesnio užimtumo ir ekonominio aktyvumo skatinimo, tačiau mažai VN turi fiskalinės erdvės jį mažinti nekeliant kitų mokesčių. Dažniausiai kaip alternatyva samdomo darbo apmokestinimui būna naudojami vartojimo ir nekilnojamo turto mokesčiai, nedaug VN panaudoja aplinkos apsaugos mokesčius šiam tikslui įgyvendinti. Tačiau, aplinkos apsaugos mokesčiai gali ir pakelti įplaukas į biudžetą ir būti naudingais ekonomikai.</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szCs w:val="24"/>
          <w:lang w:eastAsia="lt-LT" w:bidi="lt-LT"/>
        </w:rPr>
        <w:t xml:space="preserve">Nepaisant to, kad vartojimo mokesčiai mažiau žalingi ekonominiam augimui, jie turi regresinį efektą, nes užkrauna didesnę naštą mažas disponuojamas pajamas turintiems asmenims. Lietuvoje daugiau nei pusė mokesčių surenkami iš vartojimo (PVM, akcizai). Taip pat vartojimo mokesčius lengviau administruoti, tačiau Lietuvos atveju nesurinkto PVM dalis išlieka ženkli. </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szCs w:val="24"/>
          <w:lang w:eastAsia="lt-LT" w:bidi="lt-LT"/>
        </w:rPr>
        <w:t xml:space="preserve">Nereikėtų pamiršti ir nekilnojamo turto apmokestinimo, kuris kartais susiduria su administravimo problemomis dėl pasenusių nekilnojamo turto vertės duomenų, tačiau yra mažiau žalingas ekonominiam augimui. </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szCs w:val="24"/>
          <w:lang w:eastAsia="lt-LT" w:bidi="lt-LT"/>
        </w:rPr>
        <w:t>Nepaisant aplinkos apsaugos mokesčių galimybės pakelti įplaukas į biudžetą ir būti naudingais ekonomikai, jie gali sukelti apmokestinimo regresinį efektą, kaip ir vartojimo mokesčiai. Siekiant sumažinti, panaikinti regresinį efektą arba siekiant gauti progresinį efektą galima aplinkos apsaugos mokesčių kėlimą suderinti su progresiniu mokesčių pleišto mažinimu samdomam darbui. Be to, aplinkos apsaugos mokesčių pajamos gali ilgainiui mažėti jeigu jie nekeičiami, kadangi jie paskatins aplinkai žalingos veiklos mažėjimą, kas yra labai gerai, bet yra problema iš biudžeto įplaukų perspektyvos.</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szCs w:val="24"/>
          <w:lang w:eastAsia="lt-LT" w:bidi="lt-LT"/>
        </w:rPr>
        <w:t>Be jau paminėtų dalykų svarbu persvarstyti ir palaipsniui atsisakyti aplinkai žalingų subsidijų.</w:t>
      </w:r>
    </w:p>
    <w:p w:rsidR="00D33DBA" w:rsidRPr="00720C6E" w:rsidRDefault="00D33DBA" w:rsidP="005059EB">
      <w:pPr>
        <w:spacing w:after="0" w:line="240" w:lineRule="auto"/>
        <w:contextualSpacing/>
        <w:jc w:val="both"/>
        <w:rPr>
          <w:rFonts w:cs="Times New Roman"/>
          <w:szCs w:val="24"/>
          <w:lang w:eastAsia="lt-LT" w:bidi="lt-LT"/>
        </w:rPr>
      </w:pPr>
      <w:r w:rsidRPr="00720C6E">
        <w:rPr>
          <w:rFonts w:cs="Times New Roman"/>
          <w:b/>
          <w:szCs w:val="24"/>
          <w:u w:val="single"/>
          <w:lang w:eastAsia="lt-LT" w:bidi="lt-LT"/>
        </w:rPr>
        <w:t>Lietuvos pozicija.</w:t>
      </w:r>
      <w:r w:rsidRPr="00720C6E">
        <w:rPr>
          <w:rFonts w:cs="Times New Roman"/>
          <w:szCs w:val="24"/>
          <w:lang w:eastAsia="lt-LT" w:bidi="lt-LT"/>
        </w:rPr>
        <w:t xml:space="preserve"> Pritariame Komisijos parengtai analizei.</w:t>
      </w:r>
    </w:p>
    <w:p w:rsidR="00D33DBA" w:rsidRPr="00720C6E" w:rsidRDefault="00D33DBA" w:rsidP="004F5635">
      <w:pPr>
        <w:spacing w:after="0" w:line="240" w:lineRule="auto"/>
        <w:rPr>
          <w:rFonts w:cs="Times New Roman"/>
          <w:b/>
          <w:szCs w:val="24"/>
          <w:u w:val="single"/>
          <w:lang w:eastAsia="lt-LT" w:bidi="lt-LT"/>
        </w:rPr>
      </w:pPr>
    </w:p>
    <w:p w:rsidR="004F5635" w:rsidRPr="00720C6E" w:rsidRDefault="004F5635" w:rsidP="004F5635">
      <w:pPr>
        <w:spacing w:after="0" w:line="240" w:lineRule="auto"/>
        <w:rPr>
          <w:rFonts w:cs="Times New Roman"/>
          <w:b/>
          <w:szCs w:val="24"/>
          <w:u w:val="single"/>
          <w:lang w:eastAsia="lt-LT" w:bidi="lt-LT"/>
        </w:rPr>
      </w:pPr>
    </w:p>
    <w:p w:rsidR="00D33DBA" w:rsidRPr="00720C6E" w:rsidRDefault="00244C46" w:rsidP="004F5635">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Rekomendacijos euro zonai</w:t>
      </w:r>
    </w:p>
    <w:p w:rsidR="00D33DBA" w:rsidRPr="00720C6E" w:rsidRDefault="00D33DBA" w:rsidP="004F5635">
      <w:pPr>
        <w:spacing w:after="0" w:line="240" w:lineRule="auto"/>
        <w:jc w:val="both"/>
        <w:rPr>
          <w:rFonts w:cs="Times New Roman"/>
          <w:b/>
          <w:szCs w:val="24"/>
          <w:u w:val="single"/>
          <w:lang w:eastAsia="lt-LT" w:bidi="lt-LT"/>
        </w:rPr>
      </w:pPr>
    </w:p>
    <w:p w:rsidR="00D33DBA" w:rsidRPr="00720C6E" w:rsidRDefault="00D33DBA" w:rsidP="004F5635">
      <w:pPr>
        <w:spacing w:after="0" w:line="240" w:lineRule="auto"/>
        <w:jc w:val="both"/>
        <w:rPr>
          <w:rFonts w:cs="Times New Roman"/>
          <w:szCs w:val="24"/>
        </w:rPr>
      </w:pPr>
      <w:r w:rsidRPr="00720C6E">
        <w:rPr>
          <w:rFonts w:cs="Times New Roman"/>
          <w:b/>
          <w:szCs w:val="24"/>
          <w:u w:val="single"/>
          <w:lang w:eastAsia="lt-LT" w:bidi="lt-LT"/>
        </w:rPr>
        <w:t>Klausimo esmė.</w:t>
      </w:r>
      <w:r w:rsidR="00187F2F" w:rsidRPr="00720C6E">
        <w:rPr>
          <w:rFonts w:cs="Times New Roman"/>
          <w:b/>
          <w:szCs w:val="24"/>
          <w:lang w:eastAsia="lt-LT" w:bidi="lt-LT"/>
        </w:rPr>
        <w:t xml:space="preserve"> </w:t>
      </w:r>
      <w:r w:rsidR="00187F2F" w:rsidRPr="00720C6E">
        <w:rPr>
          <w:rFonts w:cs="Times New Roman"/>
          <w:szCs w:val="24"/>
          <w:lang w:eastAsia="lt-LT" w:bidi="lt-LT"/>
        </w:rPr>
        <w:t xml:space="preserve">Pirminiam </w:t>
      </w:r>
      <w:r w:rsidR="00187F2F" w:rsidRPr="00720C6E">
        <w:rPr>
          <w:rFonts w:cs="Times New Roman"/>
          <w:bCs/>
          <w:szCs w:val="24"/>
        </w:rPr>
        <w:t>Euro zonos rekomendacijų projektui</w:t>
      </w:r>
      <w:r w:rsidR="00C55FA8" w:rsidRPr="00720C6E">
        <w:rPr>
          <w:rFonts w:cs="Times New Roman"/>
          <w:bCs/>
          <w:szCs w:val="24"/>
        </w:rPr>
        <w:t xml:space="preserve"> </w:t>
      </w:r>
      <w:r w:rsidR="00C55FA8" w:rsidRPr="00720C6E">
        <w:rPr>
          <w:rFonts w:cs="Times New Roman"/>
          <w:b/>
          <w:bCs/>
          <w:szCs w:val="24"/>
        </w:rPr>
        <w:t>mokestinėje dalyje</w:t>
      </w:r>
      <w:r w:rsidR="00187F2F" w:rsidRPr="00720C6E">
        <w:rPr>
          <w:rFonts w:cs="Times New Roman"/>
          <w:bCs/>
          <w:szCs w:val="24"/>
        </w:rPr>
        <w:t xml:space="preserve"> FM</w:t>
      </w:r>
      <w:r w:rsidR="00187F2F" w:rsidRPr="00720C6E">
        <w:rPr>
          <w:rFonts w:cs="Times New Roman"/>
          <w:b/>
          <w:bCs/>
          <w:szCs w:val="24"/>
        </w:rPr>
        <w:t xml:space="preserve"> </w:t>
      </w:r>
      <w:r w:rsidR="00C55FA8" w:rsidRPr="00720C6E">
        <w:rPr>
          <w:rFonts w:cs="Times New Roman"/>
          <w:szCs w:val="24"/>
        </w:rPr>
        <w:t>s</w:t>
      </w:r>
      <w:r w:rsidR="00187F2F" w:rsidRPr="00720C6E">
        <w:rPr>
          <w:rFonts w:cs="Times New Roman"/>
          <w:szCs w:val="24"/>
        </w:rPr>
        <w:t xml:space="preserve">iūlė nenaudoti preambulės 9 pastraipoje ir 2 rekomendacijoje minimų terminų „perteklinė konkurencija mokesčiais“ ir „lenktynės iki dugno pelno apmokestinime“. Taip pat, buvo siūloma neminėti Bendros konsoliduotos pelno mokesčio bazės preambulėje (9 pastraipa). </w:t>
      </w:r>
      <w:r w:rsidR="00B97A6B" w:rsidRPr="00720C6E">
        <w:rPr>
          <w:rFonts w:cs="Times New Roman"/>
          <w:szCs w:val="24"/>
        </w:rPr>
        <w:t xml:space="preserve">FM nuomone reikėtų skirti sąžiningą ir nesąžiningą mokesčių konkurenciją. Sąžininga mokesčių konkurencija yra apibrėžta Elgesio kodekse (Verslo apmokestinime), žalingų mokestinių praktikų forume bei </w:t>
      </w:r>
      <w:proofErr w:type="spellStart"/>
      <w:r w:rsidR="00B97A6B" w:rsidRPr="00720C6E">
        <w:rPr>
          <w:rFonts w:cs="Times New Roman"/>
          <w:szCs w:val="24"/>
        </w:rPr>
        <w:t>įtraukioje</w:t>
      </w:r>
      <w:proofErr w:type="spellEnd"/>
      <w:r w:rsidR="00B97A6B" w:rsidRPr="00720C6E">
        <w:rPr>
          <w:rFonts w:cs="Times New Roman"/>
          <w:szCs w:val="24"/>
        </w:rPr>
        <w:t xml:space="preserve"> sistemoje dėl bazės erozijos ir pelno perkėlimo (BEPS). Todėl terminas „perteklinė“ konkurencija mokesčiais įneša neaiškumo ir neapibrėžtumo.</w:t>
      </w:r>
    </w:p>
    <w:p w:rsidR="00187F2F" w:rsidRPr="00720C6E" w:rsidRDefault="00187F2F" w:rsidP="004F5635">
      <w:pPr>
        <w:spacing w:after="0" w:line="240" w:lineRule="auto"/>
        <w:jc w:val="both"/>
        <w:rPr>
          <w:rFonts w:cs="Times New Roman"/>
          <w:szCs w:val="24"/>
        </w:rPr>
      </w:pPr>
      <w:r w:rsidRPr="00720C6E">
        <w:rPr>
          <w:rFonts w:cs="Times New Roman"/>
          <w:b/>
          <w:szCs w:val="24"/>
        </w:rPr>
        <w:t>Po svarstymo komitetuose</w:t>
      </w:r>
      <w:r w:rsidRPr="00720C6E">
        <w:rPr>
          <w:rFonts w:cs="Times New Roman"/>
          <w:szCs w:val="24"/>
        </w:rPr>
        <w:t xml:space="preserve"> buvo atsisakyta termino „perteklinė konkurencija mokesčiais“, jis buvo pakeistas dažniau naudojamu „žalinga mokestinė praktika“. Terminas „lenktynės iki dugno pelno apmokestinime“ išliko, tačiau tekstas buvo šiek tiek susilpnintas- „</w:t>
      </w:r>
      <w:r w:rsidRPr="00720C6E">
        <w:rPr>
          <w:rFonts w:cs="Times New Roman"/>
          <w:strike/>
          <w:szCs w:val="24"/>
        </w:rPr>
        <w:t>spręsti</w:t>
      </w:r>
      <w:r w:rsidRPr="00720C6E">
        <w:rPr>
          <w:rFonts w:cs="Times New Roman"/>
          <w:szCs w:val="24"/>
        </w:rPr>
        <w:t xml:space="preserve"> vengti lenktynių iki dugno pelno apmokestinime“</w:t>
      </w:r>
    </w:p>
    <w:p w:rsidR="00C55FA8" w:rsidRPr="00720C6E" w:rsidRDefault="00C55FA8" w:rsidP="004F5635">
      <w:pPr>
        <w:spacing w:after="0" w:line="240" w:lineRule="auto"/>
        <w:jc w:val="both"/>
        <w:rPr>
          <w:rFonts w:cs="Times New Roman"/>
          <w:szCs w:val="24"/>
        </w:rPr>
      </w:pPr>
      <w:r w:rsidRPr="00720C6E">
        <w:rPr>
          <w:rFonts w:cs="Times New Roman"/>
          <w:b/>
          <w:szCs w:val="24"/>
        </w:rPr>
        <w:t>Finansų rinkų dalyje</w:t>
      </w:r>
      <w:r w:rsidRPr="00720C6E">
        <w:rPr>
          <w:rFonts w:cs="Times New Roman"/>
          <w:szCs w:val="24"/>
        </w:rPr>
        <w:t xml:space="preserve"> FM prieštaravo teksto dalies</w:t>
      </w:r>
      <w:r w:rsidR="008E7545" w:rsidRPr="00720C6E">
        <w:rPr>
          <w:rFonts w:cs="Times New Roman"/>
          <w:szCs w:val="24"/>
        </w:rPr>
        <w:t xml:space="preserve"> 14 preambulės pastraipoje</w:t>
      </w:r>
      <w:r w:rsidRPr="00720C6E">
        <w:rPr>
          <w:rFonts w:cs="Times New Roman"/>
          <w:szCs w:val="24"/>
        </w:rPr>
        <w:t xml:space="preserve"> dėl gilesnės finansų sektoriaus integracijos įtraukimui, kadangi nebūtų užtikrinti VN priimančių (</w:t>
      </w:r>
      <w:proofErr w:type="spellStart"/>
      <w:r w:rsidRPr="00720C6E">
        <w:rPr>
          <w:rFonts w:cs="Times New Roman"/>
          <w:szCs w:val="24"/>
        </w:rPr>
        <w:t>host</w:t>
      </w:r>
      <w:proofErr w:type="spellEnd"/>
      <w:r w:rsidRPr="00720C6E">
        <w:rPr>
          <w:rFonts w:cs="Times New Roman"/>
          <w:szCs w:val="24"/>
        </w:rPr>
        <w:t>)</w:t>
      </w:r>
      <w:r w:rsidR="008E7545" w:rsidRPr="00720C6E">
        <w:rPr>
          <w:rFonts w:cs="Times New Roman"/>
          <w:szCs w:val="24"/>
        </w:rPr>
        <w:t xml:space="preserve"> buveinių (</w:t>
      </w:r>
      <w:proofErr w:type="spellStart"/>
      <w:r w:rsidR="008E7545" w:rsidRPr="00720C6E">
        <w:rPr>
          <w:rFonts w:cs="Times New Roman"/>
          <w:szCs w:val="24"/>
        </w:rPr>
        <w:t>home</w:t>
      </w:r>
      <w:proofErr w:type="spellEnd"/>
      <w:r w:rsidR="008E7545" w:rsidRPr="00720C6E">
        <w:rPr>
          <w:rFonts w:cs="Times New Roman"/>
          <w:szCs w:val="24"/>
        </w:rPr>
        <w:t xml:space="preserve">) finansines institucijas interesai, o Lietuvos finansinis sektorius nemaža dalimi sudarytas iš Skandinavijos bankų </w:t>
      </w:r>
      <w:r w:rsidR="00B97A6B" w:rsidRPr="00720C6E">
        <w:rPr>
          <w:rFonts w:cs="Times New Roman"/>
          <w:szCs w:val="24"/>
        </w:rPr>
        <w:t>dukterinių institucijų ir filialų.</w:t>
      </w:r>
    </w:p>
    <w:p w:rsidR="00B97A6B" w:rsidRPr="00720C6E" w:rsidRDefault="00B97A6B" w:rsidP="004F5635">
      <w:pPr>
        <w:spacing w:after="0" w:line="240" w:lineRule="auto"/>
        <w:jc w:val="both"/>
        <w:rPr>
          <w:rFonts w:cs="Times New Roman"/>
          <w:szCs w:val="24"/>
        </w:rPr>
      </w:pPr>
      <w:r w:rsidRPr="00720C6E">
        <w:rPr>
          <w:rFonts w:cs="Times New Roman"/>
          <w:szCs w:val="24"/>
        </w:rPr>
        <w:t xml:space="preserve">Taip pat, FM prieštaravo siūlymui 4 rekomendacijoje įtraukti tekstą, kuris vardija Bankų sąjungos elementus, kur reikia tęsti diskusijas, bet tik prie bankų ir valstybės skolos sąsajos pamini, kad finansinis </w:t>
      </w:r>
      <w:r w:rsidRPr="00720C6E">
        <w:rPr>
          <w:rFonts w:cs="Times New Roman"/>
          <w:szCs w:val="24"/>
        </w:rPr>
        <w:lastRenderedPageBreak/>
        <w:t>ir ekonominis stabilumas turi būti užtikrintas visose VN. FM nuomone sakinys dėl finansinio ir ekonominio stabilumo turėtų galioti visiems Bankų sąjungos elementams.</w:t>
      </w:r>
    </w:p>
    <w:p w:rsidR="009202C6" w:rsidRPr="00720C6E" w:rsidRDefault="009202C6" w:rsidP="004F5635">
      <w:pPr>
        <w:spacing w:after="0" w:line="240" w:lineRule="auto"/>
        <w:jc w:val="both"/>
        <w:rPr>
          <w:rFonts w:cs="Times New Roman"/>
          <w:szCs w:val="24"/>
        </w:rPr>
      </w:pPr>
      <w:r w:rsidRPr="00720C6E">
        <w:rPr>
          <w:rFonts w:cs="Times New Roman"/>
          <w:b/>
          <w:szCs w:val="24"/>
        </w:rPr>
        <w:t>Po svarstymo komitetuose</w:t>
      </w:r>
      <w:r w:rsidRPr="00720C6E">
        <w:rPr>
          <w:rFonts w:cs="Times New Roman"/>
          <w:szCs w:val="24"/>
        </w:rPr>
        <w:t xml:space="preserve"> buvo atsisakyta siūlymo dėl 14 preambulės pastraipos, tuo tarpu siūlomas tekstas 4 rekomendacijoje buvo atmestas įtraukiant tik referavimą į Europos indelių garantijų sistemą.</w:t>
      </w:r>
    </w:p>
    <w:p w:rsidR="009202C6" w:rsidRPr="00720C6E" w:rsidRDefault="009202C6" w:rsidP="004F5635">
      <w:pPr>
        <w:spacing w:after="0" w:line="240" w:lineRule="auto"/>
        <w:jc w:val="both"/>
        <w:rPr>
          <w:rFonts w:cs="Times New Roman"/>
          <w:szCs w:val="24"/>
        </w:rPr>
      </w:pPr>
      <w:r w:rsidRPr="00720C6E">
        <w:rPr>
          <w:rFonts w:cs="Times New Roman"/>
          <w:szCs w:val="24"/>
        </w:rPr>
        <w:t>Dėl pasiekto kompromisinio varianto nebetūrėtų būti nesutarimų.</w:t>
      </w:r>
    </w:p>
    <w:p w:rsidR="009202C6" w:rsidRPr="00720C6E" w:rsidRDefault="009202C6" w:rsidP="004F5635">
      <w:pPr>
        <w:spacing w:after="0" w:line="240" w:lineRule="auto"/>
        <w:jc w:val="both"/>
        <w:rPr>
          <w:rFonts w:cs="Times New Roman"/>
          <w:szCs w:val="24"/>
        </w:rPr>
      </w:pPr>
      <w:r w:rsidRPr="00720C6E">
        <w:rPr>
          <w:rFonts w:cs="Times New Roman"/>
          <w:b/>
          <w:szCs w:val="24"/>
          <w:u w:val="single"/>
          <w:lang w:eastAsia="lt-LT" w:bidi="lt-LT"/>
        </w:rPr>
        <w:t>Lietuvos pozicija.</w:t>
      </w:r>
      <w:r w:rsidRPr="00720C6E">
        <w:rPr>
          <w:rFonts w:cs="Times New Roman"/>
          <w:szCs w:val="24"/>
          <w:lang w:eastAsia="lt-LT" w:bidi="lt-LT"/>
        </w:rPr>
        <w:t xml:space="preserve"> Pritariame kompromisiniam Tarybos rekomendacijų euro zonai tekstui.</w:t>
      </w:r>
    </w:p>
    <w:p w:rsidR="00D33DBA" w:rsidRPr="00720C6E" w:rsidRDefault="00D33DBA" w:rsidP="004F5635">
      <w:pPr>
        <w:tabs>
          <w:tab w:val="left" w:pos="3935"/>
        </w:tabs>
        <w:spacing w:after="0" w:line="240" w:lineRule="auto"/>
        <w:rPr>
          <w:rFonts w:cs="Times New Roman"/>
          <w:szCs w:val="24"/>
        </w:rPr>
      </w:pPr>
    </w:p>
    <w:p w:rsidR="005059EB" w:rsidRPr="00720C6E" w:rsidRDefault="005059EB" w:rsidP="004F5635">
      <w:pPr>
        <w:tabs>
          <w:tab w:val="left" w:pos="3935"/>
        </w:tabs>
        <w:spacing w:after="0" w:line="240" w:lineRule="auto"/>
        <w:rPr>
          <w:rFonts w:cs="Times New Roman"/>
          <w:szCs w:val="24"/>
        </w:rPr>
      </w:pPr>
    </w:p>
    <w:p w:rsidR="00D33DBA" w:rsidRPr="00720C6E" w:rsidRDefault="00A0435E" w:rsidP="004F5635">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 xml:space="preserve">Komisijos prezentacija dėl </w:t>
      </w:r>
      <w:r w:rsidR="00A369D4" w:rsidRPr="00720C6E">
        <w:rPr>
          <w:rFonts w:cs="Times New Roman"/>
          <w:b/>
          <w:szCs w:val="24"/>
        </w:rPr>
        <w:t>Ekonominės valdysenos sistemos peržiūros</w:t>
      </w:r>
    </w:p>
    <w:p w:rsidR="00D33DBA" w:rsidRPr="00720C6E" w:rsidRDefault="00D33DBA" w:rsidP="004F5635">
      <w:pPr>
        <w:spacing w:after="0" w:line="240" w:lineRule="auto"/>
        <w:jc w:val="both"/>
        <w:rPr>
          <w:rFonts w:cs="Times New Roman"/>
          <w:b/>
          <w:szCs w:val="24"/>
          <w:u w:val="single"/>
          <w:lang w:eastAsia="lt-LT" w:bidi="lt-LT"/>
        </w:rPr>
      </w:pPr>
    </w:p>
    <w:p w:rsidR="002914B1" w:rsidRPr="00720C6E" w:rsidRDefault="00D33DBA" w:rsidP="004F5635">
      <w:pPr>
        <w:spacing w:after="0" w:line="240" w:lineRule="auto"/>
        <w:contextualSpacing/>
        <w:jc w:val="both"/>
        <w:rPr>
          <w:rFonts w:cs="Times New Roman"/>
          <w:szCs w:val="24"/>
          <w:lang w:eastAsia="lt-LT" w:bidi="lt-LT"/>
        </w:rPr>
      </w:pPr>
      <w:r w:rsidRPr="00720C6E">
        <w:rPr>
          <w:rFonts w:cs="Times New Roman"/>
          <w:b/>
          <w:szCs w:val="24"/>
          <w:u w:val="single"/>
          <w:lang w:eastAsia="lt-LT" w:bidi="lt-LT"/>
        </w:rPr>
        <w:t>Klausimo esmė.</w:t>
      </w:r>
      <w:r w:rsidR="002914B1" w:rsidRPr="00720C6E">
        <w:rPr>
          <w:rFonts w:cs="Times New Roman"/>
          <w:b/>
          <w:szCs w:val="24"/>
          <w:lang w:eastAsia="lt-LT" w:bidi="lt-LT"/>
        </w:rPr>
        <w:t xml:space="preserve"> </w:t>
      </w:r>
      <w:r w:rsidR="002914B1" w:rsidRPr="00720C6E">
        <w:rPr>
          <w:rFonts w:cs="Times New Roman"/>
          <w:szCs w:val="24"/>
          <w:lang w:eastAsia="lt-LT" w:bidi="lt-LT"/>
        </w:rPr>
        <w:t>Komisija pristatys ekonominės priežiūros sistemos veiksmingumo peržiūrą ir pradeda viešas diskusijas dėl jos ateities.</w:t>
      </w:r>
    </w:p>
    <w:p w:rsidR="002914B1" w:rsidRPr="00720C6E" w:rsidRDefault="002914B1" w:rsidP="004F5635">
      <w:pPr>
        <w:spacing w:after="0" w:line="240" w:lineRule="auto"/>
        <w:contextualSpacing/>
        <w:jc w:val="both"/>
        <w:rPr>
          <w:rFonts w:cs="Times New Roman"/>
          <w:szCs w:val="24"/>
          <w:lang w:eastAsia="lt-LT" w:bidi="lt-LT"/>
        </w:rPr>
      </w:pPr>
      <w:r w:rsidRPr="00720C6E">
        <w:rPr>
          <w:rFonts w:cs="Times New Roman"/>
          <w:szCs w:val="24"/>
          <w:lang w:eastAsia="lt-LT" w:bidi="lt-LT"/>
        </w:rPr>
        <w:t xml:space="preserve">ES ekonominės priežiūros sistema padėjo valstybėms narėms siekti savo ekonominės ir fiskalinės politikos tikslų. Ji padėjo užtikrinti, kad ekonominė politika būtų glaudžiau koordinuojama, spręsti makroekonominių </w:t>
      </w:r>
      <w:proofErr w:type="spellStart"/>
      <w:r w:rsidRPr="00720C6E">
        <w:rPr>
          <w:rFonts w:cs="Times New Roman"/>
          <w:szCs w:val="24"/>
          <w:lang w:eastAsia="lt-LT" w:bidi="lt-LT"/>
        </w:rPr>
        <w:t>disbalansų</w:t>
      </w:r>
      <w:proofErr w:type="spellEnd"/>
      <w:r w:rsidRPr="00720C6E">
        <w:rPr>
          <w:rFonts w:cs="Times New Roman"/>
          <w:szCs w:val="24"/>
          <w:lang w:eastAsia="lt-LT" w:bidi="lt-LT"/>
        </w:rPr>
        <w:t xml:space="preserve"> problemą, mažinti valdžios sektoriaus deficitą ir skolą. Sistema sudarė sąlygas tvariam augimui ir sąlygas įgyvendinti Sąjungos augimo ir darbo vietų kūrimo strategiją. Tačiau dar yra tam tikrų trūkumų, fiskalinė sistema tampa vis sudėtingesnė, o dėl to mažėja jos palaikymas.</w:t>
      </w:r>
    </w:p>
    <w:p w:rsidR="002914B1" w:rsidRPr="00720C6E" w:rsidRDefault="002914B1" w:rsidP="004F5635">
      <w:pPr>
        <w:spacing w:after="0" w:line="240" w:lineRule="auto"/>
        <w:contextualSpacing/>
        <w:jc w:val="both"/>
        <w:rPr>
          <w:rFonts w:cs="Times New Roman"/>
          <w:szCs w:val="24"/>
          <w:lang w:eastAsia="lt-LT" w:bidi="lt-LT"/>
        </w:rPr>
      </w:pPr>
      <w:r w:rsidRPr="00720C6E">
        <w:rPr>
          <w:rFonts w:cs="Times New Roman"/>
          <w:szCs w:val="24"/>
          <w:lang w:eastAsia="lt-LT" w:bidi="lt-LT"/>
        </w:rPr>
        <w:t>Be to, nuo to laiko, kai buvo nustatytos taisyklės, ES ekonominės aplinkybės labai pasikeitė.</w:t>
      </w:r>
    </w:p>
    <w:p w:rsidR="00D33DBA" w:rsidRPr="00720C6E" w:rsidRDefault="002914B1" w:rsidP="004F5635">
      <w:pPr>
        <w:spacing w:after="0" w:line="240" w:lineRule="auto"/>
        <w:contextualSpacing/>
        <w:jc w:val="both"/>
        <w:rPr>
          <w:rFonts w:cs="Times New Roman"/>
          <w:szCs w:val="24"/>
          <w:lang w:eastAsia="lt-LT" w:bidi="lt-LT"/>
        </w:rPr>
      </w:pPr>
      <w:r w:rsidRPr="00720C6E">
        <w:rPr>
          <w:rFonts w:cs="Times New Roman"/>
          <w:szCs w:val="24"/>
          <w:lang w:eastAsia="lt-LT" w:bidi="lt-LT"/>
        </w:rPr>
        <w:t xml:space="preserve">Naujo Sąjungos politinio ciklo pradžia – palankus ir tinkamas momentas įvertinti dabartinės ekonominės ir fiskalinės priežiūros sistemos, visų pirma </w:t>
      </w:r>
      <w:proofErr w:type="spellStart"/>
      <w:r w:rsidRPr="00720C6E">
        <w:rPr>
          <w:rFonts w:cs="Times New Roman"/>
          <w:i/>
          <w:szCs w:val="24"/>
          <w:lang w:eastAsia="lt-LT" w:bidi="lt-LT"/>
        </w:rPr>
        <w:t>six</w:t>
      </w:r>
      <w:proofErr w:type="spellEnd"/>
      <w:r w:rsidRPr="00720C6E">
        <w:rPr>
          <w:rFonts w:cs="Times New Roman"/>
          <w:i/>
          <w:szCs w:val="24"/>
          <w:lang w:eastAsia="lt-LT" w:bidi="lt-LT"/>
        </w:rPr>
        <w:t xml:space="preserve"> </w:t>
      </w:r>
      <w:proofErr w:type="spellStart"/>
      <w:r w:rsidRPr="00720C6E">
        <w:rPr>
          <w:rFonts w:cs="Times New Roman"/>
          <w:i/>
          <w:szCs w:val="24"/>
          <w:lang w:eastAsia="lt-LT" w:bidi="lt-LT"/>
        </w:rPr>
        <w:t>pack</w:t>
      </w:r>
      <w:proofErr w:type="spellEnd"/>
      <w:r w:rsidRPr="00720C6E">
        <w:rPr>
          <w:rFonts w:cs="Times New Roman"/>
          <w:szCs w:val="24"/>
          <w:lang w:eastAsia="lt-LT" w:bidi="lt-LT"/>
        </w:rPr>
        <w:t xml:space="preserve"> ir </w:t>
      </w:r>
      <w:proofErr w:type="spellStart"/>
      <w:r w:rsidRPr="00720C6E">
        <w:rPr>
          <w:rFonts w:cs="Times New Roman"/>
          <w:i/>
          <w:szCs w:val="24"/>
          <w:lang w:eastAsia="lt-LT" w:bidi="lt-LT"/>
        </w:rPr>
        <w:t>two</w:t>
      </w:r>
      <w:proofErr w:type="spellEnd"/>
      <w:r w:rsidRPr="00720C6E">
        <w:rPr>
          <w:rFonts w:cs="Times New Roman"/>
          <w:i/>
          <w:szCs w:val="24"/>
          <w:lang w:eastAsia="lt-LT" w:bidi="lt-LT"/>
        </w:rPr>
        <w:t xml:space="preserve"> </w:t>
      </w:r>
      <w:proofErr w:type="spellStart"/>
      <w:r w:rsidRPr="00720C6E">
        <w:rPr>
          <w:rFonts w:cs="Times New Roman"/>
          <w:i/>
          <w:szCs w:val="24"/>
          <w:lang w:eastAsia="lt-LT" w:bidi="lt-LT"/>
        </w:rPr>
        <w:t>pack</w:t>
      </w:r>
      <w:proofErr w:type="spellEnd"/>
      <w:r w:rsidRPr="00720C6E">
        <w:rPr>
          <w:rFonts w:cs="Times New Roman"/>
          <w:szCs w:val="24"/>
          <w:lang w:eastAsia="lt-LT" w:bidi="lt-LT"/>
        </w:rPr>
        <w:t xml:space="preserve"> veiksmingumą.</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Laikui bėgant ekonomikos valdymo sistema kito: jos pakeitimais siekta spręsti naujus ekonominius uždavinius.</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 xml:space="preserve">Per ekonomikos krizę išryškėjusiam pažeidžiamumui mažinti buvo priimti </w:t>
      </w:r>
      <w:proofErr w:type="spellStart"/>
      <w:r w:rsidRPr="00720C6E">
        <w:rPr>
          <w:rFonts w:cs="Times New Roman"/>
          <w:i/>
          <w:szCs w:val="24"/>
        </w:rPr>
        <w:t>six</w:t>
      </w:r>
      <w:proofErr w:type="spellEnd"/>
      <w:r w:rsidRPr="00720C6E">
        <w:rPr>
          <w:rFonts w:cs="Times New Roman"/>
          <w:i/>
          <w:szCs w:val="24"/>
        </w:rPr>
        <w:t xml:space="preserve"> </w:t>
      </w:r>
      <w:proofErr w:type="spellStart"/>
      <w:r w:rsidRPr="00720C6E">
        <w:rPr>
          <w:rFonts w:cs="Times New Roman"/>
          <w:i/>
          <w:szCs w:val="24"/>
        </w:rPr>
        <w:t>pack</w:t>
      </w:r>
      <w:proofErr w:type="spellEnd"/>
      <w:r w:rsidRPr="00720C6E">
        <w:rPr>
          <w:rFonts w:cs="Times New Roman"/>
          <w:szCs w:val="24"/>
        </w:rPr>
        <w:t xml:space="preserve"> ir </w:t>
      </w:r>
      <w:proofErr w:type="spellStart"/>
      <w:r w:rsidRPr="00720C6E">
        <w:rPr>
          <w:rFonts w:cs="Times New Roman"/>
          <w:i/>
          <w:szCs w:val="24"/>
        </w:rPr>
        <w:t>two</w:t>
      </w:r>
      <w:proofErr w:type="spellEnd"/>
      <w:r w:rsidRPr="00720C6E">
        <w:rPr>
          <w:rFonts w:cs="Times New Roman"/>
          <w:i/>
          <w:szCs w:val="24"/>
        </w:rPr>
        <w:t xml:space="preserve"> </w:t>
      </w:r>
      <w:proofErr w:type="spellStart"/>
      <w:r w:rsidRPr="00720C6E">
        <w:rPr>
          <w:rFonts w:cs="Times New Roman"/>
          <w:i/>
          <w:szCs w:val="24"/>
        </w:rPr>
        <w:t>pack</w:t>
      </w:r>
      <w:proofErr w:type="spellEnd"/>
      <w:r w:rsidRPr="00720C6E">
        <w:rPr>
          <w:rFonts w:cs="Times New Roman"/>
          <w:szCs w:val="24"/>
        </w:rPr>
        <w:t xml:space="preserve">. Nuo to laiko ekonominės aplinkybės iš esmės pasikeitė. Europos ekonomika auga jau septynerius metus iš eilės. Šiuo metu Stabilumo ir augimo pakto korekcinė dalis, vadinamoji </w:t>
      </w:r>
      <w:proofErr w:type="spellStart"/>
      <w:r w:rsidRPr="00720C6E">
        <w:rPr>
          <w:rFonts w:cs="Times New Roman"/>
          <w:szCs w:val="24"/>
        </w:rPr>
        <w:t>perviršinio</w:t>
      </w:r>
      <w:proofErr w:type="spellEnd"/>
      <w:r w:rsidRPr="00720C6E">
        <w:rPr>
          <w:rFonts w:cs="Times New Roman"/>
          <w:szCs w:val="24"/>
        </w:rPr>
        <w:t xml:space="preserve"> deficito procedūra, netaikoma nė vienai valstybei narei; 2011 m. ji buvo taikoma 24 valstybėms narėms. Tačiau daugelio valstybių narių augimo potencialas nesiekia prieš krizę buvusio lygio, taip pat kai kurių valstybių narių valstybės skolos lygis tebėra aukštas. Reformų pagreitis sulėtėjo, o įvairių šalių ir politikos sričių pažanga tapo nevienoda.</w:t>
      </w:r>
    </w:p>
    <w:p w:rsidR="002914B1" w:rsidRPr="00720C6E" w:rsidRDefault="002914B1" w:rsidP="004F5635">
      <w:pPr>
        <w:spacing w:after="0" w:line="240" w:lineRule="auto"/>
        <w:contextualSpacing/>
        <w:jc w:val="both"/>
        <w:rPr>
          <w:rFonts w:cs="Times New Roman"/>
          <w:b/>
          <w:szCs w:val="24"/>
        </w:rPr>
      </w:pPr>
      <w:r w:rsidRPr="00720C6E">
        <w:rPr>
          <w:rFonts w:cs="Times New Roman"/>
          <w:b/>
          <w:szCs w:val="24"/>
        </w:rPr>
        <w:t>Peržiūros tikslas – įvertinti ekonominės priežiūros sistemos veiksmingumą siekiant trijų pagrindinių tikslų:</w:t>
      </w:r>
    </w:p>
    <w:p w:rsidR="002914B1" w:rsidRPr="00720C6E" w:rsidRDefault="002914B1" w:rsidP="004F5635">
      <w:pPr>
        <w:pStyle w:val="Sraopastraipa"/>
        <w:numPr>
          <w:ilvl w:val="0"/>
          <w:numId w:val="2"/>
        </w:numPr>
        <w:spacing w:after="0" w:line="240" w:lineRule="auto"/>
        <w:jc w:val="both"/>
        <w:rPr>
          <w:rFonts w:cs="Times New Roman"/>
          <w:szCs w:val="24"/>
        </w:rPr>
      </w:pPr>
      <w:r w:rsidRPr="00720C6E">
        <w:rPr>
          <w:rFonts w:cs="Times New Roman"/>
          <w:szCs w:val="24"/>
        </w:rPr>
        <w:t>užtikrinti tvarius viešuosius finansus ir ekonomikos augimą, taip pat vengti makroekonominio disbalanso;</w:t>
      </w:r>
    </w:p>
    <w:p w:rsidR="002914B1" w:rsidRPr="00720C6E" w:rsidRDefault="002914B1" w:rsidP="004F5635">
      <w:pPr>
        <w:pStyle w:val="Sraopastraipa"/>
        <w:numPr>
          <w:ilvl w:val="0"/>
          <w:numId w:val="2"/>
        </w:numPr>
        <w:spacing w:after="0" w:line="240" w:lineRule="auto"/>
        <w:jc w:val="both"/>
        <w:rPr>
          <w:rFonts w:cs="Times New Roman"/>
          <w:szCs w:val="24"/>
        </w:rPr>
      </w:pPr>
      <w:r w:rsidRPr="00720C6E">
        <w:rPr>
          <w:rFonts w:cs="Times New Roman"/>
          <w:szCs w:val="24"/>
        </w:rPr>
        <w:t>sudaryti sąlygas glaudžiau koordinuoti ekonominę politiką ir</w:t>
      </w:r>
    </w:p>
    <w:p w:rsidR="002914B1" w:rsidRPr="00720C6E" w:rsidRDefault="002914B1" w:rsidP="004F5635">
      <w:pPr>
        <w:pStyle w:val="Sraopastraipa"/>
        <w:numPr>
          <w:ilvl w:val="0"/>
          <w:numId w:val="2"/>
        </w:numPr>
        <w:spacing w:after="0" w:line="240" w:lineRule="auto"/>
        <w:jc w:val="both"/>
        <w:rPr>
          <w:rFonts w:cs="Times New Roman"/>
          <w:szCs w:val="24"/>
        </w:rPr>
      </w:pPr>
      <w:r w:rsidRPr="00720C6E">
        <w:rPr>
          <w:rFonts w:cs="Times New Roman"/>
          <w:szCs w:val="24"/>
        </w:rPr>
        <w:t>skatinti valstybių narių ekonominės veiklos rezultatų konvergenciją.</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Atlikus peržiūrą nustatyta, kad priežiūros sistema padėjo</w:t>
      </w:r>
      <w:r w:rsidR="009B3952" w:rsidRPr="00720C6E">
        <w:rPr>
          <w:rFonts w:cs="Times New Roman"/>
          <w:szCs w:val="24"/>
        </w:rPr>
        <w:t xml:space="preserve"> panaikinti esamą makroekonominius </w:t>
      </w:r>
      <w:proofErr w:type="spellStart"/>
      <w:r w:rsidR="009B3952" w:rsidRPr="00720C6E">
        <w:rPr>
          <w:rFonts w:cs="Times New Roman"/>
          <w:szCs w:val="24"/>
        </w:rPr>
        <w:t>disbalansus</w:t>
      </w:r>
      <w:proofErr w:type="spellEnd"/>
      <w:r w:rsidRPr="00720C6E">
        <w:rPr>
          <w:rFonts w:cs="Times New Roman"/>
          <w:szCs w:val="24"/>
        </w:rPr>
        <w:t xml:space="preserve"> ir sumažinti valdžios sektoriaus skolą. Savo ruožtu tai padėjo sudaryti sąlygas tvariam augimui, padidinti atsparumą ir sumažinti pažeidžiamumą ekonominių sukrėtimų atveju.</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Priežiūros sistema taip pat skatino tvarią valstybių narių ekonominės veiklos rezultatų konvergenciją ir glaudesnį fiskalinės politikos koordinavimą euro zonoje.</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 xml:space="preserve">Tačiau tam tikrų valstybių narių skolos lygis išlieka aukštas, o valstybių narių fiskalinės politikos kryptis dažnai būdavo </w:t>
      </w:r>
      <w:proofErr w:type="spellStart"/>
      <w:r w:rsidRPr="00720C6E">
        <w:rPr>
          <w:rFonts w:cs="Times New Roman"/>
          <w:szCs w:val="24"/>
        </w:rPr>
        <w:t>procikliška</w:t>
      </w:r>
      <w:proofErr w:type="spellEnd"/>
      <w:r w:rsidRPr="00720C6E">
        <w:rPr>
          <w:rFonts w:cs="Times New Roman"/>
          <w:szCs w:val="24"/>
        </w:rPr>
        <w:t>. Be to, viešųjų finansų sudėtis netapo palankesnė augimui: valstybės narės, užuot siekusios apsaugoti investicijas, nuolat rinkosi didinti einamąsias išlaidas.</w:t>
      </w:r>
    </w:p>
    <w:p w:rsidR="002914B1" w:rsidRPr="00720C6E" w:rsidRDefault="002914B1" w:rsidP="004F5635">
      <w:pPr>
        <w:spacing w:after="0" w:line="240" w:lineRule="auto"/>
        <w:contextualSpacing/>
        <w:jc w:val="both"/>
        <w:rPr>
          <w:rFonts w:cs="Times New Roman"/>
          <w:szCs w:val="24"/>
        </w:rPr>
      </w:pPr>
      <w:r w:rsidRPr="00720C6E">
        <w:rPr>
          <w:rFonts w:cs="Times New Roman"/>
          <w:szCs w:val="24"/>
        </w:rPr>
        <w:t>Atlikus peržiūrą taip pat nustatyta, kad dėl poreikio atsižvelgti į labai įvairias besikeičiančias aplinkybes ir kartu siekti kelių tikslų fiskalinė sistema tapo pernelyg sudėtinga. Dėl šio sudėtingumo sistema tapo ne tokia skaidri ir nuspėjama, o tai trukdo komunikuoti ir prisiimti politinę atsakomybę.</w:t>
      </w:r>
    </w:p>
    <w:p w:rsidR="007B02BB" w:rsidRPr="00720C6E" w:rsidRDefault="0011678C" w:rsidP="004F5635">
      <w:pPr>
        <w:spacing w:after="0" w:line="240" w:lineRule="auto"/>
        <w:jc w:val="both"/>
        <w:rPr>
          <w:rFonts w:cs="Times New Roman"/>
          <w:szCs w:val="24"/>
          <w:lang w:eastAsia="lt-LT" w:bidi="lt-LT"/>
        </w:rPr>
      </w:pPr>
      <w:r w:rsidRPr="00720C6E">
        <w:rPr>
          <w:rFonts w:cs="Times New Roman"/>
          <w:b/>
          <w:szCs w:val="24"/>
          <w:u w:val="single"/>
          <w:lang w:eastAsia="lt-LT" w:bidi="lt-LT"/>
        </w:rPr>
        <w:t>Lietuvos pozicija.</w:t>
      </w:r>
      <w:r w:rsidRPr="00720C6E">
        <w:rPr>
          <w:rFonts w:cs="Times New Roman"/>
          <w:szCs w:val="24"/>
          <w:lang w:eastAsia="lt-LT" w:bidi="lt-LT"/>
        </w:rPr>
        <w:t xml:space="preserve"> </w:t>
      </w:r>
      <w:r w:rsidR="007B02BB" w:rsidRPr="00720C6E">
        <w:rPr>
          <w:rFonts w:cs="Times New Roman"/>
          <w:szCs w:val="24"/>
          <w:lang w:eastAsia="lt-LT" w:bidi="lt-LT"/>
        </w:rPr>
        <w:t xml:space="preserve">Retrospektyvi sistemos veikimo apžvalga yra naudinga kaip pagrindas diskusijoms dėl fiskalinės sistemos tolimesnės evoliucijos. Sveikiname siekius diskutuoti sistemos veiksmingumo klausimais. Mūsų įsitikinimu, bet kokie sistemos pokyčiai neturi būti daromi ilgalaikio finansų ir skolos tvarumo sąskaita ar rizikuojant sukurti </w:t>
      </w:r>
      <w:proofErr w:type="spellStart"/>
      <w:r w:rsidR="007B02BB" w:rsidRPr="00720C6E">
        <w:rPr>
          <w:rFonts w:cs="Times New Roman"/>
          <w:szCs w:val="24"/>
          <w:lang w:eastAsia="lt-LT" w:bidi="lt-LT"/>
        </w:rPr>
        <w:t>makrodisbalansus</w:t>
      </w:r>
      <w:proofErr w:type="spellEnd"/>
      <w:r w:rsidR="007B02BB" w:rsidRPr="00720C6E">
        <w:rPr>
          <w:rFonts w:cs="Times New Roman"/>
          <w:szCs w:val="24"/>
          <w:lang w:eastAsia="lt-LT" w:bidi="lt-LT"/>
        </w:rPr>
        <w:t>. Pasisakome už taisyklėmis grįstos sistemos išlaikymą. Manome, kad ta</w:t>
      </w:r>
      <w:r w:rsidR="00793E3C" w:rsidRPr="00720C6E">
        <w:rPr>
          <w:rFonts w:cs="Times New Roman"/>
          <w:szCs w:val="24"/>
          <w:lang w:eastAsia="lt-LT" w:bidi="lt-LT"/>
        </w:rPr>
        <w:t xml:space="preserve">isyklių laikymosi užtikrinimas </w:t>
      </w:r>
      <w:r w:rsidR="007B02BB" w:rsidRPr="00720C6E">
        <w:rPr>
          <w:rFonts w:cs="Times New Roman"/>
          <w:szCs w:val="24"/>
          <w:lang w:eastAsia="lt-LT" w:bidi="lt-LT"/>
        </w:rPr>
        <w:t xml:space="preserve">turėtų būti vienas pagrindinių tobulintinų sistemos aspektų ir remtis  </w:t>
      </w:r>
      <w:proofErr w:type="spellStart"/>
      <w:r w:rsidR="007B02BB" w:rsidRPr="00720C6E">
        <w:rPr>
          <w:rFonts w:cs="Times New Roman"/>
          <w:szCs w:val="24"/>
          <w:lang w:eastAsia="lt-LT" w:bidi="lt-LT"/>
        </w:rPr>
        <w:t>nuspėjamumo</w:t>
      </w:r>
      <w:proofErr w:type="spellEnd"/>
      <w:r w:rsidR="007B02BB" w:rsidRPr="00720C6E">
        <w:rPr>
          <w:rFonts w:cs="Times New Roman"/>
          <w:szCs w:val="24"/>
          <w:lang w:eastAsia="lt-LT" w:bidi="lt-LT"/>
        </w:rPr>
        <w:t xml:space="preserve">, nepriklausomo vertinimo (atliekamo ES institucijų), vienodo </w:t>
      </w:r>
      <w:r w:rsidR="007B02BB" w:rsidRPr="00720C6E">
        <w:rPr>
          <w:rFonts w:cs="Times New Roman"/>
          <w:szCs w:val="24"/>
          <w:lang w:eastAsia="lt-LT" w:bidi="lt-LT"/>
        </w:rPr>
        <w:lastRenderedPageBreak/>
        <w:t>šalių traktavimo,  skaidrumo principais. Ekonomikos potencialui ir finansų tvarumui stiprinti kokybiškos ir laiku vykdomos struktūrinės reformos šalyse yra ne mažiau svarbios nei atsakinga fiskalinė politika.</w:t>
      </w:r>
    </w:p>
    <w:p w:rsidR="005059EB" w:rsidRPr="00720C6E" w:rsidRDefault="005059EB" w:rsidP="004F5635">
      <w:pPr>
        <w:spacing w:after="0" w:line="240" w:lineRule="auto"/>
        <w:jc w:val="both"/>
        <w:rPr>
          <w:rFonts w:cs="Times New Roman"/>
          <w:szCs w:val="24"/>
          <w:lang w:eastAsia="lt-LT" w:bidi="lt-LT"/>
        </w:rPr>
      </w:pPr>
    </w:p>
    <w:p w:rsidR="002E7316" w:rsidRPr="00720C6E" w:rsidRDefault="002E7316" w:rsidP="004F5635">
      <w:pPr>
        <w:spacing w:after="0" w:line="240" w:lineRule="auto"/>
        <w:jc w:val="both"/>
        <w:rPr>
          <w:rFonts w:cs="Times New Roman"/>
          <w:szCs w:val="24"/>
          <w:lang w:eastAsia="lt-LT" w:bidi="lt-LT"/>
        </w:rPr>
      </w:pPr>
    </w:p>
    <w:p w:rsidR="005059EB" w:rsidRPr="00720C6E" w:rsidRDefault="005059EB" w:rsidP="005059E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720C6E">
        <w:rPr>
          <w:rFonts w:cs="Times New Roman"/>
          <w:b/>
          <w:szCs w:val="24"/>
        </w:rPr>
        <w:t>Airijos po-programinės politikos vertinimo rezultatai</w:t>
      </w:r>
    </w:p>
    <w:p w:rsidR="005059EB" w:rsidRPr="00720C6E" w:rsidRDefault="005059EB" w:rsidP="005059EB">
      <w:pPr>
        <w:spacing w:after="0" w:line="240" w:lineRule="auto"/>
        <w:jc w:val="both"/>
        <w:rPr>
          <w:rFonts w:cs="Times New Roman"/>
          <w:szCs w:val="24"/>
          <w:lang w:eastAsia="lt-LT" w:bidi="lt-LT"/>
        </w:rPr>
      </w:pPr>
    </w:p>
    <w:p w:rsidR="005059EB" w:rsidRPr="00720C6E" w:rsidRDefault="005059EB" w:rsidP="005059EB">
      <w:pPr>
        <w:spacing w:after="0" w:line="240" w:lineRule="auto"/>
        <w:contextualSpacing/>
        <w:jc w:val="both"/>
        <w:rPr>
          <w:rFonts w:eastAsia="Calibri" w:cs="Times New Roman"/>
          <w:kern w:val="3"/>
          <w:szCs w:val="24"/>
          <w:lang w:bidi="hi-IN"/>
        </w:rPr>
      </w:pPr>
      <w:r w:rsidRPr="00720C6E">
        <w:rPr>
          <w:rFonts w:cs="Times New Roman"/>
          <w:b/>
          <w:szCs w:val="24"/>
          <w:u w:val="single"/>
          <w:lang w:eastAsia="lt-LT" w:bidi="lt-LT"/>
        </w:rPr>
        <w:t>Klausimo esmė.</w:t>
      </w:r>
      <w:r w:rsidR="00E551ED" w:rsidRPr="00E551ED">
        <w:rPr>
          <w:rFonts w:cs="Times New Roman"/>
          <w:b/>
          <w:szCs w:val="24"/>
          <w:lang w:eastAsia="lt-LT" w:bidi="lt-LT"/>
        </w:rPr>
        <w:t xml:space="preserve"> </w:t>
      </w:r>
      <w:r w:rsidRPr="00720C6E">
        <w:rPr>
          <w:rFonts w:eastAsia="Calibri" w:cs="Times New Roman"/>
          <w:kern w:val="3"/>
          <w:szCs w:val="24"/>
          <w:lang w:bidi="hi-IN"/>
        </w:rPr>
        <w:t>Airijoje dvyliktoji vertinimo misija vyko 2019 m. lapkričio 19-21 d. Airijos ekonominė situacija yra vertinama pozityviai: nedarbo lygis sumažėjęs, neveiksnių paskolų lygis ir toliau mažėja, skolos lygis nukrito žemiau nei 60 proc. BVP. Tačiau vis dar išlieka rizikos, susijusios su tarptautinių mokesčių režimu, a</w:t>
      </w:r>
      <w:r w:rsidR="00A67809">
        <w:rPr>
          <w:rFonts w:eastAsia="Calibri" w:cs="Times New Roman"/>
          <w:kern w:val="3"/>
          <w:szCs w:val="24"/>
          <w:lang w:bidi="hi-IN"/>
        </w:rPr>
        <w:t>teities santykiais su Jungtine K</w:t>
      </w:r>
      <w:r w:rsidRPr="00720C6E">
        <w:rPr>
          <w:rFonts w:eastAsia="Calibri" w:cs="Times New Roman"/>
          <w:kern w:val="3"/>
          <w:szCs w:val="24"/>
          <w:lang w:bidi="hi-IN"/>
        </w:rPr>
        <w:t xml:space="preserve">aralyste. </w:t>
      </w:r>
    </w:p>
    <w:p w:rsidR="005059EB" w:rsidRPr="00720C6E" w:rsidRDefault="005059EB" w:rsidP="005059EB">
      <w:pPr>
        <w:spacing w:after="0" w:line="240" w:lineRule="auto"/>
        <w:contextualSpacing/>
        <w:jc w:val="both"/>
        <w:rPr>
          <w:rFonts w:eastAsia="Calibri" w:cs="Times New Roman"/>
          <w:kern w:val="3"/>
          <w:szCs w:val="24"/>
          <w:lang w:bidi="hi-IN"/>
        </w:rPr>
      </w:pPr>
      <w:r w:rsidRPr="00720C6E">
        <w:rPr>
          <w:rFonts w:cs="Times New Roman"/>
          <w:b/>
          <w:szCs w:val="24"/>
          <w:u w:val="single"/>
          <w:lang w:eastAsia="lt-LT"/>
        </w:rPr>
        <w:t>Lietuvos pozicija.</w:t>
      </w:r>
      <w:r w:rsidRPr="00720C6E">
        <w:rPr>
          <w:rFonts w:cs="Times New Roman"/>
          <w:szCs w:val="24"/>
          <w:lang w:eastAsia="lt-LT"/>
        </w:rPr>
        <w:t xml:space="preserve"> Pritariame vertinimo rezultatams.</w:t>
      </w:r>
    </w:p>
    <w:p w:rsidR="005059EB" w:rsidRPr="00720C6E" w:rsidRDefault="005059EB" w:rsidP="004F5635">
      <w:pPr>
        <w:spacing w:after="0" w:line="240" w:lineRule="auto"/>
        <w:jc w:val="both"/>
        <w:rPr>
          <w:rFonts w:cs="Times New Roman"/>
          <w:szCs w:val="24"/>
          <w:lang w:eastAsia="lt-LT" w:bidi="lt-LT"/>
        </w:rPr>
      </w:pPr>
    </w:p>
    <w:p w:rsidR="005059EB" w:rsidRPr="00720C6E" w:rsidRDefault="005059EB" w:rsidP="004F5635">
      <w:pPr>
        <w:spacing w:after="0" w:line="240" w:lineRule="auto"/>
        <w:jc w:val="both"/>
        <w:rPr>
          <w:rFonts w:cs="Times New Roman"/>
          <w:szCs w:val="24"/>
          <w:lang w:eastAsia="lt-LT" w:bidi="lt-LT"/>
        </w:rPr>
      </w:pPr>
    </w:p>
    <w:p w:rsidR="00201304" w:rsidRPr="00720C6E" w:rsidRDefault="00201304" w:rsidP="0020130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lang w:bidi="lt-LT"/>
        </w:rPr>
      </w:pPr>
      <w:r w:rsidRPr="00720C6E">
        <w:rPr>
          <w:rFonts w:cs="Times New Roman"/>
          <w:b/>
          <w:szCs w:val="24"/>
          <w:lang w:bidi="lt-LT"/>
        </w:rPr>
        <w:t>Biudžeto priemonė konvergencijai ir konkurencingumui skatinti (BICC) – ataskaita dėl tarpvyriausybinio susitarimo (IGA)</w:t>
      </w:r>
    </w:p>
    <w:p w:rsidR="00201304" w:rsidRPr="00720C6E" w:rsidRDefault="00201304" w:rsidP="00201304">
      <w:pPr>
        <w:spacing w:after="0" w:line="240" w:lineRule="auto"/>
        <w:jc w:val="both"/>
        <w:rPr>
          <w:rFonts w:cs="Times New Roman"/>
          <w:szCs w:val="24"/>
          <w:lang w:eastAsia="lt-LT" w:bidi="lt-LT"/>
        </w:rPr>
      </w:pPr>
    </w:p>
    <w:p w:rsidR="00201304" w:rsidRPr="00720C6E" w:rsidRDefault="00A67809" w:rsidP="00201304">
      <w:pPr>
        <w:spacing w:after="0" w:line="240" w:lineRule="auto"/>
        <w:jc w:val="both"/>
        <w:rPr>
          <w:rFonts w:cs="Times New Roman"/>
          <w:szCs w:val="24"/>
        </w:rPr>
      </w:pPr>
      <w:r>
        <w:rPr>
          <w:rFonts w:cs="Times New Roman"/>
          <w:b/>
          <w:szCs w:val="24"/>
          <w:u w:val="single"/>
        </w:rPr>
        <w:t>Klausimo esmė.</w:t>
      </w:r>
      <w:r w:rsidR="00201304" w:rsidRPr="00720C6E">
        <w:rPr>
          <w:rFonts w:cs="Times New Roman"/>
          <w:szCs w:val="24"/>
        </w:rPr>
        <w:t xml:space="preserve"> </w:t>
      </w:r>
      <w:r w:rsidR="00201304" w:rsidRPr="00720C6E">
        <w:rPr>
          <w:rFonts w:eastAsia="Times New Roman" w:cs="Times New Roman"/>
          <w:szCs w:val="24"/>
          <w:lang w:eastAsia="lt-LT"/>
        </w:rPr>
        <w:t xml:space="preserve">Euro darbo grupė parengė ataskaitą dėl IGA </w:t>
      </w:r>
      <w:r>
        <w:rPr>
          <w:rFonts w:eastAsia="Times New Roman" w:cs="Times New Roman"/>
          <w:szCs w:val="24"/>
          <w:lang w:eastAsia="lt-LT"/>
        </w:rPr>
        <w:t xml:space="preserve">(tarpvyriausybinis susitarimas) </w:t>
      </w:r>
      <w:r w:rsidR="00201304" w:rsidRPr="00720C6E">
        <w:rPr>
          <w:rFonts w:eastAsia="Times New Roman" w:cs="Times New Roman"/>
          <w:szCs w:val="24"/>
          <w:lang w:eastAsia="lt-LT"/>
        </w:rPr>
        <w:t>poreikio, turinio, modalumų ir dydžio.</w:t>
      </w:r>
    </w:p>
    <w:p w:rsidR="00201304" w:rsidRPr="00720C6E" w:rsidRDefault="00A67809" w:rsidP="00201304">
      <w:pPr>
        <w:spacing w:after="0" w:line="240" w:lineRule="auto"/>
        <w:jc w:val="both"/>
        <w:rPr>
          <w:rFonts w:eastAsia="Calibri" w:cs="Times New Roman"/>
          <w:color w:val="000000"/>
          <w:szCs w:val="24"/>
        </w:rPr>
      </w:pPr>
      <w:r>
        <w:rPr>
          <w:rFonts w:eastAsia="Calibri" w:cs="Times New Roman"/>
          <w:color w:val="000000"/>
          <w:szCs w:val="24"/>
        </w:rPr>
        <w:t>2019 m. s</w:t>
      </w:r>
      <w:r w:rsidR="00201304" w:rsidRPr="00720C6E">
        <w:rPr>
          <w:rFonts w:eastAsia="Calibri" w:cs="Times New Roman"/>
          <w:color w:val="000000"/>
          <w:szCs w:val="24"/>
        </w:rPr>
        <w:t xml:space="preserve">palio 10 d. Euro </w:t>
      </w:r>
      <w:proofErr w:type="spellStart"/>
      <w:r w:rsidR="00201304" w:rsidRPr="00720C6E">
        <w:rPr>
          <w:rFonts w:eastAsia="Calibri" w:cs="Times New Roman"/>
          <w:color w:val="000000"/>
          <w:szCs w:val="24"/>
        </w:rPr>
        <w:t>Summit</w:t>
      </w:r>
      <w:proofErr w:type="spellEnd"/>
      <w:r w:rsidR="00201304" w:rsidRPr="00720C6E">
        <w:rPr>
          <w:rFonts w:eastAsia="Calibri" w:cs="Times New Roman"/>
          <w:color w:val="000000"/>
          <w:szCs w:val="24"/>
        </w:rPr>
        <w:t xml:space="preserve"> parengtame dokumente buvo numatyta, kad Euro darbo grupė parengs ataskaitą dėl tarpvyriausybinio susitarimo (IGA), pagal kurį VN turėtų skirti papildomus įnašus BICC </w:t>
      </w:r>
      <w:r w:rsidR="00FB3F9A" w:rsidRPr="00FB3F9A">
        <w:rPr>
          <w:rFonts w:cs="Times New Roman"/>
          <w:i/>
          <w:szCs w:val="24"/>
          <w:lang w:bidi="lt-LT"/>
        </w:rPr>
        <w:t>(Biudžeto priemonė konvergencijai ir konkurencingumui skatinti)</w:t>
      </w:r>
      <w:r w:rsidR="00FB3F9A">
        <w:rPr>
          <w:rFonts w:cs="Times New Roman"/>
          <w:i/>
          <w:szCs w:val="24"/>
          <w:lang w:bidi="lt-LT"/>
        </w:rPr>
        <w:t xml:space="preserve"> </w:t>
      </w:r>
      <w:r w:rsidR="00201304" w:rsidRPr="00720C6E">
        <w:rPr>
          <w:rFonts w:eastAsia="Calibri" w:cs="Times New Roman"/>
          <w:color w:val="000000"/>
          <w:szCs w:val="24"/>
        </w:rPr>
        <w:t xml:space="preserve">finansavimui, poreikio, turinio, modalumų ir dydžio. Pirminis ataskaitos variantas buvo detaliau aptartas vasario 6 d. vykusiame Euro darbo grupės posėdyje, bet dėl kai kurių ataskaitos dalių, ypač dėl paragrafo, susijusio su visų VN dalyvavimu tarpvyriausybiniame susitarime, toliau vyks diskusijos kituose formatuose.  </w:t>
      </w:r>
    </w:p>
    <w:p w:rsidR="00201304" w:rsidRPr="00720C6E" w:rsidRDefault="00201304" w:rsidP="00201304">
      <w:pPr>
        <w:spacing w:after="0" w:line="240" w:lineRule="auto"/>
        <w:jc w:val="both"/>
        <w:rPr>
          <w:rFonts w:eastAsia="Calibri" w:cs="Times New Roman"/>
          <w:color w:val="000000"/>
          <w:szCs w:val="24"/>
        </w:rPr>
      </w:pPr>
      <w:r w:rsidRPr="00720C6E">
        <w:rPr>
          <w:rFonts w:eastAsia="Calibri" w:cs="Times New Roman"/>
          <w:color w:val="000000"/>
          <w:szCs w:val="24"/>
        </w:rPr>
        <w:t xml:space="preserve">Nuomonės dėl tarpvyriausybinio susitarimo poreikio toliau ženkliai skiriasi. Dalis šalių – tokios kaip FR, IT, ESP, EL, DE - pasisako už privalomą IGA, kitos - NL, LV, EE, </w:t>
      </w:r>
      <w:r w:rsidRPr="00FB3F9A">
        <w:rPr>
          <w:rFonts w:eastAsia="Calibri" w:cs="Times New Roman"/>
          <w:b/>
          <w:color w:val="000000"/>
          <w:szCs w:val="24"/>
        </w:rPr>
        <w:t>LT</w:t>
      </w:r>
      <w:r w:rsidRPr="00720C6E">
        <w:rPr>
          <w:rFonts w:eastAsia="Calibri" w:cs="Times New Roman"/>
          <w:color w:val="000000"/>
          <w:szCs w:val="24"/>
        </w:rPr>
        <w:t xml:space="preserve">, MT, BE, IE, LU, AT – laikosi pozicijos, kad dalyvavimas IGA gali būti tik savanoriškas. </w:t>
      </w:r>
      <w:r w:rsidRPr="00720C6E">
        <w:rPr>
          <w:rFonts w:cs="Times New Roman"/>
          <w:szCs w:val="24"/>
        </w:rPr>
        <w:t xml:space="preserve">Svarbu paminėti, kad </w:t>
      </w:r>
      <w:r w:rsidR="00FB3F9A">
        <w:rPr>
          <w:rFonts w:cs="Times New Roman"/>
          <w:szCs w:val="24"/>
        </w:rPr>
        <w:t xml:space="preserve">2019 m. </w:t>
      </w:r>
      <w:r w:rsidRPr="00720C6E">
        <w:rPr>
          <w:rFonts w:cs="Times New Roman"/>
          <w:szCs w:val="24"/>
        </w:rPr>
        <w:t>spalio 15 d. Teisės tarnybos pateikė išvadą, kurioje teigiama, kad VN yra laisvos apsispręsti ir ES sutartys ar antriniai ES teisės aktai negali VN priversti dalyvauti IGA.</w:t>
      </w:r>
    </w:p>
    <w:p w:rsidR="00201304" w:rsidRPr="00720C6E" w:rsidRDefault="00201304" w:rsidP="00201304">
      <w:pPr>
        <w:spacing w:after="0" w:line="240" w:lineRule="auto"/>
        <w:jc w:val="both"/>
        <w:rPr>
          <w:rFonts w:eastAsia="Calibri" w:cs="Times New Roman"/>
          <w:color w:val="000000"/>
          <w:szCs w:val="24"/>
        </w:rPr>
      </w:pPr>
      <w:r w:rsidRPr="00720C6E">
        <w:rPr>
          <w:rFonts w:eastAsia="Calibri" w:cs="Times New Roman"/>
          <w:color w:val="000000"/>
          <w:szCs w:val="24"/>
        </w:rPr>
        <w:t xml:space="preserve">Vasario 17 d. Euro grupės posėdyje remiantis šios ataskaitos pagrindu bus </w:t>
      </w:r>
      <w:r w:rsidR="001E0AC8">
        <w:rPr>
          <w:rFonts w:eastAsia="Calibri" w:cs="Times New Roman"/>
          <w:color w:val="000000"/>
          <w:szCs w:val="24"/>
        </w:rPr>
        <w:t>svarstoma</w:t>
      </w:r>
      <w:r w:rsidRPr="00720C6E">
        <w:rPr>
          <w:rFonts w:eastAsia="Calibri" w:cs="Times New Roman"/>
          <w:color w:val="000000"/>
          <w:szCs w:val="24"/>
        </w:rPr>
        <w:t xml:space="preserve"> dėl IGA poreikio. Sprendimas reikalingas siekiant pasiekti sutarimą dėl BICC DFP kontekste. </w:t>
      </w:r>
      <w:r w:rsidRPr="00720C6E">
        <w:rPr>
          <w:rFonts w:eastAsia="Calibri" w:cs="Times New Roman"/>
          <w:szCs w:val="24"/>
        </w:rPr>
        <w:t>FI pateiktame Derybų pakete dėl kitos DFP numatoma, kad instrumento dydis turėtų siekti 12,9 mlrd. EUR.</w:t>
      </w:r>
    </w:p>
    <w:p w:rsidR="00201304" w:rsidRPr="00720C6E" w:rsidRDefault="00201304" w:rsidP="00201304">
      <w:pPr>
        <w:spacing w:after="0" w:line="240" w:lineRule="auto"/>
        <w:jc w:val="both"/>
        <w:rPr>
          <w:rFonts w:cs="Times New Roman"/>
          <w:szCs w:val="24"/>
        </w:rPr>
      </w:pPr>
      <w:r w:rsidRPr="00720C6E">
        <w:rPr>
          <w:rFonts w:cs="Times New Roman"/>
          <w:b/>
          <w:szCs w:val="24"/>
          <w:u w:val="single"/>
        </w:rPr>
        <w:t>Lietuvos pozicija</w:t>
      </w:r>
      <w:r w:rsidR="00A67809">
        <w:rPr>
          <w:rFonts w:cs="Times New Roman"/>
          <w:szCs w:val="24"/>
        </w:rPr>
        <w:t>.</w:t>
      </w:r>
      <w:r w:rsidRPr="00720C6E">
        <w:rPr>
          <w:rFonts w:cs="Times New Roman"/>
          <w:szCs w:val="24"/>
        </w:rPr>
        <w:t xml:space="preserve"> </w:t>
      </w:r>
      <w:bookmarkStart w:id="0" w:name="_GoBack"/>
      <w:bookmarkEnd w:id="0"/>
      <w:r w:rsidRPr="00720C6E">
        <w:rPr>
          <w:rFonts w:cs="Times New Roman"/>
          <w:szCs w:val="24"/>
        </w:rPr>
        <w:t>Manome, kad parengtas ataskaitos tekstas yra subalansuotas ir tinkamai atspindintis skirtingas valstybių narių pozicijas.</w:t>
      </w:r>
    </w:p>
    <w:p w:rsidR="00201304" w:rsidRPr="00720C6E" w:rsidRDefault="00201304" w:rsidP="00201304">
      <w:pPr>
        <w:spacing w:after="0" w:line="240" w:lineRule="auto"/>
        <w:jc w:val="both"/>
        <w:rPr>
          <w:rFonts w:cs="Times New Roman"/>
          <w:szCs w:val="24"/>
        </w:rPr>
      </w:pPr>
      <w:r w:rsidRPr="00720C6E">
        <w:rPr>
          <w:rFonts w:cs="Times New Roman"/>
          <w:szCs w:val="24"/>
        </w:rPr>
        <w:t xml:space="preserve">Toliau laikomės pozicijos, kad papildomi įnašai į šią priemonę galimi ir be IGA, o, jeigu būtų nuspręsta, kad toks susitarimas yra reikalingas, tai dalyvavimas jame neturi būti privalomas. </w:t>
      </w:r>
    </w:p>
    <w:p w:rsidR="00511707" w:rsidRPr="00720C6E" w:rsidRDefault="00511707" w:rsidP="004F5635">
      <w:pPr>
        <w:spacing w:after="0" w:line="240" w:lineRule="auto"/>
        <w:jc w:val="both"/>
        <w:rPr>
          <w:rFonts w:cs="Times New Roman"/>
          <w:szCs w:val="24"/>
          <w:lang w:eastAsia="lt-LT" w:bidi="lt-LT"/>
        </w:rPr>
      </w:pPr>
    </w:p>
    <w:p w:rsidR="00511707" w:rsidRPr="00FB3F9A" w:rsidRDefault="00511707" w:rsidP="004F5635">
      <w:pPr>
        <w:spacing w:after="0" w:line="240" w:lineRule="auto"/>
        <w:jc w:val="both"/>
        <w:rPr>
          <w:rFonts w:cs="Times New Roman"/>
          <w:i/>
          <w:szCs w:val="24"/>
          <w:lang w:eastAsia="lt-LT" w:bidi="lt-LT"/>
        </w:rPr>
      </w:pPr>
    </w:p>
    <w:p w:rsidR="00511707" w:rsidRPr="00720C6E" w:rsidRDefault="00511707" w:rsidP="004F5635">
      <w:pPr>
        <w:spacing w:after="0" w:line="240" w:lineRule="auto"/>
        <w:jc w:val="both"/>
        <w:rPr>
          <w:rFonts w:cs="Times New Roman"/>
          <w:szCs w:val="24"/>
          <w:lang w:eastAsia="lt-LT" w:bidi="lt-LT"/>
        </w:rPr>
      </w:pPr>
    </w:p>
    <w:p w:rsidR="00511707" w:rsidRPr="00720C6E" w:rsidRDefault="00511707" w:rsidP="004F5635">
      <w:pPr>
        <w:spacing w:after="0" w:line="240" w:lineRule="auto"/>
        <w:jc w:val="both"/>
        <w:rPr>
          <w:rFonts w:cs="Times New Roman"/>
          <w:szCs w:val="24"/>
          <w:lang w:eastAsia="lt-LT" w:bidi="lt-LT"/>
        </w:rPr>
      </w:pPr>
    </w:p>
    <w:sectPr w:rsidR="00511707" w:rsidRPr="00720C6E"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9EB" w:rsidRDefault="005059EB" w:rsidP="005059EB">
      <w:pPr>
        <w:spacing w:after="0" w:line="240" w:lineRule="auto"/>
      </w:pPr>
      <w:r>
        <w:separator/>
      </w:r>
    </w:p>
  </w:endnote>
  <w:endnote w:type="continuationSeparator" w:id="0">
    <w:p w:rsidR="005059EB" w:rsidRDefault="005059EB"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1E0AC8">
          <w:rPr>
            <w:noProof/>
          </w:rPr>
          <w:t>7</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9EB" w:rsidRDefault="005059EB" w:rsidP="005059EB">
      <w:pPr>
        <w:spacing w:after="0" w:line="240" w:lineRule="auto"/>
      </w:pPr>
      <w:r>
        <w:separator/>
      </w:r>
    </w:p>
  </w:footnote>
  <w:footnote w:type="continuationSeparator" w:id="0">
    <w:p w:rsidR="005059EB" w:rsidRDefault="005059EB"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1">
    <w:nsid w:val="07BE4261"/>
    <w:multiLevelType w:val="hybridMultilevel"/>
    <w:tmpl w:val="AC420682"/>
    <w:lvl w:ilvl="0" w:tplc="FA788C5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D47BA3"/>
    <w:multiLevelType w:val="hybridMultilevel"/>
    <w:tmpl w:val="3DF420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99822"/>
    <w:multiLevelType w:val="hybridMultilevel"/>
    <w:tmpl w:val="F49ED158"/>
    <w:lvl w:ilvl="0" w:tplc="BB10ED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5">
    <w:nsid w:val="2A8145C4"/>
    <w:multiLevelType w:val="hybridMultilevel"/>
    <w:tmpl w:val="48D0C9FE"/>
    <w:lvl w:ilvl="0" w:tplc="FECA3C00">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4D514B1"/>
    <w:multiLevelType w:val="hybridMultilevel"/>
    <w:tmpl w:val="45F2CF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733647"/>
    <w:multiLevelType w:val="hybridMultilevel"/>
    <w:tmpl w:val="CFD84F18"/>
    <w:lvl w:ilvl="0" w:tplc="DA1E6FFE">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8">
    <w:nsid w:val="388D3953"/>
    <w:multiLevelType w:val="hybridMultilevel"/>
    <w:tmpl w:val="099E550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CEA3074"/>
    <w:multiLevelType w:val="hybridMultilevel"/>
    <w:tmpl w:val="4E2698BE"/>
    <w:lvl w:ilvl="0" w:tplc="1574751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1AE34EA"/>
    <w:multiLevelType w:val="hybridMultilevel"/>
    <w:tmpl w:val="2042E2E8"/>
    <w:lvl w:ilvl="0" w:tplc="8D72D7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2">
    <w:nsid w:val="7B3F7B7A"/>
    <w:multiLevelType w:val="hybridMultilevel"/>
    <w:tmpl w:val="9138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4"/>
  </w:num>
  <w:num w:numId="6">
    <w:abstractNumId w:val="11"/>
  </w:num>
  <w:num w:numId="7">
    <w:abstractNumId w:val="7"/>
  </w:num>
  <w:num w:numId="8">
    <w:abstractNumId w:val="1"/>
  </w:num>
  <w:num w:numId="9">
    <w:abstractNumId w:val="8"/>
  </w:num>
  <w:num w:numId="10">
    <w:abstractNumId w:val="6"/>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769A5"/>
    <w:rsid w:val="0011678C"/>
    <w:rsid w:val="001815A1"/>
    <w:rsid w:val="0018263F"/>
    <w:rsid w:val="00187F2F"/>
    <w:rsid w:val="001E0AC8"/>
    <w:rsid w:val="00201304"/>
    <w:rsid w:val="00244C46"/>
    <w:rsid w:val="002914B1"/>
    <w:rsid w:val="002E7316"/>
    <w:rsid w:val="0039677B"/>
    <w:rsid w:val="00405345"/>
    <w:rsid w:val="0040729F"/>
    <w:rsid w:val="00455FB7"/>
    <w:rsid w:val="004F5635"/>
    <w:rsid w:val="005059EB"/>
    <w:rsid w:val="00511707"/>
    <w:rsid w:val="00547D85"/>
    <w:rsid w:val="005706F9"/>
    <w:rsid w:val="006E224F"/>
    <w:rsid w:val="00720C6E"/>
    <w:rsid w:val="00745E44"/>
    <w:rsid w:val="007731A8"/>
    <w:rsid w:val="00793E3C"/>
    <w:rsid w:val="007B02BB"/>
    <w:rsid w:val="008E7545"/>
    <w:rsid w:val="009202C6"/>
    <w:rsid w:val="009633E2"/>
    <w:rsid w:val="009B3952"/>
    <w:rsid w:val="009C336F"/>
    <w:rsid w:val="009D4D70"/>
    <w:rsid w:val="00A00AAA"/>
    <w:rsid w:val="00A0435E"/>
    <w:rsid w:val="00A369D4"/>
    <w:rsid w:val="00A67809"/>
    <w:rsid w:val="00B9638E"/>
    <w:rsid w:val="00B97A6B"/>
    <w:rsid w:val="00BB78AE"/>
    <w:rsid w:val="00BD577A"/>
    <w:rsid w:val="00BE1479"/>
    <w:rsid w:val="00C55FA8"/>
    <w:rsid w:val="00C7657E"/>
    <w:rsid w:val="00C83F3B"/>
    <w:rsid w:val="00D33DBA"/>
    <w:rsid w:val="00E551ED"/>
    <w:rsid w:val="00E6493F"/>
    <w:rsid w:val="00EB1704"/>
    <w:rsid w:val="00F502DC"/>
    <w:rsid w:val="00FB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BC8A-CF6F-44D6-9F0C-E55D0E8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16492</Words>
  <Characters>9401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Markevičius</dc:creator>
  <cp:keywords/>
  <dc:description/>
  <cp:lastModifiedBy>Jelena Vysockaja-Mockienė</cp:lastModifiedBy>
  <cp:revision>29</cp:revision>
  <dcterms:created xsi:type="dcterms:W3CDTF">2020-02-07T08:41:00Z</dcterms:created>
  <dcterms:modified xsi:type="dcterms:W3CDTF">2020-02-10T14:58:00Z</dcterms:modified>
</cp:coreProperties>
</file>