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847e6b9fce2847289422977f57a15616"/>
        <w:lock w:val="sdtLocked"/>
        <w:richText/>
      </w:sdtPr>
      <w:sdtContent>
        <w:p>
          <w:pPr>
            <w:suppressAutoHyphens/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suppressAutoHyphens/>
            <w:jc w:val="center"/>
            <w:rPr>
              <w:lang w:eastAsia="lt-LT"/>
            </w:rPr>
          </w:pPr>
        </w:p>
        <w:p>
          <w:pPr>
            <w:suppressAutoHyphens/>
            <w:jc w:val="center"/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suppressAutoHyphens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>
          <w:pPr>
            <w:suppressAutoHyphens/>
            <w:jc w:val="center"/>
            <w:rPr>
              <w:caps/>
              <w:lang w:eastAsia="lt-LT"/>
            </w:rPr>
          </w:pPr>
        </w:p>
        <w:p>
          <w:pPr>
            <w:suppressAutoHyphens/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widowControl w:val="0"/>
            <w:suppressAutoHyphens/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DĖL LIETUVOS RESPUBLIKOS 2017 M. BALANDŽIO 5 D. NUTARIMO NR. 253 „DĖL LIETUVOS RESPUBLIKOS VALSTYBĖS IR SAVIVALDYBIŲ ĮSTAIGŲ DARBUOTOJŲ DARBO APMOKĖJIMO IR KOMISIJŲ NARIŲ ATLYGIO UŽ DARBĄ ĮSTATYMO ĮGYVENDINIMO“ PAKEITIMO</w:t>
          </w:r>
        </w:p>
        <w:p>
          <w:pPr>
            <w:tabs>
              <w:tab w:val="center" w:pos="4153"/>
              <w:tab w:val="right" w:pos="8306"/>
            </w:tabs>
            <w:suppressAutoHyphens/>
            <w:rPr>
              <w:lang w:eastAsia="lt-LT"/>
            </w:rPr>
          </w:pPr>
        </w:p>
        <w:p>
          <w:pPr>
            <w:suppressAutoHyphens/>
            <w:ind w:firstLine="60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>
          <w:pPr>
            <w:suppressAutoHyphens/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suppressAutoHyphens/>
            <w:jc w:val="center"/>
            <w:rPr>
              <w:lang w:eastAsia="lt-LT"/>
            </w:rPr>
          </w:pPr>
        </w:p>
        <w:sdt>
          <w:sdtPr>
            <w:alias w:val="preambule"/>
            <w:tag w:val="part_5dc7cd9e0a534e86a48b4228309cb0e3"/>
            <w:lock w:val="sdtLocked"/>
            <w:richText/>
          </w:sdtPr>
          <w:sdtContent>
            <w:p>
              <w:pPr>
                <w:suppressAutoHyphens/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pastraipa"/>
            <w:tag w:val="part_67381d80bc3b47d9afed15e4043b8355"/>
            <w:lock w:val="sdtLocked"/>
            <w:richText/>
          </w:sdtPr>
          <w:sdtContent>
            <w:p>
              <w:pPr>
                <w:suppressAutoHyphens/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Pakeisti Lietuvos Respublikos Vyriausybės 2017 m. balandžio 5 d. nutarimą Nr. 253 „Dėl Lietuvos Respublikos valstybės ir savivaldybių įstaigų darbuotojų darbo apmokėjimo ir komisijų narių atlygio už darbą įstatymo įgyvendinimo“ ir jį papildyti 2.1.3 papunkčiu:</w:t>
              </w:r>
            </w:p>
            <w:sdt>
              <w:sdtPr>
                <w:alias w:val="citata"/>
                <w:tag w:val="part_2a26a32a91b3400c97feff371939635a"/>
                <w:lock w:val="sdtLocked"/>
                <w:richText/>
              </w:sdtPr>
              <w:sdtContent>
                <w:sdt>
                  <w:sdtPr>
                    <w:alias w:val="2.1.3 pp."/>
                    <w:tag w:val="part_3ba7d38cfb0a4f2fbef64404681888a6"/>
                    <w:lock w:val="sdtLocked"/>
                    <w:richText/>
                  </w:sdtPr>
                  <w:sdtContent>
                    <w:p>
                      <w:pPr>
                        <w:suppressAutoHyphens/>
                        <w:spacing w:line="360" w:lineRule="atLeast"/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„</w:t>
                      </w:r>
                      <w:sdt>
                        <w:sdtPr>
                          <w:alias w:val="Numeris"/>
                          <w:tag w:val="nr_3ba7d38cfb0a4f2fbef64404681888a6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  <w:lang w:eastAsia="lt-LT"/>
                            </w:rPr>
                            <w:t>2.1.3</w:t>
                          </w:r>
                        </w:sdtContent>
                      </w:sdt>
                      <w:r>
                        <w:rPr>
                          <w:szCs w:val="24"/>
                          <w:lang w:eastAsia="lt-LT"/>
                        </w:rPr>
                        <w:t>. nustatyti Nevyriausybinių organizacijų fondo tarybos narių atlygio dydį ir mokėjimo tvarką;“.</w:t>
                      </w:r>
                    </w:p>
                    <w:p>
                      <w:pPr>
                        <w:suppressAutoHyphens/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</w:p>
                    <w:p>
                      <w:pPr>
                        <w:suppressAutoHyphens/>
                        <w:jc w:val="both"/>
                        <w:rPr>
                          <w:lang w:eastAsia="lt-LT"/>
                        </w:rPr>
                      </w:pPr>
                    </w:p>
                    <w:p>
                      <w:pPr>
                        <w:suppressAutoHyphens/>
                        <w:jc w:val="both"/>
                        <w:rPr>
                          <w:lang w:eastAsia="lt-LT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alias w:val="signatura"/>
            <w:tag w:val="part_b847d53105954a27a813030e0d838139"/>
            <w:lock w:val="sdtLocked"/>
            <w:richText/>
          </w:sdtPr>
          <w:sdtContent>
            <w:p>
              <w:pPr>
                <w:tabs>
                  <w:tab w:val="center" w:pos="-7800"/>
                  <w:tab w:val="center" w:pos="4153"/>
                  <w:tab w:val="left" w:pos="6237"/>
                  <w:tab w:val="right" w:pos="8306"/>
                </w:tabs>
                <w:suppressAutoHyphens/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  <w:tab/>
                <w:tab/>
                <w:t xml:space="preserve">  </w:t>
              </w:r>
            </w:p>
            <w:p>
              <w:pPr>
                <w:tabs>
                  <w:tab w:val="center" w:pos="-7800"/>
                  <w:tab w:val="center" w:pos="4153"/>
                  <w:tab w:val="left" w:pos="6237"/>
                  <w:tab w:val="right" w:pos="8306"/>
                </w:tabs>
                <w:suppressAutoHyphens/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center" w:pos="4153"/>
                  <w:tab w:val="left" w:pos="6237"/>
                  <w:tab w:val="right" w:pos="8306"/>
                </w:tabs>
                <w:suppressAutoHyphens/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center" w:pos="4153"/>
                  <w:tab w:val="left" w:pos="6237"/>
                  <w:tab w:val="right" w:pos="8306"/>
                </w:tabs>
                <w:suppressAutoHyphens/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center" w:pos="4153"/>
                  <w:tab w:val="left" w:pos="6237"/>
                  <w:tab w:val="right" w:pos="8306"/>
                </w:tabs>
                <w:suppressAutoHyphens/>
                <w:rPr>
                  <w:lang w:eastAsia="lt-LT"/>
                </w:rPr>
              </w:pPr>
              <w:r>
                <w:rPr>
                  <w:lang w:eastAsia="lt-LT"/>
                </w:rPr>
                <w:t>Švietimo, mokslo ir sporto ministras,</w:t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suppressAutoHyphens/>
                <w:rPr>
                  <w:lang w:eastAsia="lt-LT"/>
                </w:rPr>
              </w:pPr>
              <w:r>
                <w:rPr>
                  <w:lang w:eastAsia="lt-LT"/>
                </w:rPr>
                <w:t>pavaduojantis socialinės apsaugos ir darbo ministrą</w:t>
                <w:tab/>
                <w:tab/>
                <w:tab/>
              </w: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0" w:gutter="0"/>
      <w:cols w:space="1296"/>
      <w:formProt w:val="0"/>
      <w:titlePg/>
      <w:docGrid w:linePitch="10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uppressAutoHyphens/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uppressAutoHyphens/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uppressAutoHyphens/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uppressAutoHyphens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uppressAutoHyphens/>
      <w:rPr>
        <w:lang w:eastAsia="lt-LT"/>
      </w:rPr>
    </w:pPr>
    <w:r>
      <w:rPr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0F426B" wp14:editId="1173AC2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uppressAutoHyphens/>
                            <w:rPr>
                              <w:lang w:eastAsia="lt-LT"/>
                            </w:rPr>
                          </w:pPr>
                          <w:r>
                            <w:rPr>
                              <w:lang w:eastAsia="lt-LT"/>
                            </w:rPr>
                            <w:fldChar w:fldCharType="begin"/>
                          </w:r>
                          <w:r>
                            <w:rPr>
                              <w:lang w:eastAsia="lt-LT"/>
                            </w:rPr>
                            <w:instrText>PAGE</w:instrText>
                          </w:r>
                          <w:r>
                            <w:rPr>
                              <w:lang w:eastAsia="lt-LT"/>
                            </w:rPr>
                            <w:fldChar w:fldCharType="separate"/>
                          </w:r>
                          <w:r>
                            <w:rPr>
                              <w:lang w:eastAsia="lt-LT"/>
                            </w:rPr>
                            <w:t>0</w:t>
                          </w:r>
                          <w:r>
                            <w:rPr>
                              <w:lang w:eastAsia="lt-LT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hueLrwEAAGMDAAAOAAAAZHJzL2Uyb0RvYy54bWysU81u2zAMvg/YOwi6L3aKrRiMOMXawsOA YRvQ7QFkWY4FSKJAqrHz9qPkJC222zAfJP7pIz+S3t0t3omjQbIQWrnd1FKYoGGw4dDKXz+7dx+l oKTCoBwE08qTIXm3f/tmN8fG3MAEbjAoGCRQM8dWTinFpqpIT8Yr2kA0gZ0joFeJVTxUA6qZ0b2r bur6tpoBh4igDRFbH1en3Bf8cTQ6fR9HMkm4VnJtqZxYzj6f1X6nmgOqOFl9LkP9QxVe2cBJr1CP KinxjPYvKG81AsGYNhp8BeNotSkcmM22/oPN06SiKVy4ORSvbaL/B6u/HX+gsAPPToqgPI+oQ762 uTNzpIYDniKHpOUelhx1thMbM+FlRJ9vpiLYzz0+XftqliR0fvT+tv4ghWbPKjJG9fI0IqXPBrzI QiuRh1Z6qY5fKa2hl5CcicDZobPOFQUP/YNDcVQ84K5861sXJ7Vay5A5Ha2hJfUrjCqzXNlkKS39 cqbYw3Bi5u5L4Ibn5bkIeBH6i6CCnoDXai2c4qfnBJ0txWfQFYkzZ4UnWWo4b11eldd6iXr5N/a/ AQAA//8DAFBLAwQUAAYACAAAACEA73KSitgAAAABAQAADwAAAGRycy9kb3ducmV2LnhtbEyPQUsD MRCF70L/QxjBm81aReq62VIKCxZFbdV7moy7S5PJkqTt+u+dnvQ0vHnDe99Ui9E7ccSY+kAKbqYF CCQTbE+tgs+P5noOImVNVrtAqOAHEyzqyUWlSxtOtMHjNreCQyiVWkGX81BKmUyHXqdpGJDY+w7R 68wyttJGfeJw7+SsKO6l1z1xQ6cHXHVo9tuDV5CafXp7Xcan968HR41Zv6zDs1Hq6nJcPoLIOOa/ YzjjMzrUzLQLB7JJOAX8SD5vBXuzWxA7Hncg60r+J69/AQAA//8DAFBLAQItABQABgAIAAAAIQC2 gziS/gAAAOEBAAATAAAAAAAAAAAAAAAAAAAAAABbQ29udGVudF9UeXBlc10ueG1sUEsBAi0AFAAG AAgAAAAhADj9If/WAAAAlAEAAAsAAAAAAAAAAAAAAAAALwEAAF9yZWxzLy5yZWxzUEsBAi0AFAAG AAgAAAAhALuG54uvAQAAYwMAAA4AAAAAAAAAAAAAAAAALgIAAGRycy9lMm9Eb2MueG1sUEsBAi0A FAAGAAgAAAAhAO9ykorYAAAAAQEAAA8AAAAAAAAAAAAAAAAACQQAAGRycy9kb3ducmV2LnhtbFBL BQYAAAAABAAEAPMAAAAOBQAAAAA= " stroked="f">
              <v:fill opacity="0"/>
              <v:textbox style="mso-fit-shape-to-text:t" inset="0,0,0,0">
                <w:txbxContent>
                  <w:p>
                    <w:pPr>
                      <w:tabs>
                        <w:tab w:val="center" w:leader="none" w:pos="4153"/>
                        <w:tab w:val="right" w:leader="none" w:pos="8306"/>
                      </w:tabs>
                      <w:suppressAutoHyphens w:val="1"/>
                      <w:rPr>
                        <w:rFonts w:ascii="Times New Roman" w:hAnsi="Times New Roman" w:eastAsia="Times New Roman" w:cs="Times New Roman"/>
                        <w:lang w:eastAsia="lt-LT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lang w:eastAsia="lt-LT"/>
                      </w:rPr>
                      <w:fldChar w:fldCharType="begin"/>
                    </w:r>
                    <w:r>
                      <w:rPr>
                        <w:rFonts w:ascii="Times New Roman" w:hAnsi="Times New Roman" w:eastAsia="Times New Roman" w:cs="Times New Roman"/>
                        <w:lang w:eastAsia="lt-LT"/>
                      </w:rPr>
                      <w:instrText>PAGE</w:instrText>
                    </w:r>
                    <w:r>
                      <w:rPr>
                        <w:rFonts w:ascii="Times New Roman" w:hAnsi="Times New Roman" w:eastAsia="Times New Roman" w:cs="Times New Roman"/>
                        <w:lang w:eastAsia="lt-LT"/>
                      </w:rP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lang w:eastAsia="lt-LT"/>
                      </w:rPr>
                      <w:t>0</w:t>
                    </w:r>
                    <w:r>
                      <w:rPr>
                        <w:rFonts w:ascii="Times New Roman" w:hAnsi="Times New Roman" w:eastAsia="Times New Roman" w:cs="Times New Roman"/>
                        <w:lang w:eastAsia="lt-LT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uppressAutoHyphens/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8a5f60b6ccda4cb18b5d1fcef448564c" PartId="847e6b9fce2847289422977f57a15616">
    <Part Type="preambule" DocPartId="cf7beabca42d478eb6cfd4b08441b607" PartId="5dc7cd9e0a534e86a48b4228309cb0e3"/>
    <Part Type="pastraipa" DocPartId="971df785ffb846f2a6d90095d4ba07da" PartId="67381d80bc3b47d9afed15e4043b8355">
      <Part Type="citata" DocPartId="be1b0ca1903b44d3be99d0c54070da26" PartId="2a26a32a91b3400c97feff371939635a">
        <Part Type="papunktis" Nr="2.1.3" Abbr="2.1.3 pp." DocPartId="92cb0e20975c481da8b3203a75394b99" PartId="3ba7d38cfb0a4f2fbef64404681888a6"/>
      </Part>
    </Part>
    <Part Type="signatura" DocPartId="acd175ecd18f41bfa1aa585c53dc676e" PartId="b847d53105954a27a813030e0d838139"/>
  </Part>
</Parts>
</file>

<file path=customXml/itemProps1.xml><?xml version="1.0" encoding="utf-8"?>
<ds:datastoreItem xmlns:ds="http://schemas.openxmlformats.org/officeDocument/2006/customXml" ds:itemID="{DACA784C-5849-43C2-9D44-C9D36A2A70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55B2B6-E13D-44B4-8809-40388136DBCB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717</Characters>
  <Application>Microsoft Office Word</Application>
  <DocSecurity>4</DocSecurity>
  <Lines>25</Lines>
  <Paragraphs>11</Paragraphs>
  <ScaleCrop>false</ScaleCrop>
  <Company>LRVK</Company>
  <LinksUpToDate>false</LinksUpToDate>
  <CharactersWithSpaces>811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2020-08-04T04:07:00Z</dcterms:created>
  <dc:creator>lrvk</dc:creator>
  <dc:language>en-US</dc:language>
  <cp:lastModifiedBy>Asseco</cp:lastModifiedBy>
  <cp:lastPrinted>2020-07-27T12:40:00Z</cp:lastPrinted>
  <dcterms:modified xsi:type="dcterms:W3CDTF">2020-08-04T04:07:00Z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LRVK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AdHocReviewCycleID">
    <vt:i4>1882856212</vt:i4>
  </property>
  <property fmtid="{D5CDD505-2E9C-101B-9397-08002B2CF9AE}" pid="10" name="_AuthorEmail">
    <vt:lpwstr>Aurelija.Olendraite@socmin.lt</vt:lpwstr>
  </property>
  <property fmtid="{D5CDD505-2E9C-101B-9397-08002B2CF9AE}" pid="11" name="_AuthorEmailDisplayName">
    <vt:lpwstr>Aurelija Olendraitė</vt:lpwstr>
  </property>
  <property fmtid="{D5CDD505-2E9C-101B-9397-08002B2CF9AE}" pid="12" name="_EmailSubject">
    <vt:lpwstr>sveikos, mielos stilistės, mums skubiai šiandien reikės jūsų pagalbos peržiūrint NVO tarybos nuostatus. Aurelija taiso ir paraleliai siunčia jums. Laaaabai jūsų prašau, padėkite mums,  nes ryt TAP.</vt:lpwstr>
  </property>
  <property fmtid="{D5CDD505-2E9C-101B-9397-08002B2CF9AE}" pid="13" name="_NewReviewCycle">
    <vt:lpwstr/>
  </property>
  <property fmtid="{D5CDD505-2E9C-101B-9397-08002B2CF9AE}" pid="14" name="_PreviousAdHocReviewCycleID">
    <vt:i4>-1501910789</vt:i4>
  </property>
  <property fmtid="{D5CDD505-2E9C-101B-9397-08002B2CF9AE}" pid="15" name="_ReviewingToolsShownOnce">
    <vt:lpwstr/>
  </property>
</Properties>
</file>