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D743" w14:textId="4C80862B" w:rsidR="00A07C4C" w:rsidRPr="006509A8" w:rsidRDefault="00A07C4C" w:rsidP="00691E9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91E9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91E90">
      <w:pPr>
        <w:pStyle w:val="Preformatted"/>
        <w:rPr>
          <w:rFonts w:ascii="Times New Roman" w:hAnsi="Times New Roman"/>
          <w:b/>
          <w:caps/>
          <w:sz w:val="24"/>
          <w:szCs w:val="24"/>
        </w:rPr>
      </w:pPr>
    </w:p>
    <w:p w14:paraId="14C6D745" w14:textId="77777777" w:rsidR="00A07C4C" w:rsidRDefault="00A07C4C" w:rsidP="00691E90">
      <w:pPr>
        <w:pStyle w:val="Preformatted"/>
        <w:jc w:val="center"/>
        <w:rPr>
          <w:rFonts w:ascii="Times New Roman" w:hAnsi="Times New Roman"/>
          <w:b/>
          <w:sz w:val="24"/>
        </w:rPr>
      </w:pPr>
      <w:r>
        <w:rPr>
          <w:rFonts w:ascii="Times New Roman" w:hAnsi="Times New Roman"/>
          <w:b/>
          <w:sz w:val="24"/>
        </w:rPr>
        <w:t>IŠVADA</w:t>
      </w:r>
    </w:p>
    <w:p w14:paraId="48268F50" w14:textId="581ADABC" w:rsidR="008E5016" w:rsidRPr="00895803" w:rsidRDefault="009F551A" w:rsidP="008E5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895803">
        <w:rPr>
          <w:b/>
          <w:bCs/>
          <w:sz w:val="24"/>
          <w:szCs w:val="24"/>
        </w:rPr>
        <w:t>DĖL LIETUVOS RESPUBLIKOS VYRIAUSYBĖS NUTARIM</w:t>
      </w:r>
      <w:r w:rsidR="008A3647" w:rsidRPr="00895803">
        <w:rPr>
          <w:b/>
          <w:bCs/>
          <w:sz w:val="24"/>
          <w:szCs w:val="24"/>
        </w:rPr>
        <w:t>Ų</w:t>
      </w:r>
      <w:r w:rsidR="008E5016" w:rsidRPr="00895803">
        <w:rPr>
          <w:b/>
          <w:bCs/>
          <w:sz w:val="24"/>
          <w:szCs w:val="24"/>
        </w:rPr>
        <w:t xml:space="preserve"> </w:t>
      </w:r>
    </w:p>
    <w:p w14:paraId="26D0535D" w14:textId="4886781D" w:rsidR="00074B0C" w:rsidRPr="00895803" w:rsidRDefault="008A3647" w:rsidP="00074B0C">
      <w:pPr>
        <w:spacing w:line="276" w:lineRule="auto"/>
        <w:ind w:right="-1"/>
        <w:jc w:val="center"/>
        <w:rPr>
          <w:b/>
          <w:bCs/>
          <w:sz w:val="24"/>
          <w:szCs w:val="24"/>
          <w:lang w:eastAsia="lt-LT"/>
        </w:rPr>
      </w:pPr>
      <w:r w:rsidRPr="00895803">
        <w:rPr>
          <w:b/>
          <w:bCs/>
          <w:caps/>
          <w:sz w:val="24"/>
          <w:szCs w:val="24"/>
        </w:rPr>
        <w:t xml:space="preserve">„DĖL BIUDŽETINių ĮSTAIGų VILNIAUS APSKRITIES GESTŲ KALBOS VERTĖJŲ CENTRO, KAUNO APSKRITIES GESTŲ KALBOS VERTĖJŲ CENTRO, kLAIPĖDOS APSKRITIES GESTŲ KALBOS VERTĖJŲ CENTRO, ŠIAULIŲ APSKRITIES GESTŲ KALBOS VERTĖJŲ CENTRO ir PANEVĖŽIO APSKRITIES GESTŲ KALBOS VERTĖJŲ CENTRO SAVININKO TEISIŲ IR PAREIGŲ PERDAVIMO neįgaliųjų reikALŲ DEPARTAMENTUI PRIE SOCIALINĖS APSAUGOS IR DARBO MINISTERIJOS“ </w:t>
      </w:r>
      <w:r w:rsidR="00695450">
        <w:rPr>
          <w:b/>
          <w:bCs/>
          <w:caps/>
          <w:sz w:val="24"/>
          <w:szCs w:val="24"/>
        </w:rPr>
        <w:t xml:space="preserve">(toliau – PrOjektas nr.1) </w:t>
      </w:r>
      <w:r w:rsidRPr="00895803">
        <w:rPr>
          <w:b/>
          <w:bCs/>
          <w:caps/>
          <w:sz w:val="24"/>
          <w:szCs w:val="24"/>
        </w:rPr>
        <w:t>IR  „DĖL LIETUVOS RESPUBLIKOS VYRIAUSYBĖS 2010 m. gegužės 26 d. nutarimo Nr. 627 „DĖL ĮGALIOJIMŲ SUTEIKIMO SOCIALINĖS APSAUGOS IR DARBO MINISTERIJAI ĮGYVENDINTI KAI KURIŲ BIUDŽETINIŲ ĮSTAIGŲ SAVININKO TEISES IR PAREIGAS</w:t>
      </w:r>
      <w:r w:rsidRPr="00895803">
        <w:rPr>
          <w:b/>
          <w:bCs/>
          <w:sz w:val="24"/>
          <w:szCs w:val="24"/>
        </w:rPr>
        <w:t>“</w:t>
      </w:r>
      <w:r w:rsidRPr="00895803">
        <w:rPr>
          <w:b/>
          <w:bCs/>
          <w:caps/>
          <w:sz w:val="24"/>
          <w:szCs w:val="24"/>
        </w:rPr>
        <w:t xml:space="preserve"> PAKEITIMO“</w:t>
      </w:r>
      <w:r w:rsidR="00695450">
        <w:rPr>
          <w:b/>
          <w:bCs/>
          <w:caps/>
          <w:sz w:val="24"/>
          <w:szCs w:val="24"/>
        </w:rPr>
        <w:t xml:space="preserve"> (toliau – proJektas nr.2) </w:t>
      </w:r>
      <w:r w:rsidR="00074B0C" w:rsidRPr="00895803">
        <w:rPr>
          <w:b/>
          <w:sz w:val="24"/>
          <w:szCs w:val="24"/>
        </w:rPr>
        <w:t>PROJEKT</w:t>
      </w:r>
      <w:r w:rsidRPr="00895803">
        <w:rPr>
          <w:b/>
          <w:sz w:val="24"/>
          <w:szCs w:val="24"/>
        </w:rPr>
        <w:t>Ų</w:t>
      </w:r>
      <w:r w:rsidR="003E1817" w:rsidRPr="00895803">
        <w:rPr>
          <w:b/>
          <w:bCs/>
          <w:sz w:val="24"/>
          <w:szCs w:val="24"/>
          <w:lang w:eastAsia="lt-LT"/>
        </w:rPr>
        <w:t xml:space="preserve"> </w:t>
      </w:r>
      <w:r w:rsidRPr="00895803">
        <w:rPr>
          <w:b/>
          <w:bCs/>
          <w:sz w:val="24"/>
          <w:szCs w:val="24"/>
          <w:lang w:eastAsia="lt-LT"/>
        </w:rPr>
        <w:t>(toliau</w:t>
      </w:r>
      <w:r w:rsidR="00695450">
        <w:rPr>
          <w:b/>
          <w:bCs/>
          <w:sz w:val="24"/>
          <w:szCs w:val="24"/>
          <w:lang w:eastAsia="lt-LT"/>
        </w:rPr>
        <w:t xml:space="preserve"> </w:t>
      </w:r>
      <w:r w:rsidRPr="00895803">
        <w:rPr>
          <w:b/>
          <w:bCs/>
          <w:sz w:val="24"/>
          <w:szCs w:val="24"/>
          <w:lang w:eastAsia="lt-LT"/>
        </w:rPr>
        <w:t xml:space="preserve">– Nutarimų projektai) </w:t>
      </w:r>
    </w:p>
    <w:p w14:paraId="6691E8CF" w14:textId="02F5FC42" w:rsidR="00A15F3A" w:rsidRPr="00074B0C" w:rsidRDefault="00A53E23" w:rsidP="00751D27">
      <w:pPr>
        <w:spacing w:line="276" w:lineRule="auto"/>
        <w:ind w:right="-1"/>
        <w:jc w:val="center"/>
        <w:rPr>
          <w:b/>
          <w:bCs/>
          <w:sz w:val="24"/>
          <w:szCs w:val="24"/>
          <w:lang w:eastAsia="lt-LT"/>
        </w:rPr>
      </w:pPr>
      <w:r w:rsidRPr="00751D27">
        <w:rPr>
          <w:b/>
          <w:sz w:val="24"/>
          <w:szCs w:val="24"/>
        </w:rPr>
        <w:t>(TAP-1</w:t>
      </w:r>
      <w:r w:rsidR="008A3647">
        <w:rPr>
          <w:b/>
          <w:sz w:val="24"/>
          <w:szCs w:val="24"/>
        </w:rPr>
        <w:t>9</w:t>
      </w:r>
      <w:r w:rsidRPr="00751D27">
        <w:rPr>
          <w:b/>
          <w:sz w:val="24"/>
          <w:szCs w:val="24"/>
        </w:rPr>
        <w:t>-</w:t>
      </w:r>
      <w:r w:rsidR="008A3647">
        <w:rPr>
          <w:b/>
          <w:sz w:val="24"/>
          <w:szCs w:val="24"/>
        </w:rPr>
        <w:t>25, TAP-19-26</w:t>
      </w:r>
      <w:r w:rsidR="00A12A40">
        <w:rPr>
          <w:b/>
          <w:sz w:val="24"/>
          <w:szCs w:val="24"/>
        </w:rPr>
        <w:t>,</w:t>
      </w:r>
      <w:r w:rsidRPr="00074B0C">
        <w:rPr>
          <w:b/>
          <w:sz w:val="24"/>
          <w:szCs w:val="24"/>
        </w:rPr>
        <w:t>) (</w:t>
      </w:r>
      <w:r w:rsidR="008A3647">
        <w:rPr>
          <w:b/>
          <w:sz w:val="24"/>
          <w:szCs w:val="24"/>
        </w:rPr>
        <w:t>TAIS Nr.</w:t>
      </w:r>
      <w:r w:rsidR="00074B0C" w:rsidRPr="00074B0C">
        <w:rPr>
          <w:b/>
          <w:sz w:val="24"/>
          <w:szCs w:val="24"/>
        </w:rPr>
        <w:t>1</w:t>
      </w:r>
      <w:r w:rsidR="008A3647">
        <w:rPr>
          <w:b/>
          <w:sz w:val="24"/>
          <w:szCs w:val="24"/>
        </w:rPr>
        <w:t>9</w:t>
      </w:r>
      <w:r w:rsidR="00074B0C" w:rsidRPr="00074B0C">
        <w:rPr>
          <w:b/>
          <w:sz w:val="24"/>
          <w:szCs w:val="24"/>
        </w:rPr>
        <w:t>-</w:t>
      </w:r>
      <w:r w:rsidR="008A3647">
        <w:rPr>
          <w:b/>
          <w:sz w:val="24"/>
          <w:szCs w:val="24"/>
        </w:rPr>
        <w:t>127, 19- 129</w:t>
      </w:r>
      <w:r w:rsidR="00074B0C" w:rsidRPr="00074B0C">
        <w:rPr>
          <w:b/>
          <w:sz w:val="24"/>
          <w:szCs w:val="24"/>
        </w:rPr>
        <w:t>)</w:t>
      </w:r>
      <w:r w:rsidR="00A12A40">
        <w:rPr>
          <w:b/>
          <w:sz w:val="24"/>
          <w:szCs w:val="24"/>
        </w:rPr>
        <w:t>)</w:t>
      </w: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307CCA"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255507">
      <w:pPr>
        <w:pStyle w:val="Preformatted"/>
        <w:jc w:val="center"/>
        <w:rPr>
          <w:rFonts w:ascii="Times New Roman" w:hAnsi="Times New Roman"/>
          <w:sz w:val="24"/>
        </w:rPr>
      </w:pPr>
      <w:r>
        <w:rPr>
          <w:rFonts w:ascii="Times New Roman" w:hAnsi="Times New Roman"/>
          <w:sz w:val="24"/>
        </w:rPr>
        <w:t>Vilnius</w:t>
      </w:r>
    </w:p>
    <w:p w14:paraId="523FCD34" w14:textId="77777777" w:rsidR="008E57B5" w:rsidRDefault="008E57B5" w:rsidP="00D66CCA">
      <w:pPr>
        <w:pStyle w:val="Preformatted"/>
        <w:rPr>
          <w:rFonts w:ascii="Times New Roman" w:hAnsi="Times New Roman"/>
          <w:sz w:val="24"/>
        </w:rPr>
      </w:pPr>
    </w:p>
    <w:p w14:paraId="7142A9CD" w14:textId="1CE4CEE6" w:rsidR="007B65F5" w:rsidRDefault="00671AE6" w:rsidP="007B65F5">
      <w:pPr>
        <w:spacing w:line="276" w:lineRule="auto"/>
        <w:jc w:val="both"/>
        <w:rPr>
          <w:sz w:val="24"/>
          <w:szCs w:val="24"/>
        </w:rPr>
      </w:pPr>
      <w:r>
        <w:rPr>
          <w:sz w:val="24"/>
          <w:szCs w:val="24"/>
        </w:rPr>
        <w:tab/>
      </w:r>
      <w:r w:rsidR="00824415" w:rsidRPr="00DB6AFA">
        <w:rPr>
          <w:sz w:val="24"/>
          <w:szCs w:val="24"/>
        </w:rPr>
        <w:t xml:space="preserve">Įvertinę </w:t>
      </w:r>
      <w:r w:rsidR="002610F4">
        <w:rPr>
          <w:sz w:val="24"/>
        </w:rPr>
        <w:t xml:space="preserve"> </w:t>
      </w:r>
      <w:r w:rsidR="008A3647">
        <w:rPr>
          <w:sz w:val="24"/>
          <w:szCs w:val="24"/>
        </w:rPr>
        <w:t>Nutarimų</w:t>
      </w:r>
      <w:r w:rsidR="007B65F5">
        <w:rPr>
          <w:sz w:val="24"/>
          <w:szCs w:val="24"/>
        </w:rPr>
        <w:t xml:space="preserve"> projekt</w:t>
      </w:r>
      <w:r w:rsidR="008A3647">
        <w:rPr>
          <w:sz w:val="24"/>
          <w:szCs w:val="24"/>
        </w:rPr>
        <w:t>ų</w:t>
      </w:r>
      <w:r w:rsidR="007B65F5">
        <w:rPr>
          <w:sz w:val="24"/>
          <w:szCs w:val="24"/>
        </w:rPr>
        <w:t xml:space="preserve"> atitiktį įstatymams, Vyriausybės nutarimams bei teisės technikos reikalavimams, </w:t>
      </w:r>
      <w:r w:rsidR="008A3647">
        <w:rPr>
          <w:sz w:val="24"/>
          <w:szCs w:val="24"/>
        </w:rPr>
        <w:t>teikiame šias pastabas ir pasiūlymus:</w:t>
      </w:r>
    </w:p>
    <w:p w14:paraId="51EB5EB5" w14:textId="25980540" w:rsidR="00420D59" w:rsidRPr="0072615F" w:rsidRDefault="00420D59" w:rsidP="00AB5DEE">
      <w:pPr>
        <w:pStyle w:val="ListParagraph"/>
        <w:numPr>
          <w:ilvl w:val="0"/>
          <w:numId w:val="35"/>
        </w:numPr>
        <w:spacing w:line="360" w:lineRule="auto"/>
        <w:ind w:left="0" w:firstLine="851"/>
        <w:jc w:val="both"/>
        <w:rPr>
          <w:snapToGrid w:val="0"/>
          <w:sz w:val="24"/>
          <w:szCs w:val="24"/>
        </w:rPr>
      </w:pPr>
      <w:r w:rsidRPr="00A81FB5">
        <w:rPr>
          <w:snapToGrid w:val="0"/>
          <w:sz w:val="24"/>
        </w:rPr>
        <w:t>Projektu</w:t>
      </w:r>
      <w:r w:rsidRPr="00A81FB5">
        <w:rPr>
          <w:snapToGrid w:val="0"/>
          <w:sz w:val="24"/>
        </w:rPr>
        <w:t xml:space="preserve"> Nr.1</w:t>
      </w:r>
      <w:r w:rsidRPr="00A81FB5">
        <w:rPr>
          <w:snapToGrid w:val="0"/>
          <w:sz w:val="24"/>
        </w:rPr>
        <w:t xml:space="preserve"> siūloma</w:t>
      </w:r>
      <w:r w:rsidRPr="00A81FB5">
        <w:rPr>
          <w:snapToGrid w:val="0"/>
          <w:sz w:val="24"/>
        </w:rPr>
        <w:t xml:space="preserve"> perduoti Neįgaliųjų reikalų departamentui prie Socialinės apsaugos ir darbo ministerijos (toliau – Departamentas) įgyvendinti valstybės</w:t>
      </w:r>
      <w:r w:rsidRPr="00A81FB5">
        <w:rPr>
          <w:sz w:val="24"/>
          <w:szCs w:val="24"/>
        </w:rPr>
        <w:t xml:space="preserve">, kaip </w:t>
      </w:r>
      <w:r w:rsidRPr="00A81FB5">
        <w:rPr>
          <w:color w:val="000000"/>
          <w:sz w:val="24"/>
          <w:szCs w:val="24"/>
        </w:rPr>
        <w:t xml:space="preserve">Vilniaus apskrities gestų kalbos vertėjų centro, Kauno apskrities Gestų kalbos vertėjų centro, Klaipėdos apskrities gestų kalbos vertėjų centro, Šiaulių apskrities gestų kalbos vertėjų centro ir Panevėžio apskrities gestų kalbos vertėjų centro </w:t>
      </w:r>
      <w:r w:rsidRPr="00A81FB5">
        <w:rPr>
          <w:color w:val="000000"/>
          <w:sz w:val="24"/>
          <w:szCs w:val="24"/>
        </w:rPr>
        <w:t xml:space="preserve"> (toliau kartu – Gestų kalbos vertėjų centrai) </w:t>
      </w:r>
      <w:r w:rsidRPr="00A81FB5">
        <w:rPr>
          <w:sz w:val="24"/>
          <w:szCs w:val="24"/>
        </w:rPr>
        <w:t>savininkės, teises ir pareigas, kurias įgyvendina Lietuvos Respublikos socialinės apsaugos ir darbo ministerija</w:t>
      </w:r>
      <w:r w:rsidR="004E7F77" w:rsidRPr="00A81FB5">
        <w:rPr>
          <w:sz w:val="24"/>
          <w:szCs w:val="24"/>
        </w:rPr>
        <w:t>. Įvertinus</w:t>
      </w:r>
      <w:r w:rsidRPr="00A81FB5">
        <w:rPr>
          <w:sz w:val="24"/>
          <w:szCs w:val="24"/>
        </w:rPr>
        <w:t xml:space="preserve"> </w:t>
      </w:r>
      <w:r w:rsidR="00AC576E">
        <w:rPr>
          <w:sz w:val="24"/>
          <w:szCs w:val="24"/>
        </w:rPr>
        <w:t>siūlomą reguliavimą</w:t>
      </w:r>
      <w:r w:rsidRPr="00A81FB5">
        <w:rPr>
          <w:sz w:val="24"/>
          <w:szCs w:val="24"/>
        </w:rPr>
        <w:t xml:space="preserve"> ir Nutarimų projektų lydraštyje nurodytą savininko teisių ir pareigų perdavimo Departamentui </w:t>
      </w:r>
      <w:r w:rsidR="004E7F77" w:rsidRPr="00A81FB5">
        <w:rPr>
          <w:sz w:val="24"/>
          <w:szCs w:val="24"/>
        </w:rPr>
        <w:t xml:space="preserve">tikslą (optimizuoti </w:t>
      </w:r>
      <w:r w:rsidR="004E7F77" w:rsidRPr="00A81FB5">
        <w:rPr>
          <w:color w:val="000000"/>
          <w:sz w:val="24"/>
          <w:szCs w:val="24"/>
        </w:rPr>
        <w:t>Gestų kalbos vertėjų centr</w:t>
      </w:r>
      <w:r w:rsidR="004E7F77" w:rsidRPr="00A81FB5">
        <w:rPr>
          <w:color w:val="000000"/>
          <w:sz w:val="24"/>
          <w:szCs w:val="24"/>
        </w:rPr>
        <w:t>ų veiklą, mažinant administracinę naštą)</w:t>
      </w:r>
      <w:r w:rsidR="004E7F77" w:rsidRPr="00A81FB5">
        <w:rPr>
          <w:sz w:val="24"/>
          <w:szCs w:val="24"/>
        </w:rPr>
        <w:t xml:space="preserve"> ir planuojamus atlikti veiksmus (sujungti 5 </w:t>
      </w:r>
      <w:r w:rsidR="004E7F77" w:rsidRPr="00A81FB5">
        <w:rPr>
          <w:color w:val="000000"/>
          <w:sz w:val="24"/>
          <w:szCs w:val="24"/>
        </w:rPr>
        <w:t>Gestų kalbos vertėjų centr</w:t>
      </w:r>
      <w:r w:rsidR="004E7F77" w:rsidRPr="00A81FB5">
        <w:rPr>
          <w:color w:val="000000"/>
          <w:sz w:val="24"/>
          <w:szCs w:val="24"/>
        </w:rPr>
        <w:t>us į vieną įstaigą)</w:t>
      </w:r>
      <w:r w:rsidR="004E7F77" w:rsidRPr="00A81FB5">
        <w:rPr>
          <w:sz w:val="24"/>
          <w:szCs w:val="24"/>
        </w:rPr>
        <w:t xml:space="preserve">, </w:t>
      </w:r>
      <w:r w:rsidRPr="00A81FB5">
        <w:rPr>
          <w:sz w:val="24"/>
          <w:szCs w:val="24"/>
        </w:rPr>
        <w:t>p</w:t>
      </w:r>
      <w:r w:rsidR="004E7F77" w:rsidRPr="00A81FB5">
        <w:rPr>
          <w:sz w:val="24"/>
          <w:szCs w:val="24"/>
        </w:rPr>
        <w:t xml:space="preserve">ažymime, kad </w:t>
      </w:r>
      <w:r w:rsidR="00E4450A">
        <w:rPr>
          <w:sz w:val="24"/>
          <w:szCs w:val="24"/>
        </w:rPr>
        <w:t>nurodyti veiksmai yra susiję su biudžetinių įstaigų reorganizavimu jungimo būdu. V</w:t>
      </w:r>
      <w:r w:rsidR="004E7F77" w:rsidRPr="00A81FB5">
        <w:rPr>
          <w:sz w:val="24"/>
          <w:szCs w:val="24"/>
        </w:rPr>
        <w:t>adovaujantis Lietuvos Respublikos biudžetinių įstaigų įstatymo 14 straipsnio 4 dalimi</w:t>
      </w:r>
      <w:r w:rsidRPr="00A81FB5">
        <w:rPr>
          <w:sz w:val="24"/>
          <w:szCs w:val="24"/>
        </w:rPr>
        <w:t xml:space="preserve">, </w:t>
      </w:r>
      <w:r w:rsidR="004E7F77" w:rsidRPr="00A81FB5">
        <w:rPr>
          <w:sz w:val="24"/>
          <w:szCs w:val="24"/>
        </w:rPr>
        <w:t xml:space="preserve"> biudžetinės įstaigos reorganizavimo procedūros gali būti pradėtos vykdyti tik turint Vyriausybės sutikimą reorganizuoti biudžetinę įstaigą</w:t>
      </w:r>
      <w:r w:rsidR="00A81FB5">
        <w:rPr>
          <w:sz w:val="24"/>
          <w:szCs w:val="24"/>
        </w:rPr>
        <w:t>.</w:t>
      </w:r>
      <w:r w:rsidR="00A81FB5" w:rsidRPr="00A81FB5">
        <w:rPr>
          <w:rFonts w:ascii="Arial" w:hAnsi="Arial" w:cs="Arial"/>
        </w:rPr>
        <w:t xml:space="preserve"> </w:t>
      </w:r>
      <w:r w:rsidR="00A81FB5" w:rsidRPr="00A81FB5">
        <w:rPr>
          <w:sz w:val="24"/>
          <w:szCs w:val="24"/>
        </w:rPr>
        <w:t xml:space="preserve">Vyriausybės nutarime dėl sutikimo reorganizuoti biudžetinę įstaigą, be kita ko, turi būti nurodyti reorganizavimo tikslai, reorganizavimo būdas, reorganizuojamos biudžetinės įstaigos, dalyvaujančios reorganizavime biudžetinės įstaigos, po reorganizavimo veiksiančios biudžetinės įstaigos, numatomos jų funkcijos, kurias įgyvendins kiekviena po reorganizavimo veiksianti biudžetinė įstaiga, kiekvienos </w:t>
      </w:r>
      <w:r w:rsidR="00A81FB5" w:rsidRPr="00AC576E">
        <w:rPr>
          <w:sz w:val="24"/>
          <w:szCs w:val="24"/>
        </w:rPr>
        <w:t>po reorganizavimo veiksiančios biudžetinės įstaigos savininko teises ir pareigas įgyvendinanti institucija.</w:t>
      </w:r>
      <w:r w:rsidR="00A81FB5">
        <w:rPr>
          <w:sz w:val="24"/>
          <w:szCs w:val="24"/>
        </w:rPr>
        <w:t xml:space="preserve"> </w:t>
      </w:r>
      <w:r w:rsidR="00A81FB5" w:rsidRPr="0072615F">
        <w:rPr>
          <w:sz w:val="24"/>
          <w:szCs w:val="24"/>
          <w:lang w:eastAsia="lt-LT"/>
        </w:rPr>
        <w:t xml:space="preserve">Atsižvelgiant į tai, manome, kad </w:t>
      </w:r>
      <w:r w:rsidR="0072615F" w:rsidRPr="0072615F">
        <w:rPr>
          <w:sz w:val="24"/>
          <w:szCs w:val="24"/>
          <w:lang w:eastAsia="lt-LT"/>
        </w:rPr>
        <w:t xml:space="preserve">šiuo atveju tikslinga </w:t>
      </w:r>
      <w:r w:rsidR="0072615F">
        <w:rPr>
          <w:sz w:val="24"/>
          <w:szCs w:val="24"/>
          <w:lang w:eastAsia="lt-LT"/>
        </w:rPr>
        <w:t xml:space="preserve">papildomai </w:t>
      </w:r>
      <w:r w:rsidR="0072615F" w:rsidRPr="0072615F">
        <w:rPr>
          <w:sz w:val="24"/>
          <w:szCs w:val="24"/>
          <w:lang w:eastAsia="lt-LT"/>
        </w:rPr>
        <w:t xml:space="preserve">įvertinti savininko teisių ir pareigų perdavimo momentą </w:t>
      </w:r>
      <w:r w:rsidR="00AC576E">
        <w:rPr>
          <w:sz w:val="24"/>
          <w:szCs w:val="24"/>
          <w:lang w:eastAsia="lt-LT"/>
        </w:rPr>
        <w:t xml:space="preserve"> bei </w:t>
      </w:r>
      <w:r w:rsidR="008655AF" w:rsidRPr="0072615F">
        <w:rPr>
          <w:sz w:val="24"/>
          <w:szCs w:val="24"/>
          <w:lang w:eastAsia="lt-LT"/>
        </w:rPr>
        <w:t>tikslingumą</w:t>
      </w:r>
      <w:r w:rsidR="0072615F" w:rsidRPr="0072615F">
        <w:rPr>
          <w:sz w:val="24"/>
          <w:szCs w:val="24"/>
          <w:lang w:eastAsia="lt-LT"/>
        </w:rPr>
        <w:t xml:space="preserve">, </w:t>
      </w:r>
      <w:r w:rsidR="0072615F" w:rsidRPr="0072615F">
        <w:rPr>
          <w:sz w:val="24"/>
          <w:szCs w:val="24"/>
          <w:lang w:eastAsia="lt-LT"/>
        </w:rPr>
        <w:t>siekiant teisėkūros ekonomiškumo</w:t>
      </w:r>
      <w:r w:rsidR="0072615F" w:rsidRPr="0072615F">
        <w:rPr>
          <w:sz w:val="24"/>
          <w:szCs w:val="24"/>
          <w:lang w:eastAsia="lt-LT"/>
        </w:rPr>
        <w:t xml:space="preserve">, </w:t>
      </w:r>
      <w:r w:rsidR="00A81FB5" w:rsidRPr="0072615F">
        <w:rPr>
          <w:sz w:val="24"/>
          <w:szCs w:val="24"/>
          <w:lang w:eastAsia="lt-LT"/>
        </w:rPr>
        <w:t>pildyti Projekt</w:t>
      </w:r>
      <w:r w:rsidR="0072615F" w:rsidRPr="0072615F">
        <w:rPr>
          <w:sz w:val="24"/>
          <w:szCs w:val="24"/>
          <w:lang w:eastAsia="lt-LT"/>
        </w:rPr>
        <w:t>ą</w:t>
      </w:r>
      <w:r w:rsidR="00A81FB5" w:rsidRPr="0072615F">
        <w:rPr>
          <w:sz w:val="24"/>
          <w:szCs w:val="24"/>
          <w:lang w:eastAsia="lt-LT"/>
        </w:rPr>
        <w:t xml:space="preserve"> Nr.1 nuostatomis dėl </w:t>
      </w:r>
      <w:r w:rsidR="0072615F" w:rsidRPr="0072615F">
        <w:rPr>
          <w:sz w:val="24"/>
          <w:szCs w:val="24"/>
          <w:lang w:eastAsia="lt-LT"/>
        </w:rPr>
        <w:lastRenderedPageBreak/>
        <w:t xml:space="preserve">Vyriausybės </w:t>
      </w:r>
      <w:r w:rsidR="00A81FB5" w:rsidRPr="0072615F">
        <w:rPr>
          <w:sz w:val="24"/>
          <w:szCs w:val="24"/>
          <w:lang w:eastAsia="lt-LT"/>
        </w:rPr>
        <w:t>sutikimo reorganizuoti</w:t>
      </w:r>
      <w:r w:rsidR="00A81FB5">
        <w:rPr>
          <w:sz w:val="24"/>
          <w:szCs w:val="24"/>
          <w:lang w:val="en-US" w:eastAsia="lt-LT"/>
        </w:rPr>
        <w:t xml:space="preserve"> </w:t>
      </w:r>
      <w:r w:rsidR="00A81FB5" w:rsidRPr="00A81FB5">
        <w:rPr>
          <w:color w:val="000000"/>
          <w:sz w:val="24"/>
          <w:szCs w:val="24"/>
        </w:rPr>
        <w:t>Gestų kalbos vertėjų centr</w:t>
      </w:r>
      <w:r w:rsidR="00A81FB5">
        <w:rPr>
          <w:color w:val="000000"/>
          <w:sz w:val="24"/>
          <w:szCs w:val="24"/>
        </w:rPr>
        <w:t>us</w:t>
      </w:r>
      <w:r w:rsidR="0072615F">
        <w:rPr>
          <w:color w:val="000000"/>
          <w:sz w:val="24"/>
          <w:szCs w:val="24"/>
        </w:rPr>
        <w:t xml:space="preserve"> (atitinkama informacija pildant ir lydimuosius dokumentus). </w:t>
      </w:r>
      <w:r w:rsidR="00BF1D1A">
        <w:rPr>
          <w:color w:val="000000"/>
          <w:sz w:val="24"/>
          <w:szCs w:val="24"/>
        </w:rPr>
        <w:t xml:space="preserve"> Priešingu atveju, siekiant įgyvendinti Nutarimų projektų tikslą, Socialinės apsaugos ir darbo ministerija po 2019 m. liepos 1 d. turėtų kreiptis į Vyriausybę ir gauti sutikimą  dėl </w:t>
      </w:r>
      <w:r w:rsidR="008655AF">
        <w:rPr>
          <w:color w:val="000000"/>
          <w:sz w:val="24"/>
          <w:szCs w:val="24"/>
        </w:rPr>
        <w:t xml:space="preserve">biudžetinių įstaigų </w:t>
      </w:r>
      <w:bookmarkStart w:id="0" w:name="_GoBack"/>
      <w:bookmarkEnd w:id="0"/>
      <w:r w:rsidR="00BF1D1A" w:rsidRPr="00A81FB5">
        <w:rPr>
          <w:color w:val="000000"/>
          <w:sz w:val="24"/>
          <w:szCs w:val="24"/>
        </w:rPr>
        <w:t>Gestų kalbos vertėjų centr</w:t>
      </w:r>
      <w:r w:rsidR="00BF1D1A">
        <w:rPr>
          <w:color w:val="000000"/>
          <w:sz w:val="24"/>
          <w:szCs w:val="24"/>
        </w:rPr>
        <w:t>ų reorganizavimo.</w:t>
      </w:r>
    </w:p>
    <w:p w14:paraId="2CB4E5D5" w14:textId="14A2E8AA" w:rsidR="0072615F" w:rsidRPr="00A81FB5" w:rsidRDefault="0072615F" w:rsidP="00AB5DEE">
      <w:pPr>
        <w:pStyle w:val="ListParagraph"/>
        <w:numPr>
          <w:ilvl w:val="0"/>
          <w:numId w:val="35"/>
        </w:numPr>
        <w:spacing w:line="360" w:lineRule="auto"/>
        <w:ind w:left="0" w:firstLine="851"/>
        <w:jc w:val="both"/>
        <w:rPr>
          <w:snapToGrid w:val="0"/>
          <w:sz w:val="24"/>
          <w:szCs w:val="24"/>
        </w:rPr>
      </w:pPr>
      <w:r>
        <w:rPr>
          <w:snapToGrid w:val="0"/>
          <w:sz w:val="24"/>
          <w:szCs w:val="24"/>
        </w:rPr>
        <w:t>Siūlome tik</w:t>
      </w:r>
      <w:r w:rsidR="00AC576E">
        <w:rPr>
          <w:snapToGrid w:val="0"/>
          <w:sz w:val="24"/>
          <w:szCs w:val="24"/>
        </w:rPr>
        <w:t>sl</w:t>
      </w:r>
      <w:r>
        <w:rPr>
          <w:snapToGrid w:val="0"/>
          <w:sz w:val="24"/>
          <w:szCs w:val="24"/>
        </w:rPr>
        <w:t xml:space="preserve">inti </w:t>
      </w:r>
      <w:r w:rsidR="00AC576E">
        <w:rPr>
          <w:snapToGrid w:val="0"/>
          <w:sz w:val="24"/>
          <w:szCs w:val="24"/>
        </w:rPr>
        <w:t>P</w:t>
      </w:r>
      <w:r>
        <w:rPr>
          <w:snapToGrid w:val="0"/>
          <w:sz w:val="24"/>
          <w:szCs w:val="24"/>
        </w:rPr>
        <w:t xml:space="preserve">rojekto </w:t>
      </w:r>
      <w:r w:rsidR="00AC576E">
        <w:rPr>
          <w:snapToGrid w:val="0"/>
          <w:sz w:val="24"/>
          <w:szCs w:val="24"/>
        </w:rPr>
        <w:t>N</w:t>
      </w:r>
      <w:r>
        <w:rPr>
          <w:snapToGrid w:val="0"/>
          <w:sz w:val="24"/>
          <w:szCs w:val="24"/>
        </w:rPr>
        <w:t>r.1 preambulę</w:t>
      </w:r>
      <w:r w:rsidR="00AC576E">
        <w:rPr>
          <w:snapToGrid w:val="0"/>
          <w:sz w:val="24"/>
          <w:szCs w:val="24"/>
        </w:rPr>
        <w:t>,</w:t>
      </w:r>
      <w:r>
        <w:rPr>
          <w:snapToGrid w:val="0"/>
          <w:sz w:val="24"/>
          <w:szCs w:val="24"/>
        </w:rPr>
        <w:t xml:space="preserve"> konkretizuojant nuorodą į Biudžetinių įstaigų įstatymo 4 strai</w:t>
      </w:r>
      <w:r w:rsidR="00AC576E">
        <w:rPr>
          <w:snapToGrid w:val="0"/>
          <w:sz w:val="24"/>
          <w:szCs w:val="24"/>
        </w:rPr>
        <w:t>ps</w:t>
      </w:r>
      <w:r>
        <w:rPr>
          <w:snapToGrid w:val="0"/>
          <w:sz w:val="24"/>
          <w:szCs w:val="24"/>
        </w:rPr>
        <w:t xml:space="preserve">nio 7 dalį. </w:t>
      </w:r>
    </w:p>
    <w:p w14:paraId="4CA6956D" w14:textId="3B6B2795" w:rsidR="00A81FB5" w:rsidRPr="00A81FB5" w:rsidRDefault="00AC576E" w:rsidP="00AB5DEE">
      <w:pPr>
        <w:pStyle w:val="ListParagraph"/>
        <w:numPr>
          <w:ilvl w:val="0"/>
          <w:numId w:val="35"/>
        </w:numPr>
        <w:spacing w:line="360" w:lineRule="auto"/>
        <w:ind w:left="0" w:firstLine="851"/>
        <w:jc w:val="both"/>
        <w:rPr>
          <w:snapToGrid w:val="0"/>
          <w:sz w:val="24"/>
          <w:szCs w:val="24"/>
        </w:rPr>
      </w:pPr>
      <w:r>
        <w:rPr>
          <w:snapToGrid w:val="0"/>
          <w:sz w:val="24"/>
          <w:szCs w:val="24"/>
        </w:rPr>
        <w:t>Projekto Nr.2  2 punkte siūlome atsisakyti perteklinių žodžių „Nustatyti, kad“.</w:t>
      </w:r>
    </w:p>
    <w:p w14:paraId="2AF973F0" w14:textId="77777777" w:rsidR="00420D59" w:rsidRDefault="00420D59" w:rsidP="00420D59">
      <w:pPr>
        <w:spacing w:line="360" w:lineRule="auto"/>
        <w:jc w:val="both"/>
        <w:rPr>
          <w:snapToGrid w:val="0"/>
          <w:sz w:val="24"/>
          <w:szCs w:val="24"/>
        </w:rPr>
      </w:pPr>
    </w:p>
    <w:p w14:paraId="1FFF9F9D"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C9B042E" w14:textId="5D0F7B2E" w:rsidR="00BB1094" w:rsidRDefault="00E4450A"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r>
        <w:rPr>
          <w:rFonts w:ascii="Times New Roman" w:hAnsi="Times New Roman"/>
          <w:sz w:val="24"/>
          <w:szCs w:val="24"/>
        </w:rPr>
        <w:t>Teisės grupės patarėja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Tatjana Knyzienė</w:t>
      </w:r>
    </w:p>
    <w:p w14:paraId="326E0340"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417F87CA"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4892C8B"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2D7EBA5F" w14:textId="77777777" w:rsidR="00192DBD" w:rsidRDefault="00192DBD"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1FC30C0"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52E71FFF" w14:textId="77777777" w:rsidR="00BB1094" w:rsidRDefault="00BB1094" w:rsidP="00BB1094">
      <w:pPr>
        <w:pStyle w:val="Preformatted"/>
        <w:tabs>
          <w:tab w:val="clear" w:pos="0"/>
          <w:tab w:val="clear" w:pos="959"/>
          <w:tab w:val="clear" w:pos="1918"/>
          <w:tab w:val="clear" w:pos="2877"/>
          <w:tab w:val="left" w:pos="426"/>
          <w:tab w:val="left" w:pos="567"/>
          <w:tab w:val="left" w:pos="993"/>
        </w:tabs>
        <w:snapToGrid w:val="0"/>
        <w:spacing w:line="360" w:lineRule="auto"/>
        <w:jc w:val="both"/>
        <w:rPr>
          <w:rFonts w:ascii="Times New Roman" w:hAnsi="Times New Roman"/>
          <w:sz w:val="24"/>
          <w:szCs w:val="24"/>
        </w:rPr>
      </w:pPr>
    </w:p>
    <w:p w14:paraId="1FB019E5" w14:textId="77777777" w:rsidR="00480D4C" w:rsidRDefault="00480D4C" w:rsidP="00BF4A67">
      <w:pPr>
        <w:pStyle w:val="Preformatted"/>
        <w:spacing w:line="288"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6742FE44" w:rsidR="00A15F3A" w:rsidRPr="004823B1" w:rsidRDefault="00307CCA"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Tatjana Knyzienė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870663862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tatjana.knyziene@lrv.lt</w:t>
                </w:r>
              </w:sdtContent>
            </w:sdt>
          </w:p>
        </w:tc>
      </w:tr>
    </w:tbl>
    <w:p w14:paraId="56083545" w14:textId="77777777" w:rsidR="000A629A" w:rsidRPr="00F03F29" w:rsidRDefault="000A629A" w:rsidP="00691E90">
      <w:pPr>
        <w:pStyle w:val="Preformatted"/>
        <w:spacing w:line="360" w:lineRule="auto"/>
        <w:rPr>
          <w:rFonts w:ascii="Times New Roman" w:hAnsi="Times New Roman"/>
          <w:sz w:val="24"/>
        </w:rPr>
      </w:pPr>
    </w:p>
    <w:sectPr w:rsidR="000A629A" w:rsidRPr="00F03F29" w:rsidSect="00E4450A">
      <w:headerReference w:type="even" r:id="rId8"/>
      <w:headerReference w:type="default" r:id="rId9"/>
      <w:footerReference w:type="even" r:id="rId10"/>
      <w:type w:val="continuous"/>
      <w:pgSz w:w="11907" w:h="16840" w:code="9"/>
      <w:pgMar w:top="1276" w:right="851" w:bottom="568" w:left="1418"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DD33F" w14:textId="77777777" w:rsidR="00307CCA" w:rsidRDefault="00307CCA">
      <w:r>
        <w:separator/>
      </w:r>
    </w:p>
  </w:endnote>
  <w:endnote w:type="continuationSeparator" w:id="0">
    <w:p w14:paraId="1BB1FEE8" w14:textId="77777777" w:rsidR="00307CCA" w:rsidRDefault="0030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72059" w14:textId="77777777" w:rsidR="00307CCA" w:rsidRDefault="00307CCA">
      <w:r>
        <w:separator/>
      </w:r>
    </w:p>
  </w:footnote>
  <w:footnote w:type="continuationSeparator" w:id="0">
    <w:p w14:paraId="2ADE3290" w14:textId="77777777" w:rsidR="00307CCA" w:rsidRDefault="0030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D76F"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5AF">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7"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8C31396"/>
    <w:multiLevelType w:val="hybridMultilevel"/>
    <w:tmpl w:val="95DED656"/>
    <w:lvl w:ilvl="0" w:tplc="246CAFC4">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9"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0"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3"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7A590A74"/>
    <w:multiLevelType w:val="hybridMultilevel"/>
    <w:tmpl w:val="4C5262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2"/>
  </w:num>
  <w:num w:numId="3">
    <w:abstractNumId w:val="24"/>
  </w:num>
  <w:num w:numId="4">
    <w:abstractNumId w:val="7"/>
  </w:num>
  <w:num w:numId="5">
    <w:abstractNumId w:val="15"/>
  </w:num>
  <w:num w:numId="6">
    <w:abstractNumId w:val="27"/>
  </w:num>
  <w:num w:numId="7">
    <w:abstractNumId w:val="18"/>
  </w:num>
  <w:num w:numId="8">
    <w:abstractNumId w:val="30"/>
  </w:num>
  <w:num w:numId="9">
    <w:abstractNumId w:val="25"/>
  </w:num>
  <w:num w:numId="10">
    <w:abstractNumId w:val="8"/>
  </w:num>
  <w:num w:numId="11">
    <w:abstractNumId w:val="2"/>
  </w:num>
  <w:num w:numId="12">
    <w:abstractNumId w:val="14"/>
  </w:num>
  <w:num w:numId="13">
    <w:abstractNumId w:val="33"/>
  </w:num>
  <w:num w:numId="14">
    <w:abstractNumId w:val="22"/>
  </w:num>
  <w:num w:numId="15">
    <w:abstractNumId w:val="4"/>
  </w:num>
  <w:num w:numId="16">
    <w:abstractNumId w:val="12"/>
  </w:num>
  <w:num w:numId="17">
    <w:abstractNumId w:val="6"/>
  </w:num>
  <w:num w:numId="18">
    <w:abstractNumId w:val="21"/>
  </w:num>
  <w:num w:numId="19">
    <w:abstractNumId w:val="9"/>
  </w:num>
  <w:num w:numId="20">
    <w:abstractNumId w:val="5"/>
  </w:num>
  <w:num w:numId="21">
    <w:abstractNumId w:val="19"/>
  </w:num>
  <w:num w:numId="22">
    <w:abstractNumId w:val="29"/>
  </w:num>
  <w:num w:numId="23">
    <w:abstractNumId w:val="28"/>
  </w:num>
  <w:num w:numId="24">
    <w:abstractNumId w:val="3"/>
  </w:num>
  <w:num w:numId="25">
    <w:abstractNumId w:val="16"/>
  </w:num>
  <w:num w:numId="26">
    <w:abstractNumId w:val="1"/>
  </w:num>
  <w:num w:numId="27">
    <w:abstractNumId w:val="23"/>
  </w:num>
  <w:num w:numId="28">
    <w:abstractNumId w:val="13"/>
  </w:num>
  <w:num w:numId="29">
    <w:abstractNumId w:val="17"/>
  </w:num>
  <w:num w:numId="30">
    <w:abstractNumId w:val="26"/>
  </w:num>
  <w:num w:numId="31">
    <w:abstractNumId w:val="11"/>
  </w:num>
  <w:num w:numId="32">
    <w:abstractNumId w:val="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481"/>
    <w:rsid w:val="00050440"/>
    <w:rsid w:val="00056FDE"/>
    <w:rsid w:val="00074B0C"/>
    <w:rsid w:val="00075410"/>
    <w:rsid w:val="00075588"/>
    <w:rsid w:val="00081CAB"/>
    <w:rsid w:val="00084CB0"/>
    <w:rsid w:val="00085A33"/>
    <w:rsid w:val="0009099A"/>
    <w:rsid w:val="000953F5"/>
    <w:rsid w:val="000A629A"/>
    <w:rsid w:val="000B2BDE"/>
    <w:rsid w:val="000C2979"/>
    <w:rsid w:val="000C58DB"/>
    <w:rsid w:val="000D3FCC"/>
    <w:rsid w:val="000D4C32"/>
    <w:rsid w:val="000E1347"/>
    <w:rsid w:val="000E1E8F"/>
    <w:rsid w:val="000E4554"/>
    <w:rsid w:val="000F02D4"/>
    <w:rsid w:val="00104E24"/>
    <w:rsid w:val="00114699"/>
    <w:rsid w:val="00114CF3"/>
    <w:rsid w:val="00121F28"/>
    <w:rsid w:val="001248A5"/>
    <w:rsid w:val="0012490F"/>
    <w:rsid w:val="001256CD"/>
    <w:rsid w:val="001261AB"/>
    <w:rsid w:val="00132255"/>
    <w:rsid w:val="00133C13"/>
    <w:rsid w:val="00134A40"/>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FE0"/>
    <w:rsid w:val="001823E3"/>
    <w:rsid w:val="001871F9"/>
    <w:rsid w:val="00192DBD"/>
    <w:rsid w:val="00195133"/>
    <w:rsid w:val="001A0942"/>
    <w:rsid w:val="001A0A98"/>
    <w:rsid w:val="001A1C9E"/>
    <w:rsid w:val="001A3604"/>
    <w:rsid w:val="001A3BF3"/>
    <w:rsid w:val="001A5826"/>
    <w:rsid w:val="001C085F"/>
    <w:rsid w:val="001C0FDA"/>
    <w:rsid w:val="001C282A"/>
    <w:rsid w:val="001C4347"/>
    <w:rsid w:val="001C4740"/>
    <w:rsid w:val="001D3BFC"/>
    <w:rsid w:val="001D58E7"/>
    <w:rsid w:val="001D7B72"/>
    <w:rsid w:val="001E068A"/>
    <w:rsid w:val="001E4E86"/>
    <w:rsid w:val="001E54BD"/>
    <w:rsid w:val="001E5FDF"/>
    <w:rsid w:val="001E66D1"/>
    <w:rsid w:val="001F3899"/>
    <w:rsid w:val="001F70FF"/>
    <w:rsid w:val="002005E6"/>
    <w:rsid w:val="00200F85"/>
    <w:rsid w:val="002024EE"/>
    <w:rsid w:val="0020756B"/>
    <w:rsid w:val="002107D1"/>
    <w:rsid w:val="00216DC2"/>
    <w:rsid w:val="00217959"/>
    <w:rsid w:val="00220C37"/>
    <w:rsid w:val="00222E2A"/>
    <w:rsid w:val="00222E2B"/>
    <w:rsid w:val="00224CCF"/>
    <w:rsid w:val="00224CD4"/>
    <w:rsid w:val="0022603D"/>
    <w:rsid w:val="0023002C"/>
    <w:rsid w:val="002342FD"/>
    <w:rsid w:val="00237D3F"/>
    <w:rsid w:val="0024153E"/>
    <w:rsid w:val="00242267"/>
    <w:rsid w:val="00244A4F"/>
    <w:rsid w:val="00253749"/>
    <w:rsid w:val="00255507"/>
    <w:rsid w:val="00256841"/>
    <w:rsid w:val="00257F2D"/>
    <w:rsid w:val="002610F4"/>
    <w:rsid w:val="00263754"/>
    <w:rsid w:val="002643F4"/>
    <w:rsid w:val="00264654"/>
    <w:rsid w:val="00265AFA"/>
    <w:rsid w:val="0027224D"/>
    <w:rsid w:val="00275283"/>
    <w:rsid w:val="00282B69"/>
    <w:rsid w:val="00282BC6"/>
    <w:rsid w:val="0029227B"/>
    <w:rsid w:val="002931F9"/>
    <w:rsid w:val="00296A46"/>
    <w:rsid w:val="002A1DBA"/>
    <w:rsid w:val="002B4652"/>
    <w:rsid w:val="002C10CD"/>
    <w:rsid w:val="002C3221"/>
    <w:rsid w:val="002D2F4F"/>
    <w:rsid w:val="002D32DE"/>
    <w:rsid w:val="002D46E1"/>
    <w:rsid w:val="002E0C6A"/>
    <w:rsid w:val="002E2581"/>
    <w:rsid w:val="002E4DDD"/>
    <w:rsid w:val="002E52D7"/>
    <w:rsid w:val="002F0F06"/>
    <w:rsid w:val="002F2265"/>
    <w:rsid w:val="002F6433"/>
    <w:rsid w:val="003001BC"/>
    <w:rsid w:val="00305B94"/>
    <w:rsid w:val="00306AE5"/>
    <w:rsid w:val="00307286"/>
    <w:rsid w:val="00307CCA"/>
    <w:rsid w:val="003169BB"/>
    <w:rsid w:val="00317F57"/>
    <w:rsid w:val="003277C6"/>
    <w:rsid w:val="00332E4F"/>
    <w:rsid w:val="0034323F"/>
    <w:rsid w:val="00345A5E"/>
    <w:rsid w:val="00347F63"/>
    <w:rsid w:val="0035068E"/>
    <w:rsid w:val="003512EE"/>
    <w:rsid w:val="00355FB4"/>
    <w:rsid w:val="00357CE5"/>
    <w:rsid w:val="00361032"/>
    <w:rsid w:val="00365388"/>
    <w:rsid w:val="00365AD4"/>
    <w:rsid w:val="00370C21"/>
    <w:rsid w:val="00372FE8"/>
    <w:rsid w:val="00375DBA"/>
    <w:rsid w:val="00391824"/>
    <w:rsid w:val="003953FF"/>
    <w:rsid w:val="003A33DF"/>
    <w:rsid w:val="003A46C5"/>
    <w:rsid w:val="003A52CF"/>
    <w:rsid w:val="003A7C87"/>
    <w:rsid w:val="003B25A5"/>
    <w:rsid w:val="003B2C86"/>
    <w:rsid w:val="003B5BB8"/>
    <w:rsid w:val="003D24E6"/>
    <w:rsid w:val="003D376A"/>
    <w:rsid w:val="003D55F4"/>
    <w:rsid w:val="003E0750"/>
    <w:rsid w:val="003E17C2"/>
    <w:rsid w:val="003E1817"/>
    <w:rsid w:val="003E46B4"/>
    <w:rsid w:val="003F06D3"/>
    <w:rsid w:val="003F3FD9"/>
    <w:rsid w:val="003F6645"/>
    <w:rsid w:val="003F6FE9"/>
    <w:rsid w:val="00403C9B"/>
    <w:rsid w:val="00406BB7"/>
    <w:rsid w:val="00406E77"/>
    <w:rsid w:val="00417423"/>
    <w:rsid w:val="004178D4"/>
    <w:rsid w:val="00420D59"/>
    <w:rsid w:val="0042135D"/>
    <w:rsid w:val="00423CC7"/>
    <w:rsid w:val="00425398"/>
    <w:rsid w:val="004268BE"/>
    <w:rsid w:val="00426A0A"/>
    <w:rsid w:val="00430B2D"/>
    <w:rsid w:val="00431C43"/>
    <w:rsid w:val="00435E31"/>
    <w:rsid w:val="00436C82"/>
    <w:rsid w:val="00437F74"/>
    <w:rsid w:val="00444E06"/>
    <w:rsid w:val="00450F91"/>
    <w:rsid w:val="00451E41"/>
    <w:rsid w:val="00463362"/>
    <w:rsid w:val="0046740F"/>
    <w:rsid w:val="0047039D"/>
    <w:rsid w:val="00470EEA"/>
    <w:rsid w:val="004724F4"/>
    <w:rsid w:val="00473FB8"/>
    <w:rsid w:val="00477255"/>
    <w:rsid w:val="00480D4C"/>
    <w:rsid w:val="004814D1"/>
    <w:rsid w:val="004823B1"/>
    <w:rsid w:val="00482A28"/>
    <w:rsid w:val="004860C6"/>
    <w:rsid w:val="00487479"/>
    <w:rsid w:val="00491DD1"/>
    <w:rsid w:val="004949D4"/>
    <w:rsid w:val="004975E9"/>
    <w:rsid w:val="00497BA1"/>
    <w:rsid w:val="004A0EE3"/>
    <w:rsid w:val="004A338F"/>
    <w:rsid w:val="004B41E7"/>
    <w:rsid w:val="004C25BB"/>
    <w:rsid w:val="004C7A06"/>
    <w:rsid w:val="004D106C"/>
    <w:rsid w:val="004D13D3"/>
    <w:rsid w:val="004D4686"/>
    <w:rsid w:val="004D6B7E"/>
    <w:rsid w:val="004E3AA7"/>
    <w:rsid w:val="004E6B1D"/>
    <w:rsid w:val="004E7F77"/>
    <w:rsid w:val="004F3453"/>
    <w:rsid w:val="004F4E59"/>
    <w:rsid w:val="004F4E75"/>
    <w:rsid w:val="005004AF"/>
    <w:rsid w:val="0050537C"/>
    <w:rsid w:val="00505BC5"/>
    <w:rsid w:val="00515C21"/>
    <w:rsid w:val="005279BF"/>
    <w:rsid w:val="00532C68"/>
    <w:rsid w:val="005347E5"/>
    <w:rsid w:val="0053530B"/>
    <w:rsid w:val="00535D64"/>
    <w:rsid w:val="005456CD"/>
    <w:rsid w:val="00546E2D"/>
    <w:rsid w:val="00547B68"/>
    <w:rsid w:val="0055067F"/>
    <w:rsid w:val="00551356"/>
    <w:rsid w:val="0055166E"/>
    <w:rsid w:val="00554E0C"/>
    <w:rsid w:val="0055651B"/>
    <w:rsid w:val="005600EB"/>
    <w:rsid w:val="005611A0"/>
    <w:rsid w:val="00562D71"/>
    <w:rsid w:val="00563B70"/>
    <w:rsid w:val="00564175"/>
    <w:rsid w:val="00564A0C"/>
    <w:rsid w:val="005724BC"/>
    <w:rsid w:val="00573320"/>
    <w:rsid w:val="00586B74"/>
    <w:rsid w:val="00591830"/>
    <w:rsid w:val="005933B9"/>
    <w:rsid w:val="005934B1"/>
    <w:rsid w:val="00595271"/>
    <w:rsid w:val="00596C06"/>
    <w:rsid w:val="005A08C8"/>
    <w:rsid w:val="005A4FF2"/>
    <w:rsid w:val="005A5E83"/>
    <w:rsid w:val="005B10BD"/>
    <w:rsid w:val="005B476D"/>
    <w:rsid w:val="005B478A"/>
    <w:rsid w:val="005B7510"/>
    <w:rsid w:val="005C5A71"/>
    <w:rsid w:val="005C7AC9"/>
    <w:rsid w:val="005D02CD"/>
    <w:rsid w:val="005D0574"/>
    <w:rsid w:val="005D44EC"/>
    <w:rsid w:val="005D50E1"/>
    <w:rsid w:val="005E38BB"/>
    <w:rsid w:val="005F62CC"/>
    <w:rsid w:val="005F7BDE"/>
    <w:rsid w:val="00601099"/>
    <w:rsid w:val="006037F3"/>
    <w:rsid w:val="00607C19"/>
    <w:rsid w:val="00612A9D"/>
    <w:rsid w:val="00612D48"/>
    <w:rsid w:val="00614569"/>
    <w:rsid w:val="006173F5"/>
    <w:rsid w:val="00620B33"/>
    <w:rsid w:val="006222B3"/>
    <w:rsid w:val="00625008"/>
    <w:rsid w:val="006306CF"/>
    <w:rsid w:val="0063193D"/>
    <w:rsid w:val="00645A12"/>
    <w:rsid w:val="00646535"/>
    <w:rsid w:val="00647836"/>
    <w:rsid w:val="00647B42"/>
    <w:rsid w:val="006509A8"/>
    <w:rsid w:val="00651C4F"/>
    <w:rsid w:val="0065589B"/>
    <w:rsid w:val="006559B3"/>
    <w:rsid w:val="006615DC"/>
    <w:rsid w:val="006617E2"/>
    <w:rsid w:val="00662481"/>
    <w:rsid w:val="00670AF6"/>
    <w:rsid w:val="00671AE6"/>
    <w:rsid w:val="00677328"/>
    <w:rsid w:val="00680D89"/>
    <w:rsid w:val="00684D95"/>
    <w:rsid w:val="0068676F"/>
    <w:rsid w:val="00691E90"/>
    <w:rsid w:val="00695450"/>
    <w:rsid w:val="006A4F97"/>
    <w:rsid w:val="006A52C3"/>
    <w:rsid w:val="006A5C01"/>
    <w:rsid w:val="006B34FC"/>
    <w:rsid w:val="006B5349"/>
    <w:rsid w:val="006B5E13"/>
    <w:rsid w:val="006B63D8"/>
    <w:rsid w:val="006C6125"/>
    <w:rsid w:val="006C7C72"/>
    <w:rsid w:val="006E1097"/>
    <w:rsid w:val="006F0C6B"/>
    <w:rsid w:val="006F58A0"/>
    <w:rsid w:val="006F58A8"/>
    <w:rsid w:val="006F58BC"/>
    <w:rsid w:val="00700957"/>
    <w:rsid w:val="0070571F"/>
    <w:rsid w:val="00712F05"/>
    <w:rsid w:val="00713E72"/>
    <w:rsid w:val="00714CCC"/>
    <w:rsid w:val="00715A00"/>
    <w:rsid w:val="007211B9"/>
    <w:rsid w:val="0072304C"/>
    <w:rsid w:val="00723B00"/>
    <w:rsid w:val="007240A0"/>
    <w:rsid w:val="007250AA"/>
    <w:rsid w:val="0072615F"/>
    <w:rsid w:val="0074551C"/>
    <w:rsid w:val="007472B4"/>
    <w:rsid w:val="00747EC2"/>
    <w:rsid w:val="0075157F"/>
    <w:rsid w:val="00751D27"/>
    <w:rsid w:val="00755EE8"/>
    <w:rsid w:val="00762D89"/>
    <w:rsid w:val="00766C20"/>
    <w:rsid w:val="00770F73"/>
    <w:rsid w:val="0077171A"/>
    <w:rsid w:val="00774900"/>
    <w:rsid w:val="00775223"/>
    <w:rsid w:val="007815DF"/>
    <w:rsid w:val="00782A10"/>
    <w:rsid w:val="00783A48"/>
    <w:rsid w:val="0079126F"/>
    <w:rsid w:val="00792A2B"/>
    <w:rsid w:val="00794539"/>
    <w:rsid w:val="0079585D"/>
    <w:rsid w:val="00797406"/>
    <w:rsid w:val="007A2DD3"/>
    <w:rsid w:val="007A50AC"/>
    <w:rsid w:val="007A6836"/>
    <w:rsid w:val="007B2783"/>
    <w:rsid w:val="007B2A9D"/>
    <w:rsid w:val="007B3AC8"/>
    <w:rsid w:val="007B6413"/>
    <w:rsid w:val="007B65F5"/>
    <w:rsid w:val="007B7BF4"/>
    <w:rsid w:val="007B7CAA"/>
    <w:rsid w:val="007C0487"/>
    <w:rsid w:val="007C2BE6"/>
    <w:rsid w:val="007D0347"/>
    <w:rsid w:val="007D2308"/>
    <w:rsid w:val="007D76F4"/>
    <w:rsid w:val="007E2ED3"/>
    <w:rsid w:val="007E48AD"/>
    <w:rsid w:val="007E4BF1"/>
    <w:rsid w:val="007F0C6E"/>
    <w:rsid w:val="007F1F07"/>
    <w:rsid w:val="007F1F5F"/>
    <w:rsid w:val="007F7B27"/>
    <w:rsid w:val="008026D2"/>
    <w:rsid w:val="00803066"/>
    <w:rsid w:val="00805694"/>
    <w:rsid w:val="00805BDA"/>
    <w:rsid w:val="00812F95"/>
    <w:rsid w:val="00816068"/>
    <w:rsid w:val="00824415"/>
    <w:rsid w:val="00824834"/>
    <w:rsid w:val="00832EBD"/>
    <w:rsid w:val="00832EFD"/>
    <w:rsid w:val="00832F5B"/>
    <w:rsid w:val="00834B73"/>
    <w:rsid w:val="008425AC"/>
    <w:rsid w:val="008435B7"/>
    <w:rsid w:val="00846904"/>
    <w:rsid w:val="00851EBF"/>
    <w:rsid w:val="008617AD"/>
    <w:rsid w:val="008627F0"/>
    <w:rsid w:val="00864F29"/>
    <w:rsid w:val="008655AF"/>
    <w:rsid w:val="00867FBC"/>
    <w:rsid w:val="00873593"/>
    <w:rsid w:val="00876B1B"/>
    <w:rsid w:val="00877D34"/>
    <w:rsid w:val="008860B8"/>
    <w:rsid w:val="00886223"/>
    <w:rsid w:val="00893959"/>
    <w:rsid w:val="00895803"/>
    <w:rsid w:val="008A20E3"/>
    <w:rsid w:val="008A3647"/>
    <w:rsid w:val="008A4410"/>
    <w:rsid w:val="008A4573"/>
    <w:rsid w:val="008B086C"/>
    <w:rsid w:val="008C1999"/>
    <w:rsid w:val="008C38F6"/>
    <w:rsid w:val="008C39B4"/>
    <w:rsid w:val="008D13FF"/>
    <w:rsid w:val="008D61D3"/>
    <w:rsid w:val="008D678C"/>
    <w:rsid w:val="008D75A4"/>
    <w:rsid w:val="008E162C"/>
    <w:rsid w:val="008E2931"/>
    <w:rsid w:val="008E5016"/>
    <w:rsid w:val="008E57B5"/>
    <w:rsid w:val="008F1A6A"/>
    <w:rsid w:val="00905AA3"/>
    <w:rsid w:val="0090798A"/>
    <w:rsid w:val="00913055"/>
    <w:rsid w:val="0092440B"/>
    <w:rsid w:val="00943F2F"/>
    <w:rsid w:val="00955942"/>
    <w:rsid w:val="00957118"/>
    <w:rsid w:val="00957B16"/>
    <w:rsid w:val="00962CBF"/>
    <w:rsid w:val="00962D76"/>
    <w:rsid w:val="009719A9"/>
    <w:rsid w:val="009726A9"/>
    <w:rsid w:val="00972FDD"/>
    <w:rsid w:val="00973748"/>
    <w:rsid w:val="0097484B"/>
    <w:rsid w:val="00974A99"/>
    <w:rsid w:val="00985A9F"/>
    <w:rsid w:val="00986DFE"/>
    <w:rsid w:val="00991FFC"/>
    <w:rsid w:val="00993CBA"/>
    <w:rsid w:val="00994CD5"/>
    <w:rsid w:val="009A19B5"/>
    <w:rsid w:val="009A322A"/>
    <w:rsid w:val="009A3824"/>
    <w:rsid w:val="009A7E45"/>
    <w:rsid w:val="009B39C2"/>
    <w:rsid w:val="009B4623"/>
    <w:rsid w:val="009C0C09"/>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48E9"/>
    <w:rsid w:val="00A07C4C"/>
    <w:rsid w:val="00A104B6"/>
    <w:rsid w:val="00A11E95"/>
    <w:rsid w:val="00A12A40"/>
    <w:rsid w:val="00A139E0"/>
    <w:rsid w:val="00A14807"/>
    <w:rsid w:val="00A15F3A"/>
    <w:rsid w:val="00A15FBE"/>
    <w:rsid w:val="00A2020D"/>
    <w:rsid w:val="00A2446C"/>
    <w:rsid w:val="00A24DF3"/>
    <w:rsid w:val="00A27873"/>
    <w:rsid w:val="00A313AE"/>
    <w:rsid w:val="00A401EA"/>
    <w:rsid w:val="00A41572"/>
    <w:rsid w:val="00A442B5"/>
    <w:rsid w:val="00A4465E"/>
    <w:rsid w:val="00A45282"/>
    <w:rsid w:val="00A46C42"/>
    <w:rsid w:val="00A51949"/>
    <w:rsid w:val="00A538FD"/>
    <w:rsid w:val="00A53E23"/>
    <w:rsid w:val="00A555D2"/>
    <w:rsid w:val="00A70910"/>
    <w:rsid w:val="00A70FA7"/>
    <w:rsid w:val="00A7783C"/>
    <w:rsid w:val="00A81FB5"/>
    <w:rsid w:val="00A82FB2"/>
    <w:rsid w:val="00A83720"/>
    <w:rsid w:val="00A9023A"/>
    <w:rsid w:val="00A915FE"/>
    <w:rsid w:val="00A919CA"/>
    <w:rsid w:val="00A94B31"/>
    <w:rsid w:val="00A95E1E"/>
    <w:rsid w:val="00AA114E"/>
    <w:rsid w:val="00AA1EBA"/>
    <w:rsid w:val="00AA686F"/>
    <w:rsid w:val="00AB3111"/>
    <w:rsid w:val="00AB511A"/>
    <w:rsid w:val="00AB79CE"/>
    <w:rsid w:val="00AB7C92"/>
    <w:rsid w:val="00AC00CA"/>
    <w:rsid w:val="00AC34B7"/>
    <w:rsid w:val="00AC3B0D"/>
    <w:rsid w:val="00AC576E"/>
    <w:rsid w:val="00AD1041"/>
    <w:rsid w:val="00AD2E69"/>
    <w:rsid w:val="00AD3744"/>
    <w:rsid w:val="00AE26FE"/>
    <w:rsid w:val="00AE4E85"/>
    <w:rsid w:val="00AE741C"/>
    <w:rsid w:val="00AF1A4F"/>
    <w:rsid w:val="00AF1F3C"/>
    <w:rsid w:val="00AF373F"/>
    <w:rsid w:val="00AF509B"/>
    <w:rsid w:val="00AF5693"/>
    <w:rsid w:val="00AF6785"/>
    <w:rsid w:val="00B00E3B"/>
    <w:rsid w:val="00B03346"/>
    <w:rsid w:val="00B04897"/>
    <w:rsid w:val="00B07612"/>
    <w:rsid w:val="00B07ED8"/>
    <w:rsid w:val="00B111FB"/>
    <w:rsid w:val="00B13B58"/>
    <w:rsid w:val="00B15CE4"/>
    <w:rsid w:val="00B17160"/>
    <w:rsid w:val="00B2162E"/>
    <w:rsid w:val="00B22E35"/>
    <w:rsid w:val="00B307FD"/>
    <w:rsid w:val="00B31363"/>
    <w:rsid w:val="00B36466"/>
    <w:rsid w:val="00B413F5"/>
    <w:rsid w:val="00B44B0F"/>
    <w:rsid w:val="00B55D4C"/>
    <w:rsid w:val="00B57657"/>
    <w:rsid w:val="00B61B7B"/>
    <w:rsid w:val="00B65012"/>
    <w:rsid w:val="00B670D2"/>
    <w:rsid w:val="00B70497"/>
    <w:rsid w:val="00B733AD"/>
    <w:rsid w:val="00B7365B"/>
    <w:rsid w:val="00B74357"/>
    <w:rsid w:val="00B74363"/>
    <w:rsid w:val="00B7678C"/>
    <w:rsid w:val="00B81F51"/>
    <w:rsid w:val="00B828E5"/>
    <w:rsid w:val="00B86F53"/>
    <w:rsid w:val="00B91486"/>
    <w:rsid w:val="00B95AC9"/>
    <w:rsid w:val="00BA50F4"/>
    <w:rsid w:val="00BA6CEF"/>
    <w:rsid w:val="00BA779E"/>
    <w:rsid w:val="00BB1094"/>
    <w:rsid w:val="00BB12CF"/>
    <w:rsid w:val="00BB756F"/>
    <w:rsid w:val="00BC31FA"/>
    <w:rsid w:val="00BC544D"/>
    <w:rsid w:val="00BD44AB"/>
    <w:rsid w:val="00BD4DD4"/>
    <w:rsid w:val="00BD6508"/>
    <w:rsid w:val="00BD680D"/>
    <w:rsid w:val="00BE0EC5"/>
    <w:rsid w:val="00BE2972"/>
    <w:rsid w:val="00BE690C"/>
    <w:rsid w:val="00BE7A33"/>
    <w:rsid w:val="00BF0EFD"/>
    <w:rsid w:val="00BF1D1A"/>
    <w:rsid w:val="00BF29B1"/>
    <w:rsid w:val="00BF4A67"/>
    <w:rsid w:val="00BF6B15"/>
    <w:rsid w:val="00BF7AAB"/>
    <w:rsid w:val="00C00121"/>
    <w:rsid w:val="00C018EE"/>
    <w:rsid w:val="00C01A18"/>
    <w:rsid w:val="00C0656A"/>
    <w:rsid w:val="00C10249"/>
    <w:rsid w:val="00C105F1"/>
    <w:rsid w:val="00C130CE"/>
    <w:rsid w:val="00C13F11"/>
    <w:rsid w:val="00C14845"/>
    <w:rsid w:val="00C163D7"/>
    <w:rsid w:val="00C20B6A"/>
    <w:rsid w:val="00C22D47"/>
    <w:rsid w:val="00C23F4E"/>
    <w:rsid w:val="00C25D03"/>
    <w:rsid w:val="00C405F3"/>
    <w:rsid w:val="00C40C17"/>
    <w:rsid w:val="00C43305"/>
    <w:rsid w:val="00C433B5"/>
    <w:rsid w:val="00C513A6"/>
    <w:rsid w:val="00C52F01"/>
    <w:rsid w:val="00C5574E"/>
    <w:rsid w:val="00C5652F"/>
    <w:rsid w:val="00C6376E"/>
    <w:rsid w:val="00C63EE8"/>
    <w:rsid w:val="00C65DCD"/>
    <w:rsid w:val="00C66055"/>
    <w:rsid w:val="00C66235"/>
    <w:rsid w:val="00C669F7"/>
    <w:rsid w:val="00C8384B"/>
    <w:rsid w:val="00C91260"/>
    <w:rsid w:val="00C930F2"/>
    <w:rsid w:val="00C97148"/>
    <w:rsid w:val="00CA1702"/>
    <w:rsid w:val="00CA2180"/>
    <w:rsid w:val="00CA2DC3"/>
    <w:rsid w:val="00CC0610"/>
    <w:rsid w:val="00CC3141"/>
    <w:rsid w:val="00CC4B47"/>
    <w:rsid w:val="00CD08FB"/>
    <w:rsid w:val="00CD479D"/>
    <w:rsid w:val="00CE122F"/>
    <w:rsid w:val="00CE51BD"/>
    <w:rsid w:val="00CF112D"/>
    <w:rsid w:val="00CF74A9"/>
    <w:rsid w:val="00D10C0F"/>
    <w:rsid w:val="00D14EB5"/>
    <w:rsid w:val="00D219FF"/>
    <w:rsid w:val="00D24C4E"/>
    <w:rsid w:val="00D302C3"/>
    <w:rsid w:val="00D3740B"/>
    <w:rsid w:val="00D37AE6"/>
    <w:rsid w:val="00D461B7"/>
    <w:rsid w:val="00D477BF"/>
    <w:rsid w:val="00D55C7A"/>
    <w:rsid w:val="00D577BC"/>
    <w:rsid w:val="00D625EF"/>
    <w:rsid w:val="00D62668"/>
    <w:rsid w:val="00D6326E"/>
    <w:rsid w:val="00D64D8C"/>
    <w:rsid w:val="00D65288"/>
    <w:rsid w:val="00D66CCA"/>
    <w:rsid w:val="00D679B4"/>
    <w:rsid w:val="00D72FC3"/>
    <w:rsid w:val="00D85398"/>
    <w:rsid w:val="00D86700"/>
    <w:rsid w:val="00D921E2"/>
    <w:rsid w:val="00DA17D0"/>
    <w:rsid w:val="00DA5169"/>
    <w:rsid w:val="00DA5BC9"/>
    <w:rsid w:val="00DB2199"/>
    <w:rsid w:val="00DB21F8"/>
    <w:rsid w:val="00DB669E"/>
    <w:rsid w:val="00DB6AFA"/>
    <w:rsid w:val="00DB739C"/>
    <w:rsid w:val="00DC3D91"/>
    <w:rsid w:val="00DC3F17"/>
    <w:rsid w:val="00DC58F7"/>
    <w:rsid w:val="00DD0C02"/>
    <w:rsid w:val="00DD17FC"/>
    <w:rsid w:val="00DD329F"/>
    <w:rsid w:val="00DD4580"/>
    <w:rsid w:val="00DD66F3"/>
    <w:rsid w:val="00DE26F8"/>
    <w:rsid w:val="00DE2B7B"/>
    <w:rsid w:val="00E0053E"/>
    <w:rsid w:val="00E0496B"/>
    <w:rsid w:val="00E06A40"/>
    <w:rsid w:val="00E11C36"/>
    <w:rsid w:val="00E252D4"/>
    <w:rsid w:val="00E26CC1"/>
    <w:rsid w:val="00E2779E"/>
    <w:rsid w:val="00E27B44"/>
    <w:rsid w:val="00E308DF"/>
    <w:rsid w:val="00E34CD8"/>
    <w:rsid w:val="00E35513"/>
    <w:rsid w:val="00E35BF0"/>
    <w:rsid w:val="00E40C39"/>
    <w:rsid w:val="00E43323"/>
    <w:rsid w:val="00E44318"/>
    <w:rsid w:val="00E4450A"/>
    <w:rsid w:val="00E4628A"/>
    <w:rsid w:val="00E52015"/>
    <w:rsid w:val="00E52605"/>
    <w:rsid w:val="00E5263D"/>
    <w:rsid w:val="00E52DB4"/>
    <w:rsid w:val="00E53FA5"/>
    <w:rsid w:val="00E63486"/>
    <w:rsid w:val="00E63866"/>
    <w:rsid w:val="00E7215C"/>
    <w:rsid w:val="00E74EA8"/>
    <w:rsid w:val="00E759B9"/>
    <w:rsid w:val="00E7623A"/>
    <w:rsid w:val="00E82D1F"/>
    <w:rsid w:val="00E84A0D"/>
    <w:rsid w:val="00E91947"/>
    <w:rsid w:val="00EA02E9"/>
    <w:rsid w:val="00EA0D85"/>
    <w:rsid w:val="00EA1AF1"/>
    <w:rsid w:val="00EA20EA"/>
    <w:rsid w:val="00EB5828"/>
    <w:rsid w:val="00EC0CDA"/>
    <w:rsid w:val="00EC3A41"/>
    <w:rsid w:val="00EC45F3"/>
    <w:rsid w:val="00ED516D"/>
    <w:rsid w:val="00ED7B29"/>
    <w:rsid w:val="00EE0CD0"/>
    <w:rsid w:val="00EE30A0"/>
    <w:rsid w:val="00EE3239"/>
    <w:rsid w:val="00EE49D3"/>
    <w:rsid w:val="00EF4553"/>
    <w:rsid w:val="00F02470"/>
    <w:rsid w:val="00F02873"/>
    <w:rsid w:val="00F03F29"/>
    <w:rsid w:val="00F07B2B"/>
    <w:rsid w:val="00F106FC"/>
    <w:rsid w:val="00F10A92"/>
    <w:rsid w:val="00F110EA"/>
    <w:rsid w:val="00F111DC"/>
    <w:rsid w:val="00F14288"/>
    <w:rsid w:val="00F15564"/>
    <w:rsid w:val="00F1654F"/>
    <w:rsid w:val="00F1719C"/>
    <w:rsid w:val="00F1764B"/>
    <w:rsid w:val="00F2283C"/>
    <w:rsid w:val="00F31AC7"/>
    <w:rsid w:val="00F325DC"/>
    <w:rsid w:val="00F35AC8"/>
    <w:rsid w:val="00F374FD"/>
    <w:rsid w:val="00F5049B"/>
    <w:rsid w:val="00F6021B"/>
    <w:rsid w:val="00F65EC4"/>
    <w:rsid w:val="00F7075E"/>
    <w:rsid w:val="00F73971"/>
    <w:rsid w:val="00F73D9C"/>
    <w:rsid w:val="00F759DC"/>
    <w:rsid w:val="00F8001B"/>
    <w:rsid w:val="00F80B7E"/>
    <w:rsid w:val="00F822CE"/>
    <w:rsid w:val="00F85D8F"/>
    <w:rsid w:val="00F9337D"/>
    <w:rsid w:val="00F96B49"/>
    <w:rsid w:val="00FA7BC1"/>
    <w:rsid w:val="00FB3036"/>
    <w:rsid w:val="00FB5AD6"/>
    <w:rsid w:val="00FB5B01"/>
    <w:rsid w:val="00FB6E37"/>
    <w:rsid w:val="00FD2B5B"/>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tactin">
    <w:name w:val="tactin"/>
    <w:basedOn w:val="Normal"/>
    <w:rsid w:val="00F02873"/>
    <w:pPr>
      <w:spacing w:before="100" w:beforeAutospacing="1" w:after="100" w:afterAutospacing="1"/>
    </w:pPr>
    <w:rPr>
      <w:sz w:val="24"/>
      <w:szCs w:val="24"/>
      <w:lang w:eastAsia="lt-LT"/>
    </w:rPr>
  </w:style>
  <w:style w:type="paragraph" w:customStyle="1" w:styleId="tartip">
    <w:name w:val="tartip"/>
    <w:basedOn w:val="Normal"/>
    <w:rsid w:val="00F02873"/>
    <w:pPr>
      <w:spacing w:before="100" w:beforeAutospacing="1" w:after="100" w:afterAutospacing="1"/>
    </w:pPr>
    <w:rPr>
      <w:sz w:val="24"/>
      <w:szCs w:val="24"/>
      <w:lang w:eastAsia="lt-LT"/>
    </w:rPr>
  </w:style>
  <w:style w:type="paragraph" w:customStyle="1" w:styleId="n">
    <w:name w:val="n"/>
    <w:basedOn w:val="Normal"/>
    <w:rsid w:val="00F0287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4480">
      <w:bodyDiv w:val="1"/>
      <w:marLeft w:val="0"/>
      <w:marRight w:val="0"/>
      <w:marTop w:val="0"/>
      <w:marBottom w:val="0"/>
      <w:divBdr>
        <w:top w:val="none" w:sz="0" w:space="0" w:color="auto"/>
        <w:left w:val="none" w:sz="0" w:space="0" w:color="auto"/>
        <w:bottom w:val="none" w:sz="0" w:space="0" w:color="auto"/>
        <w:right w:val="none" w:sz="0" w:space="0" w:color="auto"/>
      </w:divBdr>
      <w:divsChild>
        <w:div w:id="505368061">
          <w:marLeft w:val="0"/>
          <w:marRight w:val="0"/>
          <w:marTop w:val="0"/>
          <w:marBottom w:val="0"/>
          <w:divBdr>
            <w:top w:val="none" w:sz="0" w:space="0" w:color="auto"/>
            <w:left w:val="none" w:sz="0" w:space="0" w:color="auto"/>
            <w:bottom w:val="none" w:sz="0" w:space="0" w:color="auto"/>
            <w:right w:val="none" w:sz="0" w:space="0" w:color="auto"/>
          </w:divBdr>
          <w:divsChild>
            <w:div w:id="158230753">
              <w:marLeft w:val="0"/>
              <w:marRight w:val="0"/>
              <w:marTop w:val="0"/>
              <w:marBottom w:val="0"/>
              <w:divBdr>
                <w:top w:val="none" w:sz="0" w:space="0" w:color="auto"/>
                <w:left w:val="none" w:sz="0" w:space="0" w:color="auto"/>
                <w:bottom w:val="none" w:sz="0" w:space="0" w:color="auto"/>
                <w:right w:val="none" w:sz="0" w:space="0" w:color="auto"/>
              </w:divBdr>
              <w:divsChild>
                <w:div w:id="1061440814">
                  <w:marLeft w:val="0"/>
                  <w:marRight w:val="0"/>
                  <w:marTop w:val="0"/>
                  <w:marBottom w:val="0"/>
                  <w:divBdr>
                    <w:top w:val="none" w:sz="0" w:space="0" w:color="auto"/>
                    <w:left w:val="none" w:sz="0" w:space="0" w:color="auto"/>
                    <w:bottom w:val="none" w:sz="0" w:space="0" w:color="auto"/>
                    <w:right w:val="none" w:sz="0" w:space="0" w:color="auto"/>
                  </w:divBdr>
                  <w:divsChild>
                    <w:div w:id="1547109418">
                      <w:marLeft w:val="0"/>
                      <w:marRight w:val="0"/>
                      <w:marTop w:val="0"/>
                      <w:marBottom w:val="0"/>
                      <w:divBdr>
                        <w:top w:val="none" w:sz="0" w:space="0" w:color="auto"/>
                        <w:left w:val="none" w:sz="0" w:space="0" w:color="auto"/>
                        <w:bottom w:val="none" w:sz="0" w:space="0" w:color="auto"/>
                        <w:right w:val="none" w:sz="0" w:space="0" w:color="auto"/>
                      </w:divBdr>
                      <w:divsChild>
                        <w:div w:id="930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40B77"/>
    <w:rsid w:val="00390B72"/>
    <w:rsid w:val="003C78B3"/>
    <w:rsid w:val="003F58B2"/>
    <w:rsid w:val="00404C54"/>
    <w:rsid w:val="0042352F"/>
    <w:rsid w:val="00465CBD"/>
    <w:rsid w:val="0048141E"/>
    <w:rsid w:val="004F6A1E"/>
    <w:rsid w:val="00527173"/>
    <w:rsid w:val="005406A9"/>
    <w:rsid w:val="005444E3"/>
    <w:rsid w:val="005C6089"/>
    <w:rsid w:val="005E1912"/>
    <w:rsid w:val="0060059A"/>
    <w:rsid w:val="006920BA"/>
    <w:rsid w:val="006965BA"/>
    <w:rsid w:val="0077292E"/>
    <w:rsid w:val="007A115D"/>
    <w:rsid w:val="007D7597"/>
    <w:rsid w:val="00847B5F"/>
    <w:rsid w:val="008B0923"/>
    <w:rsid w:val="008B2375"/>
    <w:rsid w:val="008C345D"/>
    <w:rsid w:val="008D2C0A"/>
    <w:rsid w:val="00945E25"/>
    <w:rsid w:val="009851A0"/>
    <w:rsid w:val="009943C0"/>
    <w:rsid w:val="009E18B5"/>
    <w:rsid w:val="00A2663E"/>
    <w:rsid w:val="00A26E44"/>
    <w:rsid w:val="00A651D3"/>
    <w:rsid w:val="00A748A3"/>
    <w:rsid w:val="00AA7008"/>
    <w:rsid w:val="00AC5FFB"/>
    <w:rsid w:val="00AD1664"/>
    <w:rsid w:val="00AE10F8"/>
    <w:rsid w:val="00B471E9"/>
    <w:rsid w:val="00B63C34"/>
    <w:rsid w:val="00BA1616"/>
    <w:rsid w:val="00C474AC"/>
    <w:rsid w:val="00C82B39"/>
    <w:rsid w:val="00D0112A"/>
    <w:rsid w:val="00D22F56"/>
    <w:rsid w:val="00DA388C"/>
    <w:rsid w:val="00DD23DE"/>
    <w:rsid w:val="00E335FB"/>
    <w:rsid w:val="00E37548"/>
    <w:rsid w:val="00E548D8"/>
    <w:rsid w:val="00EA63CA"/>
    <w:rsid w:val="00F070B2"/>
    <w:rsid w:val="00F10962"/>
    <w:rsid w:val="00F11FF2"/>
    <w:rsid w:val="00F138CF"/>
    <w:rsid w:val="00F352E6"/>
    <w:rsid w:val="00F72265"/>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8924F-A947-4356-8911-D0A2091E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493</TotalTime>
  <Pages>2</Pages>
  <Words>2297</Words>
  <Characters>1310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2019-01-15T08:48:00Z</dcterms:created>
  <dc:creator>DULEVIČIŪTĖ-AKIMOVIENĖ, Akvilė</dc:creator>
  <cp:lastModifiedBy>Tatjana Knyzienė</cp:lastModifiedBy>
  <cp:lastPrinted>2018-09-19T09:19:00Z</cp:lastPrinted>
  <dcterms:modified xsi:type="dcterms:W3CDTF">2019-01-18T11:20:00Z</dcterms:modified>
  <cp:revision>5</cp:revision>
</cp:coreProperties>
</file>