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B7E9C" w14:textId="77777777" w:rsidR="001F6E54" w:rsidRPr="00193B9A" w:rsidRDefault="001F6E54" w:rsidP="00C3220F">
      <w:pPr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193B9A">
        <w:rPr>
          <w:rFonts w:ascii="Times New Roman" w:hAnsi="Times New Roman"/>
          <w:b/>
          <w:bCs/>
          <w:caps/>
          <w:sz w:val="24"/>
          <w:szCs w:val="24"/>
          <w:lang w:val="lt-LT"/>
        </w:rPr>
        <w:t>DĖL LIETUVOS RESPUBLIKOS POZICIJŲ ES Tarybos (ŠVIETIMAS, JAUNIMAS, KUL</w:t>
      </w:r>
      <w:r w:rsidR="00C852D0">
        <w:rPr>
          <w:rFonts w:ascii="Times New Roman" w:hAnsi="Times New Roman"/>
          <w:b/>
          <w:bCs/>
          <w:caps/>
          <w:sz w:val="24"/>
          <w:szCs w:val="24"/>
          <w:lang w:val="lt-LT"/>
        </w:rPr>
        <w:t>TŪRA IR SPORTAS) 2020 M. vasario 20</w:t>
      </w:r>
      <w:r w:rsidRPr="00193B9A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D. vyksiančiame POSĖDYJE SVARSTOMAIS KLAUS</w:t>
      </w:r>
      <w:r w:rsidR="002034E9" w:rsidRPr="00193B9A">
        <w:rPr>
          <w:rFonts w:ascii="Times New Roman" w:hAnsi="Times New Roman"/>
          <w:b/>
          <w:bCs/>
          <w:caps/>
          <w:sz w:val="24"/>
          <w:szCs w:val="24"/>
          <w:lang w:val="lt-LT"/>
        </w:rPr>
        <w:t>IMAIS ŠVIETIMO SRITYJE</w:t>
      </w:r>
    </w:p>
    <w:p w14:paraId="5EA4F5DF" w14:textId="77777777" w:rsidR="001F6E54" w:rsidRPr="00193B9A" w:rsidRDefault="001F6E54" w:rsidP="002D3A58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979459F" w14:textId="77777777" w:rsidR="003F6C1F" w:rsidRPr="003F6C1F" w:rsidRDefault="001F6E54" w:rsidP="006C404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 w:rsidRPr="00193B9A">
        <w:rPr>
          <w:rFonts w:ascii="Times New Roman" w:hAnsi="Times New Roman"/>
          <w:sz w:val="24"/>
          <w:szCs w:val="24"/>
          <w:u w:val="single"/>
          <w:lang w:val="lt-LT"/>
        </w:rPr>
        <w:t>Tarybos po</w:t>
      </w:r>
      <w:r w:rsidR="00712484">
        <w:rPr>
          <w:rFonts w:ascii="Times New Roman" w:hAnsi="Times New Roman"/>
          <w:sz w:val="24"/>
          <w:szCs w:val="24"/>
          <w:u w:val="single"/>
          <w:lang w:val="lt-LT"/>
        </w:rPr>
        <w:t>sėdžio švietimo dalyje teikiami</w:t>
      </w:r>
      <w:r w:rsidRPr="00193B9A">
        <w:rPr>
          <w:rFonts w:ascii="Times New Roman" w:hAnsi="Times New Roman"/>
          <w:sz w:val="24"/>
          <w:szCs w:val="24"/>
          <w:u w:val="single"/>
          <w:lang w:val="lt-LT"/>
        </w:rPr>
        <w:t xml:space="preserve"> klausimai:</w:t>
      </w:r>
    </w:p>
    <w:p w14:paraId="3C70EE41" w14:textId="77777777" w:rsidR="001F6E54" w:rsidRPr="00222C7D" w:rsidRDefault="00222C7D" w:rsidP="00222C7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1. </w:t>
      </w:r>
      <w:r w:rsidR="003F6C1F" w:rsidRPr="00222C7D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Tarybos rezoliucijos dėl švietimo ir mokymo Europos se</w:t>
      </w:r>
      <w:r w:rsidRPr="00222C7D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mestro kontekste projektas;</w:t>
      </w:r>
    </w:p>
    <w:p w14:paraId="53711971" w14:textId="77777777" w:rsidR="001B4ACC" w:rsidRDefault="00222C7D" w:rsidP="00222C7D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2. </w:t>
      </w:r>
      <w:r w:rsidR="00EE6AAC" w:rsidRPr="00222C7D">
        <w:rPr>
          <w:rFonts w:ascii="Times New Roman" w:hAnsi="Times New Roman" w:cs="Times New Roman"/>
          <w:lang w:val="lt-LT"/>
        </w:rPr>
        <w:t>Poli</w:t>
      </w:r>
      <w:r w:rsidR="00003055" w:rsidRPr="00222C7D">
        <w:rPr>
          <w:rFonts w:ascii="Times New Roman" w:hAnsi="Times New Roman" w:cs="Times New Roman"/>
          <w:lang w:val="lt-LT"/>
        </w:rPr>
        <w:t>tiniai debatai tema „Protų apykaita – Europos</w:t>
      </w:r>
      <w:r>
        <w:rPr>
          <w:rFonts w:ascii="Times New Roman" w:hAnsi="Times New Roman" w:cs="Times New Roman"/>
          <w:lang w:val="lt-LT"/>
        </w:rPr>
        <w:t xml:space="preserve"> švietimo erdvės varomoji jėga“, pagal</w:t>
      </w:r>
      <w:r w:rsidR="00003055" w:rsidRPr="00222C7D">
        <w:rPr>
          <w:rFonts w:ascii="Times New Roman" w:hAnsi="Times New Roman" w:cs="Times New Roman"/>
          <w:lang w:val="lt-LT"/>
        </w:rPr>
        <w:t xml:space="preserve"> Pirmininkauj</w:t>
      </w:r>
      <w:r>
        <w:rPr>
          <w:rFonts w:ascii="Times New Roman" w:hAnsi="Times New Roman" w:cs="Times New Roman"/>
          <w:lang w:val="lt-LT"/>
        </w:rPr>
        <w:t>ančios valstybės narės parengtą diskusijoms skirtą dokumentą</w:t>
      </w:r>
      <w:r w:rsidR="00520343" w:rsidRPr="00222C7D">
        <w:rPr>
          <w:rFonts w:ascii="Times New Roman" w:hAnsi="Times New Roman" w:cs="Times New Roman"/>
          <w:lang w:val="lt-LT"/>
        </w:rPr>
        <w:t>.</w:t>
      </w:r>
    </w:p>
    <w:p w14:paraId="34E9D81F" w14:textId="77777777" w:rsidR="00E62E62" w:rsidRPr="00222C7D" w:rsidRDefault="00E62E62" w:rsidP="00222C7D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14:paraId="0A14EF76" w14:textId="77777777" w:rsidR="00E62E62" w:rsidRPr="00193B9A" w:rsidRDefault="001F6E54" w:rsidP="006C404E">
      <w:pPr>
        <w:spacing w:line="360" w:lineRule="auto"/>
        <w:ind w:right="567" w:firstLine="1247"/>
        <w:jc w:val="both"/>
        <w:rPr>
          <w:rFonts w:ascii="Times New Roman" w:hAnsi="Times New Roman"/>
          <w:b/>
          <w:bCs/>
          <w:sz w:val="24"/>
          <w:szCs w:val="24"/>
          <w:u w:val="single"/>
          <w:lang w:val="lt-LT"/>
        </w:rPr>
      </w:pPr>
      <w:r w:rsidRPr="00193B9A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>Posėdyje nebus tvirtinami ar priimami jokie ES teisė</w:t>
      </w:r>
      <w:r w:rsidR="00520343" w:rsidRPr="00193B9A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>s aktų projektai</w:t>
      </w:r>
    </w:p>
    <w:p w14:paraId="60333F4F" w14:textId="77777777" w:rsidR="001F6E54" w:rsidRDefault="001F3F36" w:rsidP="0072619C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193B9A">
        <w:rPr>
          <w:rFonts w:ascii="Times New Roman" w:hAnsi="Times New Roman"/>
          <w:sz w:val="24"/>
          <w:szCs w:val="24"/>
          <w:lang w:val="lt-LT"/>
        </w:rPr>
        <w:t>Tarybos rezoliucijos projektas</w:t>
      </w:r>
      <w:r w:rsidR="001F6E54" w:rsidRPr="00193B9A">
        <w:rPr>
          <w:rFonts w:ascii="Times New Roman" w:hAnsi="Times New Roman"/>
          <w:sz w:val="24"/>
          <w:szCs w:val="24"/>
          <w:lang w:val="lt-LT"/>
        </w:rPr>
        <w:t xml:space="preserve"> bei politinių debatų klausimų formuluotės buvo svarstytos ir suderintos ES Tarybos Švietimo komit</w:t>
      </w:r>
      <w:r w:rsidR="00874104">
        <w:rPr>
          <w:rFonts w:ascii="Times New Roman" w:hAnsi="Times New Roman"/>
          <w:sz w:val="24"/>
          <w:szCs w:val="24"/>
          <w:lang w:val="lt-LT"/>
        </w:rPr>
        <w:t>eto posėdžiuose, vykusiuose 2020</w:t>
      </w:r>
      <w:r w:rsidR="001F6E54" w:rsidRPr="00193B9A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874104">
        <w:rPr>
          <w:rFonts w:ascii="Times New Roman" w:hAnsi="Times New Roman"/>
          <w:sz w:val="24"/>
          <w:szCs w:val="24"/>
          <w:lang w:val="lt-LT"/>
        </w:rPr>
        <w:t>sausio</w:t>
      </w:r>
      <w:r w:rsidR="001F6E54" w:rsidRPr="00193B9A">
        <w:rPr>
          <w:rFonts w:ascii="Times New Roman" w:hAnsi="Times New Roman"/>
          <w:sz w:val="24"/>
          <w:szCs w:val="24"/>
          <w:lang w:val="lt-LT"/>
        </w:rPr>
        <w:t xml:space="preserve"> mėn., dokumentams pritarta Nuolatinių atstovų komiteto posėd</w:t>
      </w:r>
      <w:r w:rsidR="00874104">
        <w:rPr>
          <w:rFonts w:ascii="Times New Roman" w:hAnsi="Times New Roman"/>
          <w:sz w:val="24"/>
          <w:szCs w:val="24"/>
          <w:lang w:val="lt-LT"/>
        </w:rPr>
        <w:t>yje, vykusiame 2020 m. vasario 5</w:t>
      </w:r>
      <w:r w:rsidR="001F6E54" w:rsidRPr="00193B9A">
        <w:rPr>
          <w:rFonts w:ascii="Times New Roman" w:hAnsi="Times New Roman"/>
          <w:sz w:val="24"/>
          <w:szCs w:val="24"/>
          <w:lang w:val="lt-LT"/>
        </w:rPr>
        <w:t xml:space="preserve"> d.</w:t>
      </w:r>
    </w:p>
    <w:p w14:paraId="29109171" w14:textId="77777777" w:rsidR="00E62E62" w:rsidRPr="00193B9A" w:rsidRDefault="00E62E62" w:rsidP="0072619C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BA86A6C" w14:textId="77777777" w:rsidR="005116C8" w:rsidRDefault="00013AF4" w:rsidP="006C404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Pirmuoju klausimu</w:t>
      </w:r>
      <w:r w:rsidR="005116C8" w:rsidRPr="00193B9A">
        <w:rPr>
          <w:rFonts w:ascii="Times New Roman" w:hAnsi="Times New Roman"/>
          <w:sz w:val="24"/>
          <w:szCs w:val="24"/>
          <w:lang w:val="lt-LT"/>
        </w:rPr>
        <w:t xml:space="preserve"> di</w:t>
      </w:r>
      <w:r>
        <w:rPr>
          <w:rFonts w:ascii="Times New Roman" w:hAnsi="Times New Roman"/>
          <w:sz w:val="24"/>
          <w:szCs w:val="24"/>
          <w:lang w:val="lt-LT"/>
        </w:rPr>
        <w:t>skusijos Taryboje dėl Rezoliucijos projekto</w:t>
      </w:r>
      <w:r w:rsidR="005116C8" w:rsidRPr="00193B9A">
        <w:rPr>
          <w:rFonts w:ascii="Times New Roman" w:hAnsi="Times New Roman"/>
          <w:sz w:val="24"/>
          <w:szCs w:val="24"/>
          <w:lang w:val="lt-LT"/>
        </w:rPr>
        <w:t xml:space="preserve"> nenumatomos.</w:t>
      </w:r>
    </w:p>
    <w:p w14:paraId="0707B14A" w14:textId="77777777" w:rsidR="00E62E62" w:rsidRDefault="00E62E62" w:rsidP="006C404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D2927B1" w14:textId="77777777" w:rsidR="007A5B2B" w:rsidRDefault="009005E1" w:rsidP="006C404E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b/>
          <w:lang w:val="lt-LT"/>
        </w:rPr>
      </w:pPr>
      <w:r w:rsidRPr="009005E1">
        <w:rPr>
          <w:rFonts w:ascii="Times New Roman" w:hAnsi="Times New Roman" w:cs="Times New Roman"/>
          <w:b/>
          <w:lang w:val="lt-LT"/>
        </w:rPr>
        <w:t>Rezoliucijos projekte</w:t>
      </w:r>
      <w:r>
        <w:rPr>
          <w:rFonts w:ascii="Times New Roman" w:hAnsi="Times New Roman" w:cs="Times New Roman"/>
          <w:b/>
          <w:lang w:val="lt-LT"/>
        </w:rPr>
        <w:t xml:space="preserve"> </w:t>
      </w:r>
      <w:r w:rsidR="0027765A" w:rsidRPr="008A4869">
        <w:rPr>
          <w:rFonts w:ascii="Times New Roman" w:hAnsi="Times New Roman" w:cs="Times New Roman"/>
          <w:lang w:val="lt-LT"/>
        </w:rPr>
        <w:t>aptariama b</w:t>
      </w:r>
      <w:r w:rsidR="0027765A" w:rsidRPr="008A4869">
        <w:rPr>
          <w:rFonts w:ascii="Times New Roman" w:hAnsi="Times New Roman" w:cs="Times New Roman" w:hint="eastAsia"/>
          <w:lang w:val="lt-LT"/>
        </w:rPr>
        <w:t>ū</w:t>
      </w:r>
      <w:r w:rsidR="0027765A" w:rsidRPr="008A4869">
        <w:rPr>
          <w:rFonts w:ascii="Times New Roman" w:hAnsi="Times New Roman" w:cs="Times New Roman"/>
          <w:lang w:val="lt-LT"/>
        </w:rPr>
        <w:t>tinyb</w:t>
      </w:r>
      <w:r w:rsidR="0027765A" w:rsidRPr="008A4869">
        <w:rPr>
          <w:rFonts w:ascii="Times New Roman" w:hAnsi="Times New Roman" w:cs="Times New Roman" w:hint="eastAsia"/>
          <w:lang w:val="lt-LT"/>
        </w:rPr>
        <w:t>ė</w:t>
      </w:r>
      <w:r w:rsidR="0027765A" w:rsidRPr="008A4869">
        <w:rPr>
          <w:rFonts w:ascii="Times New Roman" w:hAnsi="Times New Roman" w:cs="Times New Roman"/>
          <w:lang w:val="lt-LT"/>
        </w:rPr>
        <w:t xml:space="preserve"> užtikrinti didesn</w:t>
      </w:r>
      <w:r w:rsidR="0027765A" w:rsidRPr="008A4869">
        <w:rPr>
          <w:rFonts w:ascii="Times New Roman" w:hAnsi="Times New Roman" w:cs="Times New Roman" w:hint="eastAsia"/>
          <w:lang w:val="lt-LT"/>
        </w:rPr>
        <w:t>į</w:t>
      </w:r>
      <w:r w:rsidR="0027765A" w:rsidRPr="008A4869">
        <w:rPr>
          <w:rFonts w:ascii="Times New Roman" w:hAnsi="Times New Roman" w:cs="Times New Roman"/>
          <w:lang w:val="lt-LT"/>
        </w:rPr>
        <w:t xml:space="preserve"> švietimo ir mokymo sektoriaus matomum</w:t>
      </w:r>
      <w:r w:rsidR="0027765A" w:rsidRPr="008A4869">
        <w:rPr>
          <w:rFonts w:ascii="Times New Roman" w:hAnsi="Times New Roman" w:cs="Times New Roman" w:hint="eastAsia"/>
          <w:lang w:val="lt-LT"/>
        </w:rPr>
        <w:t>ą</w:t>
      </w:r>
      <w:r w:rsidR="0027765A" w:rsidRPr="008A4869">
        <w:rPr>
          <w:rFonts w:ascii="Times New Roman" w:hAnsi="Times New Roman" w:cs="Times New Roman"/>
          <w:lang w:val="lt-LT"/>
        </w:rPr>
        <w:t xml:space="preserve"> ir vaidmen</w:t>
      </w:r>
      <w:r w:rsidR="0027765A" w:rsidRPr="008A4869">
        <w:rPr>
          <w:rFonts w:ascii="Times New Roman" w:hAnsi="Times New Roman" w:cs="Times New Roman" w:hint="eastAsia"/>
          <w:lang w:val="lt-LT"/>
        </w:rPr>
        <w:t>į</w:t>
      </w:r>
      <w:r w:rsidR="0027765A" w:rsidRPr="008A4869">
        <w:rPr>
          <w:rFonts w:ascii="Times New Roman" w:hAnsi="Times New Roman" w:cs="Times New Roman"/>
          <w:lang w:val="lt-LT"/>
        </w:rPr>
        <w:t xml:space="preserve"> Europos semestro kontekste, švietimo sektoriaus didesn</w:t>
      </w:r>
      <w:r w:rsidR="0027765A" w:rsidRPr="008A4869">
        <w:rPr>
          <w:rFonts w:ascii="Times New Roman" w:hAnsi="Times New Roman" w:cs="Times New Roman" w:hint="eastAsia"/>
          <w:lang w:val="lt-LT"/>
        </w:rPr>
        <w:t>į</w:t>
      </w:r>
      <w:r w:rsidR="0027765A" w:rsidRPr="008A4869">
        <w:rPr>
          <w:rFonts w:ascii="Times New Roman" w:hAnsi="Times New Roman" w:cs="Times New Roman"/>
          <w:lang w:val="lt-LT"/>
        </w:rPr>
        <w:t xml:space="preserve"> </w:t>
      </w:r>
      <w:r w:rsidR="0027765A" w:rsidRPr="008A4869">
        <w:rPr>
          <w:rFonts w:ascii="Times New Roman" w:hAnsi="Times New Roman" w:cs="Times New Roman" w:hint="eastAsia"/>
          <w:lang w:val="lt-LT"/>
        </w:rPr>
        <w:t>į</w:t>
      </w:r>
      <w:r w:rsidR="0027765A" w:rsidRPr="008A4869">
        <w:rPr>
          <w:rFonts w:ascii="Times New Roman" w:hAnsi="Times New Roman" w:cs="Times New Roman"/>
          <w:lang w:val="lt-LT"/>
        </w:rPr>
        <w:t>sitraukim</w:t>
      </w:r>
      <w:r w:rsidR="0027765A" w:rsidRPr="008A4869">
        <w:rPr>
          <w:rFonts w:ascii="Times New Roman" w:hAnsi="Times New Roman" w:cs="Times New Roman" w:hint="eastAsia"/>
          <w:lang w:val="lt-LT"/>
        </w:rPr>
        <w:t>ą</w:t>
      </w:r>
      <w:r w:rsidR="0027765A" w:rsidRPr="008A4869">
        <w:rPr>
          <w:rFonts w:ascii="Times New Roman" w:hAnsi="Times New Roman" w:cs="Times New Roman"/>
          <w:lang w:val="lt-LT"/>
        </w:rPr>
        <w:t xml:space="preserve"> </w:t>
      </w:r>
      <w:r w:rsidR="0027765A" w:rsidRPr="008A4869">
        <w:rPr>
          <w:rFonts w:ascii="Times New Roman" w:hAnsi="Times New Roman" w:cs="Times New Roman" w:hint="eastAsia"/>
          <w:lang w:val="lt-LT"/>
        </w:rPr>
        <w:t>į</w:t>
      </w:r>
      <w:r w:rsidR="0027765A" w:rsidRPr="008A4869">
        <w:rPr>
          <w:rFonts w:ascii="Times New Roman" w:hAnsi="Times New Roman" w:cs="Times New Roman"/>
          <w:lang w:val="lt-LT"/>
        </w:rPr>
        <w:t xml:space="preserve"> diskusij</w:t>
      </w:r>
      <w:r w:rsidR="0027765A" w:rsidRPr="008A4869">
        <w:rPr>
          <w:rFonts w:ascii="Times New Roman" w:hAnsi="Times New Roman" w:cs="Times New Roman" w:hint="eastAsia"/>
          <w:lang w:val="lt-LT"/>
        </w:rPr>
        <w:t>ą</w:t>
      </w:r>
      <w:r w:rsidR="0027765A" w:rsidRPr="008A4869">
        <w:rPr>
          <w:rFonts w:ascii="Times New Roman" w:hAnsi="Times New Roman" w:cs="Times New Roman"/>
          <w:lang w:val="lt-LT"/>
        </w:rPr>
        <w:t xml:space="preserve"> reform</w:t>
      </w:r>
      <w:r w:rsidR="0027765A" w:rsidRPr="008A4869">
        <w:rPr>
          <w:rFonts w:ascii="Times New Roman" w:hAnsi="Times New Roman" w:cs="Times New Roman" w:hint="eastAsia"/>
          <w:lang w:val="lt-LT"/>
        </w:rPr>
        <w:t>ų</w:t>
      </w:r>
      <w:r w:rsidR="0027765A" w:rsidRPr="008A4869">
        <w:rPr>
          <w:rFonts w:ascii="Times New Roman" w:hAnsi="Times New Roman" w:cs="Times New Roman"/>
          <w:lang w:val="lt-LT"/>
        </w:rPr>
        <w:t xml:space="preserve"> ir investicij</w:t>
      </w:r>
      <w:r w:rsidR="0027765A" w:rsidRPr="008A4869">
        <w:rPr>
          <w:rFonts w:ascii="Times New Roman" w:hAnsi="Times New Roman" w:cs="Times New Roman" w:hint="eastAsia"/>
          <w:lang w:val="lt-LT"/>
        </w:rPr>
        <w:t>ų</w:t>
      </w:r>
      <w:r w:rsidR="0027765A" w:rsidRPr="008A4869">
        <w:rPr>
          <w:rFonts w:ascii="Times New Roman" w:hAnsi="Times New Roman" w:cs="Times New Roman"/>
          <w:lang w:val="lt-LT"/>
        </w:rPr>
        <w:t xml:space="preserve"> klausimais. </w:t>
      </w:r>
      <w:r w:rsidRPr="008A4869">
        <w:rPr>
          <w:rFonts w:ascii="Times New Roman" w:hAnsi="Times New Roman" w:cs="Times New Roman"/>
          <w:lang w:val="lt-LT"/>
        </w:rPr>
        <w:t>Taryba</w:t>
      </w:r>
      <w:r w:rsidR="007A5B2B" w:rsidRPr="008A4869">
        <w:rPr>
          <w:rFonts w:ascii="Times New Roman" w:hAnsi="Times New Roman" w:cs="Times New Roman"/>
          <w:lang w:val="lt-LT"/>
        </w:rPr>
        <w:t xml:space="preserve"> </w:t>
      </w:r>
      <w:r w:rsidRPr="008A4869">
        <w:rPr>
          <w:rFonts w:ascii="Times New Roman" w:hAnsi="Times New Roman" w:cs="Times New Roman"/>
          <w:lang w:val="lt-LT"/>
        </w:rPr>
        <w:t>pažymi, kad</w:t>
      </w:r>
      <w:r w:rsidR="007A5B2B" w:rsidRPr="009005E1">
        <w:rPr>
          <w:rFonts w:ascii="Times New Roman" w:hAnsi="Times New Roman" w:cs="Times New Roman"/>
          <w:b/>
          <w:lang w:val="lt-LT"/>
        </w:rPr>
        <w:t>:</w:t>
      </w:r>
    </w:p>
    <w:p w14:paraId="3EE499E7" w14:textId="77777777" w:rsidR="009005E1" w:rsidRPr="009005E1" w:rsidRDefault="009005E1" w:rsidP="00663F59">
      <w:pPr>
        <w:overflowPunct/>
        <w:spacing w:line="36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lt-LT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– dės</w:t>
      </w:r>
      <w:r w:rsidRPr="009005E1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pastangas gerinti švietimo ir mokymo kokybę, įtraukumą ir atitiktį darbo rinkos poreikiam</w:t>
      </w: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s, atsižvelgs</w:t>
      </w:r>
      <w:r w:rsidRPr="009005E1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į nacionalines aplinkybes, rengiant visapusiškas įgūdžių ir moky</w:t>
      </w:r>
      <w:r w:rsidR="00D73FA9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mosi visą gyvenimą strategijas;</w:t>
      </w:r>
    </w:p>
    <w:p w14:paraId="62F0FC45" w14:textId="77777777" w:rsidR="009005E1" w:rsidRPr="009005E1" w:rsidRDefault="00D73FA9" w:rsidP="00663F59">
      <w:pPr>
        <w:overflowPunct/>
        <w:spacing w:line="36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lt-LT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– sieks</w:t>
      </w:r>
      <w:r w:rsidR="009005E1" w:rsidRPr="009005E1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didinti švietimo ir mokymo m</w:t>
      </w: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atomumą, toliau prisidės</w:t>
      </w:r>
      <w:r w:rsidR="009005E1" w:rsidRPr="009005E1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prie Europos semestro ir naujosios augimo strategijos – Europos žaliojo kurso – įgyvendinimo, kiek tai susiję su</w:t>
      </w:r>
      <w:r w:rsidR="009B447F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švietimo ir mokymo klausimais;</w:t>
      </w:r>
    </w:p>
    <w:p w14:paraId="520ADC99" w14:textId="4F09B87C" w:rsidR="009005E1" w:rsidRPr="007F2866" w:rsidRDefault="007F2866" w:rsidP="007F2866">
      <w:pPr>
        <w:overflowPunct/>
        <w:spacing w:line="36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lt-LT"/>
        </w:rPr>
      </w:pPr>
      <w:r w:rsidRPr="007F2866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– </w:t>
      </w:r>
      <w:r w:rsidR="00D73FA9" w:rsidRPr="007F2866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stebės</w:t>
      </w:r>
      <w:r w:rsidR="009005E1" w:rsidRPr="007F2866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pažangą</w:t>
      </w:r>
      <w:r w:rsidR="00D73FA9" w:rsidRPr="007F2866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,</w:t>
      </w:r>
      <w:r w:rsidR="009005E1" w:rsidRPr="007F2866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siekiant bendrai Sąjungos lygmeniu sutartų tikslų švietimo ir mokymo srityje</w:t>
      </w:r>
      <w:r w:rsidR="00430CC5" w:rsidRPr="007F2866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.</w:t>
      </w:r>
    </w:p>
    <w:p w14:paraId="05BDCB41" w14:textId="77777777" w:rsidR="007A5B2B" w:rsidRPr="00BC5BBC" w:rsidRDefault="00BB38B9" w:rsidP="00222C7D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BC5BBC">
        <w:rPr>
          <w:rFonts w:ascii="Times New Roman" w:hAnsi="Times New Roman"/>
          <w:b/>
          <w:sz w:val="24"/>
          <w:szCs w:val="24"/>
          <w:lang w:val="lt-LT"/>
        </w:rPr>
        <w:t>Rezoliucijos projekte</w:t>
      </w:r>
      <w:r w:rsidR="007A5B2B" w:rsidRPr="00BC5BBC">
        <w:rPr>
          <w:rFonts w:ascii="Times New Roman" w:hAnsi="Times New Roman"/>
          <w:b/>
          <w:sz w:val="24"/>
          <w:szCs w:val="24"/>
          <w:lang w:val="lt-LT"/>
        </w:rPr>
        <w:t xml:space="preserve"> Europos Komisijos prašoma:</w:t>
      </w:r>
    </w:p>
    <w:p w14:paraId="5D2B1EC7" w14:textId="77777777" w:rsidR="00BB38B9" w:rsidRPr="00BB38B9" w:rsidRDefault="00222C7D" w:rsidP="00134170">
      <w:pPr>
        <w:overflowPunct/>
        <w:spacing w:line="36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lt-LT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val="lt-LT"/>
        </w:rPr>
        <w:t xml:space="preserve">– </w:t>
      </w: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a</w:t>
      </w:r>
      <w:r w:rsidR="00BB38B9" w:rsidRPr="00BB38B9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tnaujinti Skaitmeninio švietimo veiksmų planą ir Europos įgūdžių darbotvarkę, kad būtų galima </w:t>
      </w:r>
      <w:r w:rsidR="00BA300F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bendrai </w:t>
      </w:r>
      <w:r w:rsidR="00BB38B9" w:rsidRPr="00BB38B9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reaguoti į šiuo metu iškilusius neatidėliotinus su įgūdžiais susijusius iššūkius ir, atsižvelgiant į technologijų ir visuomenės pokyčiu</w:t>
      </w: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s, atliepti ateities poreikius;</w:t>
      </w:r>
    </w:p>
    <w:p w14:paraId="5A48B1E6" w14:textId="77777777" w:rsidR="00BB38B9" w:rsidRPr="00BB38B9" w:rsidRDefault="00222C7D" w:rsidP="00222C7D">
      <w:pPr>
        <w:overflowPunct/>
        <w:spacing w:line="36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lt-LT"/>
        </w:rPr>
      </w:pPr>
      <w:r w:rsidRPr="00222C7D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– i</w:t>
      </w:r>
      <w:r w:rsidR="00BB38B9" w:rsidRPr="00BB38B9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šnagrinėti būdus, kaip būtų galima geriau palyginti skirtingą ekonominę ir socialinę investicijų grąžą, parengiant viešųjų išlaidų švietimui ir mokymui matavimo metodiką ir rodiklius, glaudžiai bendradarb</w:t>
      </w:r>
      <w:r w:rsidRPr="00222C7D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iaujant su valstybėmis narėmis;</w:t>
      </w:r>
    </w:p>
    <w:p w14:paraId="31DDBD31" w14:textId="77777777" w:rsidR="00BB38B9" w:rsidRPr="00222C7D" w:rsidRDefault="00222C7D" w:rsidP="00222C7D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 w:rsidRPr="00222C7D">
        <w:rPr>
          <w:rFonts w:ascii="Times New Roman" w:eastAsiaTheme="minorHAnsi" w:hAnsi="Times New Roman"/>
          <w:sz w:val="24"/>
          <w:szCs w:val="24"/>
          <w:lang w:val="lt-LT"/>
        </w:rPr>
        <w:t>– g</w:t>
      </w:r>
      <w:r w:rsidR="00BB38B9" w:rsidRPr="00222C7D">
        <w:rPr>
          <w:rFonts w:ascii="Times New Roman" w:eastAsiaTheme="minorHAnsi" w:hAnsi="Times New Roman"/>
          <w:sz w:val="24"/>
          <w:szCs w:val="24"/>
          <w:lang w:val="lt-LT"/>
        </w:rPr>
        <w:t>laudžiai bendradarbiauti su EBPO ir UNES</w:t>
      </w:r>
      <w:r w:rsidR="00906836" w:rsidRPr="00222C7D">
        <w:rPr>
          <w:rFonts w:ascii="Times New Roman" w:eastAsiaTheme="minorHAnsi" w:hAnsi="Times New Roman"/>
          <w:sz w:val="24"/>
          <w:szCs w:val="24"/>
          <w:lang w:val="lt-LT"/>
        </w:rPr>
        <w:t>CO, kad būtų pagerinta įrodymais</w:t>
      </w:r>
      <w:r w:rsidR="00BB38B9" w:rsidRPr="00222C7D">
        <w:rPr>
          <w:rFonts w:ascii="Times New Roman" w:eastAsiaTheme="minorHAnsi" w:hAnsi="Times New Roman"/>
          <w:sz w:val="24"/>
          <w:szCs w:val="24"/>
          <w:lang w:val="lt-LT"/>
        </w:rPr>
        <w:t xml:space="preserve"> grindžiamų analizių koky</w:t>
      </w:r>
      <w:r w:rsidRPr="00222C7D">
        <w:rPr>
          <w:rFonts w:ascii="Times New Roman" w:eastAsiaTheme="minorHAnsi" w:hAnsi="Times New Roman"/>
          <w:sz w:val="24"/>
          <w:szCs w:val="24"/>
          <w:lang w:val="lt-LT"/>
        </w:rPr>
        <w:t>bė</w:t>
      </w:r>
      <w:r w:rsidR="00BB38B9" w:rsidRPr="00222C7D">
        <w:rPr>
          <w:rFonts w:ascii="Times New Roman" w:eastAsiaTheme="minorHAnsi" w:hAnsi="Times New Roman"/>
          <w:sz w:val="24"/>
          <w:szCs w:val="24"/>
          <w:lang w:val="lt-LT"/>
        </w:rPr>
        <w:t xml:space="preserve">, </w:t>
      </w:r>
      <w:r w:rsidRPr="00222C7D">
        <w:rPr>
          <w:rFonts w:ascii="Times New Roman" w:eastAsiaTheme="minorHAnsi" w:hAnsi="Times New Roman"/>
          <w:sz w:val="24"/>
          <w:szCs w:val="24"/>
          <w:lang w:val="lt-LT"/>
        </w:rPr>
        <w:t>taip pat patobulintas</w:t>
      </w:r>
      <w:r w:rsidR="00BB38B9" w:rsidRPr="00222C7D">
        <w:rPr>
          <w:rFonts w:ascii="Times New Roman" w:eastAsiaTheme="minorHAnsi" w:hAnsi="Times New Roman"/>
          <w:sz w:val="24"/>
          <w:szCs w:val="24"/>
          <w:lang w:val="lt-LT"/>
        </w:rPr>
        <w:t xml:space="preserve"> bendras stebėsenos ir ataskaitų teikimo </w:t>
      </w:r>
      <w:r w:rsidRPr="00222C7D">
        <w:rPr>
          <w:rFonts w:ascii="Times New Roman" w:eastAsiaTheme="minorHAnsi" w:hAnsi="Times New Roman"/>
          <w:sz w:val="24"/>
          <w:szCs w:val="24"/>
          <w:lang w:val="lt-LT"/>
        </w:rPr>
        <w:t>procesas;</w:t>
      </w:r>
    </w:p>
    <w:p w14:paraId="22AFC536" w14:textId="77777777" w:rsidR="00BB38B9" w:rsidRPr="00222C7D" w:rsidRDefault="00222C7D" w:rsidP="00222C7D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 w:rsidRPr="00222C7D">
        <w:rPr>
          <w:rFonts w:ascii="Times New Roman" w:eastAsiaTheme="minorHAnsi" w:hAnsi="Times New Roman"/>
          <w:sz w:val="24"/>
          <w:szCs w:val="24"/>
          <w:lang w:val="lt-LT"/>
        </w:rPr>
        <w:t>– t</w:t>
      </w:r>
      <w:r w:rsidR="00BB38B9" w:rsidRPr="00222C7D">
        <w:rPr>
          <w:rFonts w:ascii="Times New Roman" w:eastAsiaTheme="minorHAnsi" w:hAnsi="Times New Roman"/>
          <w:sz w:val="24"/>
          <w:szCs w:val="24"/>
          <w:lang w:val="lt-LT"/>
        </w:rPr>
        <w:t xml:space="preserve">oliau skatinti atvirą Komisijos ir </w:t>
      </w:r>
      <w:r w:rsidR="00906836" w:rsidRPr="00222C7D">
        <w:rPr>
          <w:rFonts w:ascii="Times New Roman" w:eastAsiaTheme="minorHAnsi" w:hAnsi="Times New Roman"/>
          <w:sz w:val="24"/>
          <w:szCs w:val="24"/>
          <w:lang w:val="lt-LT"/>
        </w:rPr>
        <w:t>valstybių narių dialogą dėl konkreči</w:t>
      </w:r>
      <w:r w:rsidRPr="00222C7D">
        <w:rPr>
          <w:rFonts w:ascii="Times New Roman" w:eastAsiaTheme="minorHAnsi" w:hAnsi="Times New Roman"/>
          <w:sz w:val="24"/>
          <w:szCs w:val="24"/>
          <w:lang w:val="lt-LT"/>
        </w:rPr>
        <w:t>oms šalims skirtų rekomendacijų</w:t>
      </w:r>
      <w:r w:rsidR="00BB38B9" w:rsidRPr="00222C7D">
        <w:rPr>
          <w:rFonts w:ascii="Times New Roman" w:eastAsiaTheme="minorHAnsi" w:hAnsi="Times New Roman"/>
          <w:sz w:val="24"/>
          <w:szCs w:val="24"/>
          <w:lang w:val="lt-LT"/>
        </w:rPr>
        <w:t>, susijusių su švietimu ir mokymu, atsižvelgiant į nacionalinių švietimo ir mokymo sistemų ypatumus.</w:t>
      </w:r>
    </w:p>
    <w:p w14:paraId="4C2D7C3D" w14:textId="77777777" w:rsidR="005116C8" w:rsidRPr="00DB4BE3" w:rsidRDefault="005116C8" w:rsidP="00222C7D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DB4BE3">
        <w:rPr>
          <w:rFonts w:ascii="Times New Roman" w:hAnsi="Times New Roman"/>
          <w:b/>
          <w:sz w:val="24"/>
          <w:szCs w:val="24"/>
          <w:u w:val="single"/>
          <w:lang w:val="lt-LT"/>
        </w:rPr>
        <w:t>Siūloma Lietuvo</w:t>
      </w:r>
      <w:r w:rsidR="00222C7D" w:rsidRPr="00DB4BE3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s pozicija – pritarti </w:t>
      </w:r>
      <w:r w:rsidR="00BB38B9" w:rsidRPr="00DB4BE3">
        <w:rPr>
          <w:rFonts w:ascii="Times New Roman" w:hAnsi="Times New Roman"/>
          <w:b/>
          <w:sz w:val="24"/>
          <w:szCs w:val="24"/>
          <w:u w:val="single"/>
          <w:lang w:val="lt-LT"/>
        </w:rPr>
        <w:t>Tarybos rezoliucijos projektui</w:t>
      </w:r>
      <w:r w:rsidRPr="00DB4BE3">
        <w:rPr>
          <w:rFonts w:ascii="Times New Roman" w:hAnsi="Times New Roman"/>
          <w:b/>
          <w:sz w:val="24"/>
          <w:szCs w:val="24"/>
          <w:u w:val="single"/>
          <w:lang w:val="lt-LT"/>
        </w:rPr>
        <w:t>.</w:t>
      </w:r>
    </w:p>
    <w:p w14:paraId="0803FEEA" w14:textId="1B897439" w:rsidR="0027765A" w:rsidRDefault="0027765A" w:rsidP="00270CEB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C5706D1" w14:textId="77777777" w:rsidR="00270CEB" w:rsidRPr="00EC6BE8" w:rsidRDefault="00270CEB" w:rsidP="00270CEB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C6BE8">
        <w:rPr>
          <w:rFonts w:ascii="Times New Roman" w:hAnsi="Times New Roman"/>
          <w:b/>
          <w:bCs/>
          <w:sz w:val="24"/>
          <w:szCs w:val="24"/>
          <w:lang w:val="lt-LT"/>
        </w:rPr>
        <w:lastRenderedPageBreak/>
        <w:t xml:space="preserve">Antruoju klausimu Taryboje vyks </w:t>
      </w:r>
      <w:r w:rsidRPr="00EC6BE8">
        <w:rPr>
          <w:rFonts w:ascii="Times New Roman" w:hAnsi="Times New Roman"/>
          <w:b/>
          <w:sz w:val="24"/>
          <w:szCs w:val="24"/>
          <w:lang w:val="lt-LT"/>
        </w:rPr>
        <w:t>politiniai debatai tema “Protų apykaita – Europos švietimo erdvės varomoji jėga”.</w:t>
      </w:r>
    </w:p>
    <w:p w14:paraId="51AD2F0E" w14:textId="77777777" w:rsidR="00270CEB" w:rsidRPr="00270CEB" w:rsidRDefault="00270CEB" w:rsidP="00270CE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270CEB">
        <w:rPr>
          <w:rFonts w:ascii="Times New Roman" w:hAnsi="Times New Roman"/>
          <w:sz w:val="24"/>
          <w:szCs w:val="24"/>
          <w:lang w:val="lt-LT"/>
        </w:rPr>
        <w:t>Diskusijos tikslas – švietimo ministrams suteikti galimybę pasikeisti nuomonėmis, kokių priemonių reiktų imtis nacionaliniu ir ES lygmenimis</w:t>
      </w:r>
      <w:r w:rsidR="0027765A">
        <w:rPr>
          <w:rFonts w:ascii="Times New Roman" w:hAnsi="Times New Roman"/>
          <w:sz w:val="24"/>
          <w:szCs w:val="24"/>
          <w:lang w:val="lt-LT"/>
        </w:rPr>
        <w:t>,</w:t>
      </w:r>
      <w:r w:rsidRPr="00270CEB">
        <w:rPr>
          <w:rFonts w:ascii="Times New Roman" w:hAnsi="Times New Roman"/>
          <w:sz w:val="24"/>
          <w:szCs w:val="24"/>
          <w:lang w:val="lt-LT"/>
        </w:rPr>
        <w:t xml:space="preserve"> siekiant prisidėti prie subalansuotos protų apykaitos Europos Sąjungoje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7BF30F96" w14:textId="77777777" w:rsidR="00270CEB" w:rsidRDefault="00270CEB" w:rsidP="00270CE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270CEB">
        <w:rPr>
          <w:rFonts w:ascii="Times New Roman" w:hAnsi="Times New Roman"/>
          <w:sz w:val="24"/>
          <w:szCs w:val="24"/>
          <w:lang w:val="lt-LT"/>
        </w:rPr>
        <w:t xml:space="preserve">Dalyvaudama </w:t>
      </w:r>
      <w:r>
        <w:rPr>
          <w:rFonts w:ascii="Times New Roman" w:hAnsi="Times New Roman"/>
          <w:sz w:val="24"/>
          <w:szCs w:val="24"/>
          <w:lang w:val="lt-LT"/>
        </w:rPr>
        <w:t>diskusijoje Lietuvos delegacija:</w:t>
      </w:r>
    </w:p>
    <w:p w14:paraId="315288ED" w14:textId="64A7F278" w:rsidR="00B016A5" w:rsidRDefault="00270CEB" w:rsidP="00270CE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270CEB">
        <w:rPr>
          <w:rFonts w:ascii="Times New Roman" w:hAnsi="Times New Roman"/>
          <w:sz w:val="24"/>
          <w:szCs w:val="24"/>
          <w:lang w:val="lt-LT"/>
        </w:rPr>
        <w:t xml:space="preserve">pabrėš, kad 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 xml:space="preserve">siekiant Europos švietimo erdvės sukūrimo iki 2025 m. tikslo, turime atsižvelgti į protų nutekėjimo poveikį </w:t>
      </w:r>
      <w:r w:rsidR="00BA300F">
        <w:rPr>
          <w:rFonts w:ascii="Times New Roman" w:eastAsia="Calibri" w:hAnsi="Times New Roman"/>
          <w:sz w:val="24"/>
          <w:szCs w:val="24"/>
          <w:lang w:val="lt-LT"/>
        </w:rPr>
        <w:t xml:space="preserve">tiek 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>visai ES</w:t>
      </w:r>
      <w:r w:rsidR="0027765A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BA300F">
        <w:rPr>
          <w:rFonts w:ascii="Times New Roman" w:eastAsia="Calibri" w:hAnsi="Times New Roman"/>
          <w:sz w:val="24"/>
          <w:szCs w:val="24"/>
          <w:lang w:val="lt-LT"/>
        </w:rPr>
        <w:t>tiek ir konkrečioms šalims. L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>abai svarbu įdiegti mechanizmus, skirtus skatinti protų cirkuliaciją ir protų susigrąžinimą bei užkirsti kelią protų nutekėjimui</w:t>
      </w:r>
      <w:r w:rsidR="00BA300F">
        <w:rPr>
          <w:rFonts w:ascii="Times New Roman" w:eastAsia="Calibri" w:hAnsi="Times New Roman"/>
          <w:sz w:val="24"/>
          <w:szCs w:val="24"/>
          <w:lang w:val="lt-LT"/>
        </w:rPr>
        <w:t>, o tuo pačiu – socialiniam ir ekonominiam ES netolygumo stiprėjimui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 xml:space="preserve">. Pažymės, kad Lietuva yra viena iš ES šalių, kuri susiduria su protų nutekėjimo problema. Todėl labai </w:t>
      </w:r>
      <w:r w:rsidRPr="0047596B">
        <w:rPr>
          <w:rFonts w:ascii="Times New Roman" w:eastAsia="Calibri" w:hAnsi="Times New Roman"/>
          <w:sz w:val="24"/>
          <w:szCs w:val="24"/>
          <w:u w:val="single"/>
          <w:lang w:val="lt-LT"/>
        </w:rPr>
        <w:t xml:space="preserve">palaiko tokias ES iniciatyvas kaip </w:t>
      </w:r>
      <w:r w:rsidRPr="0047596B">
        <w:rPr>
          <w:rFonts w:ascii="Times New Roman" w:eastAsia="Calibri" w:hAnsi="Times New Roman"/>
          <w:i/>
          <w:sz w:val="24"/>
          <w:szCs w:val="24"/>
          <w:u w:val="single"/>
          <w:lang w:val="lt-LT"/>
        </w:rPr>
        <w:t>Europos universitetų iniciatyva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 xml:space="preserve"> (EUI), </w:t>
      </w:r>
      <w:r w:rsidRPr="0047596B">
        <w:rPr>
          <w:rFonts w:ascii="Times New Roman" w:eastAsia="Calibri" w:hAnsi="Times New Roman"/>
          <w:sz w:val="24"/>
          <w:szCs w:val="24"/>
          <w:u w:val="single"/>
          <w:lang w:val="lt-LT"/>
        </w:rPr>
        <w:t>kuri pasižymi aukšta kokybe ir plačia geografine aprėptimi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 xml:space="preserve"> bei </w:t>
      </w:r>
      <w:r w:rsidRPr="0047596B">
        <w:rPr>
          <w:rFonts w:ascii="Times New Roman" w:eastAsia="Calibri" w:hAnsi="Times New Roman"/>
          <w:i/>
          <w:sz w:val="24"/>
          <w:szCs w:val="24"/>
          <w:lang w:val="lt-LT"/>
        </w:rPr>
        <w:t>Marie Sklodowska Curie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47596B">
        <w:rPr>
          <w:rFonts w:ascii="Times New Roman" w:eastAsia="Calibri" w:hAnsi="Times New Roman"/>
          <w:sz w:val="24"/>
          <w:szCs w:val="24"/>
          <w:u w:val="single"/>
          <w:lang w:val="lt-LT"/>
        </w:rPr>
        <w:t>veiklas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Pr="0047596B">
        <w:rPr>
          <w:rFonts w:ascii="Times New Roman" w:eastAsia="Calibri" w:hAnsi="Times New Roman"/>
          <w:sz w:val="24"/>
          <w:szCs w:val="24"/>
          <w:u w:val="single"/>
          <w:lang w:val="lt-LT"/>
        </w:rPr>
        <w:t>kurios suteikia galimybes teikti paramą tyrėjams, grįžtantiems į savo gimtąją šalį</w:t>
      </w:r>
      <w:r w:rsidR="00B134C5">
        <w:rPr>
          <w:rFonts w:ascii="Times New Roman" w:eastAsia="Calibri" w:hAnsi="Times New Roman"/>
          <w:sz w:val="24"/>
          <w:szCs w:val="24"/>
          <w:lang w:val="lt-LT"/>
        </w:rPr>
        <w:t>;</w:t>
      </w:r>
    </w:p>
    <w:p w14:paraId="465BCB42" w14:textId="77777777" w:rsidR="00B016A5" w:rsidRDefault="00270CEB" w:rsidP="00270CE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– a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 xml:space="preserve">tkreips dėmesį, kad kuriant </w:t>
      </w:r>
      <w:r w:rsidRPr="008A4869">
        <w:rPr>
          <w:rFonts w:ascii="Times New Roman" w:eastAsia="Calibri" w:hAnsi="Times New Roman"/>
          <w:i/>
          <w:sz w:val="24"/>
          <w:szCs w:val="24"/>
          <w:lang w:val="lt-LT"/>
        </w:rPr>
        <w:t>E</w:t>
      </w:r>
      <w:r w:rsidR="0027765A" w:rsidRPr="008A4869">
        <w:rPr>
          <w:rFonts w:ascii="Times New Roman" w:eastAsia="Calibri" w:hAnsi="Times New Roman"/>
          <w:i/>
          <w:sz w:val="24"/>
          <w:szCs w:val="24"/>
          <w:lang w:val="lt-LT"/>
        </w:rPr>
        <w:t>uropos universitetų</w:t>
      </w:r>
      <w:r w:rsidR="0027765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>koncepciją, Lietuvos kartu su bendramintėmis pasiūlytas geografinės pusiausvyros kriterijus padėjo ES universitetams suprasti, kokį potencialą turime visoje ES ir pradėti kurti labai ambicingas, aukštos kokybės ilgalaikes strategines partnerystes, kurių tikslas – sisteminiai, struktūriniai pokyčiai, kurie sustiprintų aukštojo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mokslo kokybę visoje ES;</w:t>
      </w:r>
    </w:p>
    <w:p w14:paraId="4A9170AD" w14:textId="5CEF6FCA" w:rsidR="00270CEB" w:rsidRPr="00270CEB" w:rsidRDefault="005C197F" w:rsidP="00270CE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27765A" w:rsidRPr="00886D9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765A">
        <w:rPr>
          <w:rFonts w:ascii="Times New Roman" w:eastAsia="Calibri" w:hAnsi="Times New Roman"/>
          <w:sz w:val="24"/>
          <w:szCs w:val="24"/>
          <w:u w:val="single"/>
          <w:lang w:val="lt-LT"/>
        </w:rPr>
        <w:t>paminės</w:t>
      </w:r>
      <w:r w:rsidR="0027765A" w:rsidRPr="0047596B">
        <w:rPr>
          <w:rFonts w:ascii="Times New Roman" w:eastAsia="Calibri" w:hAnsi="Times New Roman"/>
          <w:sz w:val="24"/>
          <w:szCs w:val="24"/>
          <w:u w:val="single"/>
          <w:lang w:val="lt-LT"/>
        </w:rPr>
        <w:t xml:space="preserve">, kad </w:t>
      </w:r>
      <w:r w:rsidR="0027765A" w:rsidRPr="00B016A5">
        <w:rPr>
          <w:rFonts w:ascii="Times New Roman" w:eastAsia="Calibri" w:hAnsi="Times New Roman"/>
          <w:i/>
          <w:sz w:val="24"/>
          <w:szCs w:val="24"/>
          <w:u w:val="single"/>
          <w:lang w:val="lt-LT"/>
        </w:rPr>
        <w:t>Europos universitetų iniciatyva</w:t>
      </w:r>
      <w:r w:rsidR="0027765A" w:rsidRPr="0047596B">
        <w:rPr>
          <w:rFonts w:ascii="Times New Roman" w:eastAsia="Calibri" w:hAnsi="Times New Roman"/>
          <w:sz w:val="24"/>
          <w:szCs w:val="24"/>
          <w:u w:val="single"/>
          <w:lang w:val="lt-LT"/>
        </w:rPr>
        <w:t xml:space="preserve"> galėtų būti ger</w:t>
      </w:r>
      <w:r w:rsidR="00A07A9B">
        <w:rPr>
          <w:rFonts w:ascii="Times New Roman" w:eastAsia="Calibri" w:hAnsi="Times New Roman"/>
          <w:sz w:val="24"/>
          <w:szCs w:val="24"/>
          <w:u w:val="single"/>
          <w:lang w:val="lt-LT"/>
        </w:rPr>
        <w:t>i</w:t>
      </w:r>
      <w:r w:rsidR="0027765A" w:rsidRPr="0047596B">
        <w:rPr>
          <w:rFonts w:ascii="Times New Roman" w:eastAsia="Calibri" w:hAnsi="Times New Roman"/>
          <w:sz w:val="24"/>
          <w:szCs w:val="24"/>
          <w:u w:val="single"/>
          <w:lang w:val="lt-LT"/>
        </w:rPr>
        <w:t>ausios praktikos pavyzdys</w:t>
      </w:r>
      <w:r w:rsidR="0027765A" w:rsidRPr="00270CEB">
        <w:rPr>
          <w:rFonts w:ascii="Times New Roman" w:eastAsia="Calibri" w:hAnsi="Times New Roman"/>
          <w:sz w:val="24"/>
          <w:szCs w:val="24"/>
          <w:lang w:val="lt-LT"/>
        </w:rPr>
        <w:t xml:space="preserve">, siekiant subalansuotos protų apykaitos ir visiško Europos talentų sutelkimo, ne tik kalbant apie kuriamą Europos švietimo erdvę, bet ir Europos mokslinių tyrimų erdvę, </w:t>
      </w:r>
      <w:r w:rsidR="0027765A" w:rsidRPr="00430CC5">
        <w:rPr>
          <w:rFonts w:ascii="Times New Roman" w:eastAsia="Calibri" w:hAnsi="Times New Roman"/>
          <w:sz w:val="24"/>
          <w:szCs w:val="24"/>
          <w:u w:val="single"/>
          <w:lang w:val="lt-LT"/>
        </w:rPr>
        <w:t>programai „</w:t>
      </w:r>
      <w:r w:rsidR="0027765A" w:rsidRPr="00430CC5">
        <w:rPr>
          <w:rFonts w:ascii="Times New Roman" w:eastAsia="Calibri" w:hAnsi="Times New Roman"/>
          <w:i/>
          <w:sz w:val="24"/>
          <w:szCs w:val="24"/>
          <w:u w:val="single"/>
          <w:lang w:val="lt-LT"/>
        </w:rPr>
        <w:t>Horizon Europe</w:t>
      </w:r>
      <w:r w:rsidR="0027765A" w:rsidRPr="00430CC5">
        <w:rPr>
          <w:rFonts w:ascii="Times New Roman" w:eastAsia="Calibri" w:hAnsi="Times New Roman"/>
          <w:sz w:val="24"/>
          <w:szCs w:val="24"/>
          <w:u w:val="single"/>
          <w:lang w:val="lt-LT"/>
        </w:rPr>
        <w:t>“ ir kitoms iniciatyvoms</w:t>
      </w:r>
      <w:r w:rsidR="00410E44" w:rsidRPr="00430CC5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70CEB" w:rsidRPr="00430CC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410E4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0CEB" w:rsidRPr="00B016A5">
        <w:rPr>
          <w:rFonts w:ascii="Times New Roman" w:eastAsia="Calibri" w:hAnsi="Times New Roman"/>
          <w:sz w:val="24"/>
          <w:szCs w:val="24"/>
          <w:u w:val="single"/>
          <w:lang w:val="lt-LT"/>
        </w:rPr>
        <w:t xml:space="preserve">pasiūlys </w:t>
      </w:r>
      <w:r w:rsidR="00270CEB" w:rsidRPr="00430CC5">
        <w:rPr>
          <w:rFonts w:ascii="Times New Roman" w:eastAsia="Calibri" w:hAnsi="Times New Roman"/>
          <w:sz w:val="24"/>
          <w:szCs w:val="24"/>
          <w:u w:val="single"/>
          <w:lang w:val="lt-LT"/>
        </w:rPr>
        <w:t>keletą priemonių siekiant įtraukių Europos švietimo ir Europos mokslinių tyrimų erdvių</w:t>
      </w:r>
      <w:r w:rsidR="00270CEB" w:rsidRPr="00430CC5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14:paraId="489C848C" w14:textId="336B997A" w:rsidR="00270CEB" w:rsidRPr="00430CC5" w:rsidRDefault="00270CEB" w:rsidP="00B016A5">
      <w:pPr>
        <w:spacing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Pr="00B016A5">
        <w:rPr>
          <w:rFonts w:ascii="Times New Roman" w:eastAsia="Calibri" w:hAnsi="Times New Roman"/>
          <w:sz w:val="24"/>
          <w:szCs w:val="24"/>
          <w:u w:val="single"/>
          <w:lang w:val="lt-LT"/>
        </w:rPr>
        <w:t>Siekti tolesnio finansavimo taisyklių supaprastinimo nustatant patrauklų atlyginimų modelį ES programų ir ES struktūrinių fondų mobilumo schemose</w:t>
      </w:r>
      <w:r w:rsidR="00430CC5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  <w:r w:rsidRPr="00430CC5">
        <w:rPr>
          <w:rFonts w:ascii="Times New Roman" w:eastAsia="Calibri" w:hAnsi="Times New Roman"/>
          <w:sz w:val="24"/>
          <w:szCs w:val="24"/>
          <w:lang w:val="lt-LT"/>
        </w:rPr>
        <w:t xml:space="preserve">Pabrėš, kad palaiko Komisijos ir naujosios Komisarės išsakytą tikslą siekti suvienodinti visų tyrėjų, dalyvaujančių </w:t>
      </w:r>
      <w:r w:rsidRPr="00886D9B">
        <w:rPr>
          <w:rFonts w:ascii="Times New Roman" w:eastAsia="Calibri" w:hAnsi="Times New Roman"/>
          <w:i/>
          <w:sz w:val="24"/>
          <w:szCs w:val="24"/>
          <w:lang w:val="lt-LT"/>
        </w:rPr>
        <w:t>Marie Skłodo</w:t>
      </w:r>
      <w:r w:rsidR="00430CC5" w:rsidRPr="00886D9B">
        <w:rPr>
          <w:rFonts w:ascii="Times New Roman" w:eastAsia="Calibri" w:hAnsi="Times New Roman"/>
          <w:i/>
          <w:sz w:val="24"/>
          <w:szCs w:val="24"/>
          <w:lang w:val="lt-LT"/>
        </w:rPr>
        <w:t>wska Curie</w:t>
      </w:r>
      <w:r w:rsidR="00430CC5" w:rsidRPr="00430CC5">
        <w:rPr>
          <w:rFonts w:ascii="Times New Roman" w:eastAsia="Calibri" w:hAnsi="Times New Roman"/>
          <w:sz w:val="24"/>
          <w:szCs w:val="24"/>
          <w:lang w:val="lt-LT"/>
        </w:rPr>
        <w:t xml:space="preserve"> programoje, atlygius</w:t>
      </w:r>
      <w:r w:rsidRPr="00430CC5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14:paraId="3795D7AF" w14:textId="77777777" w:rsidR="00270CEB" w:rsidRPr="00270CEB" w:rsidRDefault="00270CEB" w:rsidP="00B016A5">
      <w:pPr>
        <w:spacing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Pr="00FA0D4A">
        <w:rPr>
          <w:rFonts w:ascii="Times New Roman" w:eastAsia="Calibri" w:hAnsi="Times New Roman"/>
          <w:sz w:val="24"/>
          <w:szCs w:val="24"/>
          <w:u w:val="single"/>
          <w:lang w:val="lt-LT"/>
        </w:rPr>
        <w:t>Sukurti nacionalines, regionines ir ES judumo schemas, siūlančias stipendijas trumpesniems vizitams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 xml:space="preserve"> arba leidžiančias padalinti ilgalaikius vizitus į trumpesnius laikotarpius.</w:t>
      </w:r>
    </w:p>
    <w:p w14:paraId="0A8032D6" w14:textId="77777777" w:rsidR="00FA0D4A" w:rsidRDefault="00270CEB" w:rsidP="00FA0D4A">
      <w:pPr>
        <w:spacing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Pr="00FA0D4A">
        <w:rPr>
          <w:rFonts w:ascii="Times New Roman" w:eastAsia="Calibri" w:hAnsi="Times New Roman"/>
          <w:sz w:val="24"/>
          <w:szCs w:val="24"/>
          <w:lang w:val="lt-LT"/>
        </w:rPr>
        <w:t xml:space="preserve">Toliau </w:t>
      </w:r>
      <w:r w:rsidRPr="00FA0D4A">
        <w:rPr>
          <w:rFonts w:ascii="Times New Roman" w:eastAsia="Calibri" w:hAnsi="Times New Roman"/>
          <w:sz w:val="24"/>
          <w:szCs w:val="24"/>
          <w:u w:val="single"/>
          <w:lang w:val="lt-LT"/>
        </w:rPr>
        <w:t>tęsti darbą kvalifikacijų pripažinimo ir įgūdžių, kompetencijų įteisinimo srityse</w:t>
      </w:r>
      <w:r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FA0D4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Lietuvos delegacija p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>asidžiaugs Baltijos ir Beniliukso šalių (2019 m. lap</w:t>
      </w:r>
      <w:r w:rsidR="00FA0D4A">
        <w:rPr>
          <w:rFonts w:ascii="Times New Roman" w:eastAsia="Calibri" w:hAnsi="Times New Roman"/>
          <w:sz w:val="24"/>
          <w:szCs w:val="24"/>
          <w:lang w:val="lt-LT"/>
        </w:rPr>
        <w:t xml:space="preserve">kričio mėn. pasirašyta ketinimų </w:t>
      </w:r>
      <w:r w:rsidRPr="00270CEB">
        <w:rPr>
          <w:rFonts w:ascii="Times New Roman" w:eastAsia="Calibri" w:hAnsi="Times New Roman"/>
          <w:sz w:val="24"/>
          <w:szCs w:val="24"/>
          <w:lang w:val="lt-LT"/>
        </w:rPr>
        <w:t>deklaracija) tolesniu darbu dėl aukštojo mokslo laipsnių automatinio abipusio pripažinimo</w:t>
      </w:r>
      <w:r w:rsidR="00FA0D4A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14:paraId="732B028C" w14:textId="59A0ECC0" w:rsidR="00270CEB" w:rsidRPr="00270CEB" w:rsidRDefault="005C197F" w:rsidP="00FA0D4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410E4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47CD7">
        <w:rPr>
          <w:rFonts w:ascii="Times New Roman" w:eastAsia="Calibri" w:hAnsi="Times New Roman"/>
          <w:sz w:val="24"/>
          <w:szCs w:val="24"/>
          <w:lang w:val="lt-LT"/>
        </w:rPr>
        <w:t>Taip pat pažymės</w:t>
      </w:r>
      <w:r w:rsidR="00270CEB" w:rsidRPr="00270CEB">
        <w:rPr>
          <w:rFonts w:ascii="Times New Roman" w:eastAsia="Calibri" w:hAnsi="Times New Roman"/>
          <w:sz w:val="24"/>
          <w:szCs w:val="24"/>
          <w:lang w:val="lt-LT"/>
        </w:rPr>
        <w:t xml:space="preserve">, kad labai svarbu yra </w:t>
      </w:r>
      <w:r w:rsidR="00BA300F" w:rsidRPr="00270CEB">
        <w:rPr>
          <w:rFonts w:ascii="Times New Roman" w:eastAsia="Calibri" w:hAnsi="Times New Roman"/>
          <w:sz w:val="24"/>
          <w:szCs w:val="24"/>
          <w:lang w:val="lt-LT"/>
        </w:rPr>
        <w:t xml:space="preserve">užtikrinti visapusiškas </w:t>
      </w:r>
      <w:r w:rsidR="00270CEB" w:rsidRPr="00270CEB">
        <w:rPr>
          <w:rFonts w:ascii="Times New Roman" w:eastAsia="Calibri" w:hAnsi="Times New Roman"/>
          <w:sz w:val="24"/>
          <w:szCs w:val="24"/>
          <w:lang w:val="lt-LT"/>
        </w:rPr>
        <w:t xml:space="preserve">įvairių finansavimo šaltinių </w:t>
      </w:r>
      <w:r w:rsidR="00BD4D8A">
        <w:rPr>
          <w:rFonts w:ascii="Times New Roman" w:eastAsia="Calibri" w:hAnsi="Times New Roman"/>
          <w:sz w:val="24"/>
          <w:szCs w:val="24"/>
          <w:lang w:val="lt-LT"/>
        </w:rPr>
        <w:t xml:space="preserve">ES </w:t>
      </w:r>
      <w:r w:rsidR="00270CEB" w:rsidRPr="00270CEB">
        <w:rPr>
          <w:rFonts w:ascii="Times New Roman" w:eastAsia="Calibri" w:hAnsi="Times New Roman"/>
          <w:sz w:val="24"/>
          <w:szCs w:val="24"/>
          <w:lang w:val="lt-LT"/>
        </w:rPr>
        <w:t>programose po 2020 m. ir Sanglaudos politiko</w:t>
      </w:r>
      <w:r w:rsidR="00BD4D8A">
        <w:rPr>
          <w:rFonts w:ascii="Times New Roman" w:eastAsia="Calibri" w:hAnsi="Times New Roman"/>
          <w:sz w:val="24"/>
          <w:szCs w:val="24"/>
          <w:lang w:val="lt-LT"/>
        </w:rPr>
        <w:t>s instrumentų</w:t>
      </w:r>
      <w:r w:rsidR="00270CEB" w:rsidRPr="00270CE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D4D8A" w:rsidRPr="00270CEB">
        <w:rPr>
          <w:rFonts w:ascii="Times New Roman" w:eastAsia="Calibri" w:hAnsi="Times New Roman"/>
          <w:sz w:val="24"/>
          <w:szCs w:val="24"/>
          <w:lang w:val="lt-LT"/>
        </w:rPr>
        <w:t>sinergijas</w:t>
      </w:r>
      <w:r w:rsidR="00270CEB" w:rsidRPr="00270CEB">
        <w:rPr>
          <w:rFonts w:ascii="Times New Roman" w:eastAsia="Calibri" w:hAnsi="Times New Roman"/>
          <w:sz w:val="24"/>
          <w:szCs w:val="24"/>
          <w:lang w:val="lt-LT"/>
        </w:rPr>
        <w:t>.</w:t>
      </w:r>
      <w:bookmarkStart w:id="0" w:name="_GoBack"/>
      <w:bookmarkEnd w:id="0"/>
    </w:p>
    <w:sectPr w:rsidR="00270CEB" w:rsidRPr="00270CEB" w:rsidSect="00B7696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3EEA8" w14:textId="77777777" w:rsidR="00E068FF" w:rsidRDefault="00E068FF" w:rsidP="001F6E54">
      <w:r>
        <w:separator/>
      </w:r>
    </w:p>
  </w:endnote>
  <w:endnote w:type="continuationSeparator" w:id="0">
    <w:p w14:paraId="4AD3904C" w14:textId="77777777" w:rsidR="00E068FF" w:rsidRDefault="00E068FF" w:rsidP="001F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32736" w14:textId="77777777" w:rsidR="00E068FF" w:rsidRDefault="00E068FF" w:rsidP="001F6E54">
      <w:r>
        <w:separator/>
      </w:r>
    </w:p>
  </w:footnote>
  <w:footnote w:type="continuationSeparator" w:id="0">
    <w:p w14:paraId="23899E08" w14:textId="77777777" w:rsidR="00E068FF" w:rsidRDefault="00E068FF" w:rsidP="001F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B96"/>
    <w:multiLevelType w:val="hybridMultilevel"/>
    <w:tmpl w:val="0A26B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7AFA"/>
    <w:multiLevelType w:val="hybridMultilevel"/>
    <w:tmpl w:val="A3CEA848"/>
    <w:lvl w:ilvl="0" w:tplc="316C63EA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0E0"/>
    <w:multiLevelType w:val="hybridMultilevel"/>
    <w:tmpl w:val="4F841156"/>
    <w:lvl w:ilvl="0" w:tplc="1E78651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6F0"/>
    <w:multiLevelType w:val="hybridMultilevel"/>
    <w:tmpl w:val="EF16C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B6AD8"/>
    <w:multiLevelType w:val="hybridMultilevel"/>
    <w:tmpl w:val="D92892AE"/>
    <w:lvl w:ilvl="0" w:tplc="F3AE04AE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B001D5"/>
    <w:multiLevelType w:val="hybridMultilevel"/>
    <w:tmpl w:val="57EC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B615E"/>
    <w:multiLevelType w:val="hybridMultilevel"/>
    <w:tmpl w:val="D6726E40"/>
    <w:lvl w:ilvl="0" w:tplc="88D020E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34D8D"/>
    <w:multiLevelType w:val="hybridMultilevel"/>
    <w:tmpl w:val="CBC4CC64"/>
    <w:lvl w:ilvl="0" w:tplc="1862D97A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842DEF"/>
    <w:multiLevelType w:val="hybridMultilevel"/>
    <w:tmpl w:val="9976B236"/>
    <w:lvl w:ilvl="0" w:tplc="48BE322E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B394F"/>
    <w:multiLevelType w:val="hybridMultilevel"/>
    <w:tmpl w:val="5A0C105E"/>
    <w:lvl w:ilvl="0" w:tplc="DAB293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85542"/>
    <w:multiLevelType w:val="hybridMultilevel"/>
    <w:tmpl w:val="EF16C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A08F5"/>
    <w:multiLevelType w:val="hybridMultilevel"/>
    <w:tmpl w:val="71BCC41C"/>
    <w:lvl w:ilvl="0" w:tplc="19C041C4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F0828"/>
    <w:multiLevelType w:val="hybridMultilevel"/>
    <w:tmpl w:val="34FAB726"/>
    <w:lvl w:ilvl="0" w:tplc="929CE2C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12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54"/>
    <w:rsid w:val="00003055"/>
    <w:rsid w:val="00013AF4"/>
    <w:rsid w:val="000F46D1"/>
    <w:rsid w:val="000F5EA2"/>
    <w:rsid w:val="0011053D"/>
    <w:rsid w:val="00111C37"/>
    <w:rsid w:val="00134170"/>
    <w:rsid w:val="00136B66"/>
    <w:rsid w:val="0014657C"/>
    <w:rsid w:val="00150079"/>
    <w:rsid w:val="001629EF"/>
    <w:rsid w:val="00193B9A"/>
    <w:rsid w:val="001B25C6"/>
    <w:rsid w:val="001B4ACC"/>
    <w:rsid w:val="001C4D36"/>
    <w:rsid w:val="001F3F36"/>
    <w:rsid w:val="001F6E54"/>
    <w:rsid w:val="002034E9"/>
    <w:rsid w:val="00222C7D"/>
    <w:rsid w:val="002577AD"/>
    <w:rsid w:val="00270CEB"/>
    <w:rsid w:val="0027765A"/>
    <w:rsid w:val="00294A67"/>
    <w:rsid w:val="002D3A58"/>
    <w:rsid w:val="002D7F53"/>
    <w:rsid w:val="002F54FF"/>
    <w:rsid w:val="0030790B"/>
    <w:rsid w:val="0031386E"/>
    <w:rsid w:val="00347CD7"/>
    <w:rsid w:val="00355B4A"/>
    <w:rsid w:val="003871BA"/>
    <w:rsid w:val="003923EC"/>
    <w:rsid w:val="003A799F"/>
    <w:rsid w:val="003B3CC4"/>
    <w:rsid w:val="003C0BBD"/>
    <w:rsid w:val="003F6C1F"/>
    <w:rsid w:val="003F7168"/>
    <w:rsid w:val="004044C5"/>
    <w:rsid w:val="00410E44"/>
    <w:rsid w:val="00430CC5"/>
    <w:rsid w:val="00471C46"/>
    <w:rsid w:val="0047596B"/>
    <w:rsid w:val="004B0B5C"/>
    <w:rsid w:val="004E48CA"/>
    <w:rsid w:val="005071B8"/>
    <w:rsid w:val="005116C8"/>
    <w:rsid w:val="00512D26"/>
    <w:rsid w:val="00520343"/>
    <w:rsid w:val="005C197F"/>
    <w:rsid w:val="005D520C"/>
    <w:rsid w:val="005E26C3"/>
    <w:rsid w:val="005E5C10"/>
    <w:rsid w:val="0061238B"/>
    <w:rsid w:val="006238C6"/>
    <w:rsid w:val="00663F59"/>
    <w:rsid w:val="006C083C"/>
    <w:rsid w:val="006C404E"/>
    <w:rsid w:val="00712484"/>
    <w:rsid w:val="0072619C"/>
    <w:rsid w:val="00776096"/>
    <w:rsid w:val="007852F7"/>
    <w:rsid w:val="007A5B2B"/>
    <w:rsid w:val="007C1D91"/>
    <w:rsid w:val="007D1F77"/>
    <w:rsid w:val="007E2C8C"/>
    <w:rsid w:val="007E345C"/>
    <w:rsid w:val="007F2866"/>
    <w:rsid w:val="007F7072"/>
    <w:rsid w:val="00807F21"/>
    <w:rsid w:val="00874104"/>
    <w:rsid w:val="00881B29"/>
    <w:rsid w:val="00885DE9"/>
    <w:rsid w:val="00886D9B"/>
    <w:rsid w:val="008A0742"/>
    <w:rsid w:val="008A4869"/>
    <w:rsid w:val="008C20A3"/>
    <w:rsid w:val="008C6AAA"/>
    <w:rsid w:val="009005E1"/>
    <w:rsid w:val="00906836"/>
    <w:rsid w:val="00914D8F"/>
    <w:rsid w:val="0094588B"/>
    <w:rsid w:val="00945D99"/>
    <w:rsid w:val="00982958"/>
    <w:rsid w:val="00985BCF"/>
    <w:rsid w:val="00991DE0"/>
    <w:rsid w:val="009B447F"/>
    <w:rsid w:val="00A07A9B"/>
    <w:rsid w:val="00A21BDD"/>
    <w:rsid w:val="00A4160F"/>
    <w:rsid w:val="00A4522F"/>
    <w:rsid w:val="00A82E0B"/>
    <w:rsid w:val="00AB4122"/>
    <w:rsid w:val="00B016A5"/>
    <w:rsid w:val="00B071C3"/>
    <w:rsid w:val="00B134C5"/>
    <w:rsid w:val="00B27C11"/>
    <w:rsid w:val="00B45928"/>
    <w:rsid w:val="00B7696D"/>
    <w:rsid w:val="00B957B2"/>
    <w:rsid w:val="00BA1A97"/>
    <w:rsid w:val="00BA300F"/>
    <w:rsid w:val="00BB38B9"/>
    <w:rsid w:val="00BB474F"/>
    <w:rsid w:val="00BC5BBC"/>
    <w:rsid w:val="00BD4D8A"/>
    <w:rsid w:val="00C3220F"/>
    <w:rsid w:val="00C6277A"/>
    <w:rsid w:val="00C65781"/>
    <w:rsid w:val="00C84F41"/>
    <w:rsid w:val="00C852D0"/>
    <w:rsid w:val="00CA03FB"/>
    <w:rsid w:val="00D06EE1"/>
    <w:rsid w:val="00D20AF6"/>
    <w:rsid w:val="00D2283F"/>
    <w:rsid w:val="00D73FA9"/>
    <w:rsid w:val="00DB0F37"/>
    <w:rsid w:val="00DB4BE3"/>
    <w:rsid w:val="00DD20A2"/>
    <w:rsid w:val="00DE7D0D"/>
    <w:rsid w:val="00E068FF"/>
    <w:rsid w:val="00E50029"/>
    <w:rsid w:val="00E53545"/>
    <w:rsid w:val="00E62E62"/>
    <w:rsid w:val="00E91A03"/>
    <w:rsid w:val="00EA283F"/>
    <w:rsid w:val="00EA4621"/>
    <w:rsid w:val="00EA5056"/>
    <w:rsid w:val="00EE6AAC"/>
    <w:rsid w:val="00F23543"/>
    <w:rsid w:val="00F55970"/>
    <w:rsid w:val="00F840C9"/>
    <w:rsid w:val="00FA0D4A"/>
    <w:rsid w:val="00FE5279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B377"/>
  <w15:chartTrackingRefBased/>
  <w15:docId w15:val="{96F8FBBD-8DBC-42F0-96DA-23F8117A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6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6E5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F6E54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F6E54"/>
    <w:rPr>
      <w:rFonts w:ascii="HelveticaLT" w:eastAsia="Times New Roman" w:hAnsi="HelveticaLT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F6E54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1F6E54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Default">
    <w:name w:val="Default"/>
    <w:rsid w:val="001B4ACC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77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77A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tlid-translation">
    <w:name w:val="tlid-translation"/>
    <w:basedOn w:val="Numatytasispastraiposriftas"/>
    <w:rsid w:val="007E2C8C"/>
  </w:style>
  <w:style w:type="character" w:styleId="Komentaronuoroda">
    <w:name w:val="annotation reference"/>
    <w:basedOn w:val="Numatytasispastraiposriftas"/>
    <w:uiPriority w:val="99"/>
    <w:semiHidden/>
    <w:unhideWhenUsed/>
    <w:rsid w:val="00FF52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524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5240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52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5240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70A2F-7A07-4802-B09B-1AC203C5B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5C069-A71B-40B0-96C9-B9AF6FA4BB9D}"/>
</file>

<file path=customXml/itemProps3.xml><?xml version="1.0" encoding="utf-8"?>
<ds:datastoreItem xmlns:ds="http://schemas.openxmlformats.org/officeDocument/2006/customXml" ds:itemID="{D4A42CAB-5B15-4152-A577-D6C033C725D8}"/>
</file>

<file path=customXml/itemProps4.xml><?xml version="1.0" encoding="utf-8"?>
<ds:datastoreItem xmlns:ds="http://schemas.openxmlformats.org/officeDocument/2006/customXml" ds:itemID="{7543F1AE-1A57-484F-8DB0-8ED00A011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a5b6f0d7-99f4-4729-bc82-4ec56b369b54</dc:title>
  <dc:subject/>
  <dc:creator>Kazlauskas Aušvydas</dc:creator>
  <cp:keywords/>
  <dc:description/>
  <cp:lastModifiedBy>Kazlauskas Aušvydas</cp:lastModifiedBy>
  <cp:revision>6</cp:revision>
  <cp:lastPrinted>2020-02-13T08:48:00Z</cp:lastPrinted>
  <dcterms:created xsi:type="dcterms:W3CDTF">2020-02-13T12:48:00Z</dcterms:created>
  <dcterms:modified xsi:type="dcterms:W3CDTF">2020-02-13T12:59:00Z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