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3FA" w:rsidRPr="003F5F10" w:rsidRDefault="003B579F" w:rsidP="005F43FA">
      <w:pPr>
        <w:spacing w:after="0" w:line="240" w:lineRule="auto"/>
        <w:jc w:val="center"/>
        <w:outlineLvl w:val="0"/>
        <w:rPr>
          <w:rFonts w:eastAsia="Calibri" w:cs="Times New Roman"/>
          <w:b/>
          <w:caps/>
          <w:szCs w:val="24"/>
        </w:rPr>
      </w:pPr>
      <w:r w:rsidRPr="003F5F10">
        <w:rPr>
          <w:rFonts w:eastAsia="Calibri" w:cs="Times New Roman"/>
          <w:b/>
          <w:caps/>
          <w:szCs w:val="24"/>
        </w:rPr>
        <w:t>Derinimo pažyma</w:t>
      </w:r>
      <w:r w:rsidR="00DC7AFD" w:rsidRPr="003F5F10">
        <w:rPr>
          <w:rFonts w:eastAsia="Calibri" w:cs="Times New Roman"/>
          <w:b/>
          <w:caps/>
          <w:szCs w:val="24"/>
        </w:rPr>
        <w:t xml:space="preserve"> </w:t>
      </w:r>
    </w:p>
    <w:p w:rsidR="00383B61" w:rsidRPr="003F5F10" w:rsidRDefault="00383B61" w:rsidP="00383B61">
      <w:pPr>
        <w:spacing w:after="0" w:line="240" w:lineRule="auto"/>
        <w:jc w:val="center"/>
        <w:outlineLvl w:val="0"/>
        <w:rPr>
          <w:rFonts w:eastAsia="Calibri" w:cs="Times New Roman"/>
          <w:b/>
          <w:caps/>
          <w:szCs w:val="24"/>
        </w:rPr>
      </w:pPr>
      <w:r w:rsidRPr="003F5F10">
        <w:rPr>
          <w:rFonts w:eastAsia="Calibri" w:cs="Times New Roman"/>
          <w:b/>
          <w:caps/>
          <w:szCs w:val="24"/>
        </w:rPr>
        <w:t>DĖL LIETUVOS RESPUBLIKOS</w:t>
      </w:r>
    </w:p>
    <w:p w:rsidR="00383B61" w:rsidRPr="003F5F10" w:rsidRDefault="00383B61" w:rsidP="00383B61">
      <w:pPr>
        <w:spacing w:after="0" w:line="240" w:lineRule="auto"/>
        <w:jc w:val="center"/>
        <w:outlineLvl w:val="0"/>
        <w:rPr>
          <w:rFonts w:eastAsia="Calibri" w:cs="Times New Roman"/>
          <w:b/>
          <w:caps/>
          <w:szCs w:val="24"/>
        </w:rPr>
      </w:pPr>
      <w:r w:rsidRPr="003F5F10">
        <w:rPr>
          <w:rFonts w:eastAsia="Calibri" w:cs="Times New Roman"/>
          <w:b/>
          <w:caps/>
          <w:szCs w:val="24"/>
        </w:rPr>
        <w:t>BAUDŽIAMOJO PROCESO KODEKSO 94, 342, 362, 364</w:t>
      </w:r>
      <w:r w:rsidR="00631074">
        <w:rPr>
          <w:rFonts w:eastAsia="Calibri" w:cs="Times New Roman"/>
          <w:b/>
          <w:caps/>
          <w:szCs w:val="24"/>
        </w:rPr>
        <w:t>, 365</w:t>
      </w:r>
      <w:r w:rsidR="00631074">
        <w:rPr>
          <w:rFonts w:eastAsia="Calibri" w:cs="Times New Roman"/>
          <w:b/>
          <w:caps/>
          <w:szCs w:val="24"/>
          <w:vertAlign w:val="superscript"/>
        </w:rPr>
        <w:t>5</w:t>
      </w:r>
      <w:r w:rsidRPr="003F5F10">
        <w:rPr>
          <w:rFonts w:eastAsia="Calibri" w:cs="Times New Roman"/>
          <w:b/>
          <w:caps/>
          <w:szCs w:val="24"/>
        </w:rPr>
        <w:t xml:space="preserve"> STRAIPSNIŲ </w:t>
      </w:r>
      <w:r w:rsidR="002A776A">
        <w:rPr>
          <w:rFonts w:eastAsia="Calibri" w:cs="Times New Roman"/>
          <w:b/>
          <w:caps/>
          <w:szCs w:val="24"/>
        </w:rPr>
        <w:t>IR PRIEDO PAKEITIMO IR 17</w:t>
      </w:r>
      <w:r w:rsidR="002A776A">
        <w:rPr>
          <w:rFonts w:eastAsia="Calibri" w:cs="Times New Roman"/>
          <w:b/>
          <w:caps/>
          <w:szCs w:val="24"/>
          <w:vertAlign w:val="superscript"/>
        </w:rPr>
        <w:t>3</w:t>
      </w:r>
      <w:r w:rsidR="002A776A">
        <w:rPr>
          <w:rFonts w:eastAsia="Calibri" w:cs="Times New Roman"/>
          <w:b/>
          <w:caps/>
          <w:szCs w:val="24"/>
        </w:rPr>
        <w:t>, 365</w:t>
      </w:r>
      <w:r w:rsidR="002A776A">
        <w:rPr>
          <w:rFonts w:eastAsia="Calibri" w:cs="Times New Roman"/>
          <w:b/>
          <w:caps/>
          <w:szCs w:val="24"/>
          <w:vertAlign w:val="superscript"/>
        </w:rPr>
        <w:t>3</w:t>
      </w:r>
      <w:r w:rsidR="002A776A">
        <w:rPr>
          <w:rFonts w:eastAsia="Calibri" w:cs="Times New Roman"/>
          <w:b/>
          <w:caps/>
          <w:szCs w:val="24"/>
        </w:rPr>
        <w:t>, 365</w:t>
      </w:r>
      <w:r w:rsidR="002A776A">
        <w:rPr>
          <w:rFonts w:eastAsia="Calibri" w:cs="Times New Roman"/>
          <w:b/>
          <w:caps/>
          <w:szCs w:val="24"/>
          <w:vertAlign w:val="superscript"/>
        </w:rPr>
        <w:t>4</w:t>
      </w:r>
      <w:r w:rsidRPr="003F5F10">
        <w:rPr>
          <w:rFonts w:eastAsia="Calibri" w:cs="Times New Roman"/>
          <w:b/>
          <w:caps/>
          <w:szCs w:val="24"/>
        </w:rPr>
        <w:t xml:space="preserve"> STRAIPSNIŲ PRIPAŽINIMO NETEKUSIAIS GALIOS</w:t>
      </w:r>
    </w:p>
    <w:p w:rsidR="00383B61" w:rsidRPr="003F5F10" w:rsidRDefault="00383B61" w:rsidP="00383B61">
      <w:pPr>
        <w:spacing w:after="0" w:line="240" w:lineRule="auto"/>
        <w:jc w:val="center"/>
        <w:outlineLvl w:val="0"/>
        <w:rPr>
          <w:rFonts w:eastAsia="Calibri" w:cs="Times New Roman"/>
          <w:b/>
          <w:caps/>
          <w:szCs w:val="24"/>
        </w:rPr>
      </w:pPr>
      <w:r w:rsidRPr="003F5F10">
        <w:rPr>
          <w:rFonts w:eastAsia="Calibri" w:cs="Times New Roman"/>
          <w:b/>
          <w:caps/>
          <w:szCs w:val="24"/>
        </w:rPr>
        <w:t>ĮSTATYMO PROJEKTO IR LIETUVOS RESPUBLIKOS</w:t>
      </w:r>
    </w:p>
    <w:p w:rsidR="00383B61" w:rsidRPr="003F5F10" w:rsidRDefault="00383B61" w:rsidP="00383B61">
      <w:pPr>
        <w:spacing w:after="0" w:line="240" w:lineRule="auto"/>
        <w:jc w:val="center"/>
        <w:outlineLvl w:val="0"/>
        <w:rPr>
          <w:rFonts w:eastAsia="Calibri" w:cs="Times New Roman"/>
          <w:b/>
          <w:caps/>
          <w:szCs w:val="24"/>
        </w:rPr>
      </w:pPr>
      <w:r w:rsidRPr="003F5F10">
        <w:rPr>
          <w:rFonts w:eastAsia="Calibri" w:cs="Times New Roman"/>
          <w:b/>
          <w:caps/>
          <w:szCs w:val="24"/>
        </w:rPr>
        <w:t>ĮSTATYMO DĖL EUROPOS SĄJUNGOS VALSTYBIŲ NARIŲ SPRENDIMŲ BAUDŽIAMOSIOSE BYLOSE TARPUSAVIO PRIPAŽINIMO IR VYKDYMO</w:t>
      </w:r>
    </w:p>
    <w:p w:rsidR="00383B61" w:rsidRPr="003F5F10" w:rsidRDefault="00383B61" w:rsidP="00383B61">
      <w:pPr>
        <w:spacing w:after="0" w:line="240" w:lineRule="auto"/>
        <w:jc w:val="center"/>
        <w:outlineLvl w:val="0"/>
        <w:rPr>
          <w:rFonts w:eastAsia="Calibri" w:cs="Times New Roman"/>
          <w:b/>
          <w:caps/>
          <w:szCs w:val="24"/>
        </w:rPr>
      </w:pPr>
      <w:r w:rsidRPr="003F5F10">
        <w:rPr>
          <w:rFonts w:eastAsia="Calibri" w:cs="Times New Roman"/>
          <w:b/>
          <w:caps/>
          <w:szCs w:val="24"/>
        </w:rPr>
        <w:t>NR. XII-1322 1, 2, 72 STRAIPSNIŲ, PRIEDO PAKEITIMO IR ĮSTATYMO PAPILDYMO NAUJAIS XIV, XV, XVI, XVII SKYRIAIS BEI 86 STRAIPSNIO PRIPAŽINIMO NETEKUSIU GALIOS</w:t>
      </w:r>
    </w:p>
    <w:p w:rsidR="005F43FA" w:rsidRPr="003F5F10" w:rsidRDefault="00383B61" w:rsidP="00383B61">
      <w:pPr>
        <w:spacing w:after="0" w:line="240" w:lineRule="auto"/>
        <w:jc w:val="center"/>
        <w:outlineLvl w:val="0"/>
        <w:rPr>
          <w:rFonts w:eastAsia="Calibri" w:cs="Times New Roman"/>
          <w:b/>
          <w:caps/>
          <w:szCs w:val="24"/>
        </w:rPr>
      </w:pPr>
      <w:r w:rsidRPr="003F5F10">
        <w:rPr>
          <w:rFonts w:eastAsia="Calibri" w:cs="Times New Roman"/>
          <w:b/>
          <w:caps/>
          <w:szCs w:val="24"/>
        </w:rPr>
        <w:t>ĮSTATYMO PROJEKTO</w:t>
      </w:r>
    </w:p>
    <w:p w:rsidR="00383B61" w:rsidRPr="003F5F10" w:rsidRDefault="00383B61" w:rsidP="00383B61">
      <w:pPr>
        <w:spacing w:after="0" w:line="240" w:lineRule="auto"/>
        <w:jc w:val="center"/>
        <w:outlineLvl w:val="0"/>
        <w:rPr>
          <w:rFonts w:eastAsia="Calibri" w:cs="Times New Roman"/>
          <w:b/>
          <w:caps/>
          <w:szCs w:val="24"/>
        </w:rPr>
      </w:pPr>
    </w:p>
    <w:tbl>
      <w:tblPr>
        <w:tblStyle w:val="Lentelstinklelis"/>
        <w:tblW w:w="15593" w:type="dxa"/>
        <w:tblInd w:w="-1139" w:type="dxa"/>
        <w:tblLook w:val="04A0" w:firstRow="1" w:lastRow="0" w:firstColumn="1" w:lastColumn="0" w:noHBand="0" w:noVBand="1"/>
      </w:tblPr>
      <w:tblGrid>
        <w:gridCol w:w="2127"/>
        <w:gridCol w:w="5670"/>
        <w:gridCol w:w="7796"/>
      </w:tblGrid>
      <w:tr w:rsidR="006959FE" w:rsidRPr="003F5F10" w:rsidTr="005F43FA">
        <w:tc>
          <w:tcPr>
            <w:tcW w:w="2127" w:type="dxa"/>
            <w:tcBorders>
              <w:top w:val="single" w:sz="4" w:space="0" w:color="auto"/>
              <w:left w:val="single" w:sz="4" w:space="0" w:color="auto"/>
              <w:bottom w:val="single" w:sz="4" w:space="0" w:color="auto"/>
              <w:right w:val="single" w:sz="4" w:space="0" w:color="auto"/>
            </w:tcBorders>
          </w:tcPr>
          <w:p w:rsidR="005D4147" w:rsidRPr="003F5F10" w:rsidRDefault="00502EF6" w:rsidP="00CF2553">
            <w:pPr>
              <w:rPr>
                <w:rFonts w:cs="Times New Roman"/>
                <w:szCs w:val="24"/>
              </w:rPr>
            </w:pPr>
            <w:r w:rsidRPr="003F5F10">
              <w:rPr>
                <w:rFonts w:cs="Times New Roman"/>
                <w:szCs w:val="24"/>
              </w:rPr>
              <w:t xml:space="preserve">Institucija </w:t>
            </w:r>
          </w:p>
        </w:tc>
        <w:tc>
          <w:tcPr>
            <w:tcW w:w="5670" w:type="dxa"/>
            <w:tcBorders>
              <w:top w:val="single" w:sz="4" w:space="0" w:color="auto"/>
              <w:left w:val="single" w:sz="4" w:space="0" w:color="auto"/>
              <w:bottom w:val="single" w:sz="4" w:space="0" w:color="auto"/>
              <w:right w:val="single" w:sz="4" w:space="0" w:color="auto"/>
            </w:tcBorders>
          </w:tcPr>
          <w:p w:rsidR="005D4147" w:rsidRPr="003F5F10" w:rsidRDefault="005D4147" w:rsidP="00CF2553">
            <w:pPr>
              <w:pStyle w:val="Preformatted"/>
              <w:tabs>
                <w:tab w:val="clear" w:pos="959"/>
                <w:tab w:val="clear" w:pos="1918"/>
                <w:tab w:val="left" w:pos="1276"/>
              </w:tabs>
              <w:ind w:left="709"/>
              <w:jc w:val="both"/>
              <w:rPr>
                <w:rFonts w:ascii="Times New Roman" w:hAnsi="Times New Roman"/>
                <w:sz w:val="24"/>
                <w:szCs w:val="24"/>
              </w:rPr>
            </w:pPr>
            <w:r w:rsidRPr="003F5F10">
              <w:rPr>
                <w:rFonts w:ascii="Times New Roman" w:hAnsi="Times New Roman"/>
                <w:sz w:val="24"/>
                <w:szCs w:val="24"/>
              </w:rPr>
              <w:t>Pastabos</w:t>
            </w:r>
          </w:p>
        </w:tc>
        <w:tc>
          <w:tcPr>
            <w:tcW w:w="7796" w:type="dxa"/>
            <w:tcBorders>
              <w:top w:val="single" w:sz="4" w:space="0" w:color="auto"/>
              <w:left w:val="single" w:sz="4" w:space="0" w:color="auto"/>
              <w:bottom w:val="single" w:sz="4" w:space="0" w:color="auto"/>
              <w:right w:val="single" w:sz="4" w:space="0" w:color="auto"/>
            </w:tcBorders>
          </w:tcPr>
          <w:p w:rsidR="005D4147" w:rsidRPr="003F5F10" w:rsidRDefault="005D4147" w:rsidP="00CF2553">
            <w:pPr>
              <w:rPr>
                <w:rFonts w:cs="Times New Roman"/>
                <w:szCs w:val="24"/>
              </w:rPr>
            </w:pPr>
            <w:r w:rsidRPr="003F5F10">
              <w:rPr>
                <w:rFonts w:cs="Times New Roman"/>
                <w:szCs w:val="24"/>
              </w:rPr>
              <w:t>Įvertinimas</w:t>
            </w:r>
          </w:p>
        </w:tc>
      </w:tr>
      <w:tr w:rsidR="00F730E4" w:rsidRPr="003F5F10" w:rsidTr="005F43FA">
        <w:tc>
          <w:tcPr>
            <w:tcW w:w="2127" w:type="dxa"/>
            <w:tcBorders>
              <w:top w:val="single" w:sz="4" w:space="0" w:color="auto"/>
              <w:left w:val="single" w:sz="4" w:space="0" w:color="auto"/>
              <w:bottom w:val="single" w:sz="4" w:space="0" w:color="auto"/>
              <w:right w:val="single" w:sz="4" w:space="0" w:color="auto"/>
            </w:tcBorders>
          </w:tcPr>
          <w:p w:rsidR="00F730E4" w:rsidRPr="003F5F10" w:rsidRDefault="00EE6777" w:rsidP="00EE6777">
            <w:pPr>
              <w:rPr>
                <w:rFonts w:cs="Times New Roman"/>
                <w:szCs w:val="24"/>
              </w:rPr>
            </w:pPr>
            <w:r w:rsidRPr="003F5F10">
              <w:rPr>
                <w:rFonts w:cs="Times New Roman"/>
                <w:szCs w:val="24"/>
              </w:rPr>
              <w:t>Valstybinės mokesčių inspekcijos prie Lietuvos Respublikos finansų ministerijos</w:t>
            </w:r>
            <w:r w:rsidR="00F730E4" w:rsidRPr="003F5F10">
              <w:rPr>
                <w:rFonts w:cs="Times New Roman"/>
                <w:szCs w:val="24"/>
              </w:rPr>
              <w:t xml:space="preserve"> </w:t>
            </w:r>
            <w:r w:rsidRPr="003F5F10">
              <w:rPr>
                <w:rFonts w:cs="Times New Roman"/>
                <w:szCs w:val="24"/>
              </w:rPr>
              <w:t>2020-04-09</w:t>
            </w:r>
            <w:r w:rsidR="00396D19" w:rsidRPr="003F5F10">
              <w:rPr>
                <w:rFonts w:cs="Times New Roman"/>
                <w:szCs w:val="24"/>
              </w:rPr>
              <w:t xml:space="preserve"> raštas Nr. </w:t>
            </w:r>
            <w:r w:rsidRPr="003F5F10">
              <w:rPr>
                <w:rFonts w:cs="Times New Roman"/>
                <w:szCs w:val="24"/>
              </w:rPr>
              <w:t>20-5088 (G-5042)</w:t>
            </w:r>
          </w:p>
        </w:tc>
        <w:tc>
          <w:tcPr>
            <w:tcW w:w="5670" w:type="dxa"/>
            <w:tcBorders>
              <w:top w:val="single" w:sz="4" w:space="0" w:color="auto"/>
              <w:left w:val="single" w:sz="4" w:space="0" w:color="auto"/>
              <w:bottom w:val="single" w:sz="4" w:space="0" w:color="auto"/>
              <w:right w:val="single" w:sz="4" w:space="0" w:color="auto"/>
            </w:tcBorders>
          </w:tcPr>
          <w:p w:rsidR="00ED14E9" w:rsidRPr="003F5F10" w:rsidRDefault="00EE6777" w:rsidP="00913728">
            <w:pPr>
              <w:pStyle w:val="Standard"/>
              <w:tabs>
                <w:tab w:val="left" w:pos="8245"/>
              </w:tabs>
              <w:overflowPunct w:val="0"/>
              <w:autoSpaceDE w:val="0"/>
              <w:jc w:val="both"/>
              <w:rPr>
                <w:rFonts w:ascii="Times New Roman" w:hAnsi="Times New Roman"/>
                <w:sz w:val="24"/>
                <w:szCs w:val="24"/>
              </w:rPr>
            </w:pPr>
            <w:r w:rsidRPr="003F5F10">
              <w:rPr>
                <w:rFonts w:ascii="Times New Roman" w:hAnsi="Times New Roman"/>
                <w:sz w:val="24"/>
                <w:szCs w:val="24"/>
              </w:rPr>
              <w:t>1. Dėl įstatymo projekto 4 straipsnio. VMI prie FM siūlo Įstatymo naujo XIV skyriaus 79 straipsnyje nustatyti terminą, per kurį šiame straipsnyje nurodytos piniginės lėšos pervedamos į Valstybinės mokesčių inspekcijos biudžeto pajamų surenkamąją sąskaitą ir kas (kuri institucija) bei per kokį terminą apie tai informuoja Valstybinę mokesčių inspekciją;</w:t>
            </w:r>
          </w:p>
          <w:p w:rsidR="00B806CB" w:rsidRPr="003F5F10" w:rsidRDefault="00B806CB" w:rsidP="00913728">
            <w:pPr>
              <w:pStyle w:val="Standard"/>
              <w:tabs>
                <w:tab w:val="left" w:pos="8245"/>
              </w:tabs>
              <w:overflowPunct w:val="0"/>
              <w:autoSpaceDE w:val="0"/>
              <w:jc w:val="both"/>
              <w:rPr>
                <w:rFonts w:ascii="Times New Roman" w:hAnsi="Times New Roman"/>
                <w:sz w:val="24"/>
                <w:szCs w:val="24"/>
              </w:rPr>
            </w:pPr>
          </w:p>
          <w:p w:rsidR="00B806CB" w:rsidRPr="003F5F10" w:rsidRDefault="00B806CB" w:rsidP="00913728">
            <w:pPr>
              <w:pStyle w:val="Standard"/>
              <w:tabs>
                <w:tab w:val="left" w:pos="8245"/>
              </w:tabs>
              <w:overflowPunct w:val="0"/>
              <w:autoSpaceDE w:val="0"/>
              <w:jc w:val="both"/>
              <w:rPr>
                <w:rFonts w:ascii="Times New Roman" w:hAnsi="Times New Roman"/>
                <w:sz w:val="24"/>
                <w:szCs w:val="24"/>
              </w:rPr>
            </w:pPr>
          </w:p>
          <w:p w:rsidR="00B806CB" w:rsidRPr="003F5F10" w:rsidRDefault="00B806CB" w:rsidP="00913728">
            <w:pPr>
              <w:pStyle w:val="Standard"/>
              <w:tabs>
                <w:tab w:val="left" w:pos="8245"/>
              </w:tabs>
              <w:overflowPunct w:val="0"/>
              <w:autoSpaceDE w:val="0"/>
              <w:jc w:val="both"/>
              <w:rPr>
                <w:rFonts w:ascii="Times New Roman" w:hAnsi="Times New Roman"/>
                <w:sz w:val="24"/>
                <w:szCs w:val="24"/>
              </w:rPr>
            </w:pPr>
          </w:p>
          <w:p w:rsidR="00B806CB" w:rsidRPr="003F5F10" w:rsidRDefault="00B806CB" w:rsidP="00913728">
            <w:pPr>
              <w:pStyle w:val="Standard"/>
              <w:tabs>
                <w:tab w:val="left" w:pos="8245"/>
              </w:tabs>
              <w:overflowPunct w:val="0"/>
              <w:autoSpaceDE w:val="0"/>
              <w:jc w:val="both"/>
              <w:rPr>
                <w:rFonts w:ascii="Times New Roman" w:hAnsi="Times New Roman"/>
                <w:sz w:val="24"/>
                <w:szCs w:val="24"/>
              </w:rPr>
            </w:pPr>
          </w:p>
          <w:p w:rsidR="00B806CB" w:rsidRPr="003F5F10" w:rsidRDefault="00B806CB" w:rsidP="00913728">
            <w:pPr>
              <w:pStyle w:val="Standard"/>
              <w:tabs>
                <w:tab w:val="left" w:pos="8245"/>
              </w:tabs>
              <w:overflowPunct w:val="0"/>
              <w:autoSpaceDE w:val="0"/>
              <w:jc w:val="both"/>
              <w:rPr>
                <w:rFonts w:ascii="Times New Roman" w:hAnsi="Times New Roman"/>
                <w:sz w:val="24"/>
                <w:szCs w:val="24"/>
              </w:rPr>
            </w:pPr>
          </w:p>
          <w:p w:rsidR="00B806CB" w:rsidRPr="003F5F10" w:rsidRDefault="00B806CB" w:rsidP="00913728">
            <w:pPr>
              <w:pStyle w:val="Standard"/>
              <w:tabs>
                <w:tab w:val="left" w:pos="8245"/>
              </w:tabs>
              <w:overflowPunct w:val="0"/>
              <w:autoSpaceDE w:val="0"/>
              <w:jc w:val="both"/>
              <w:rPr>
                <w:rFonts w:ascii="Times New Roman" w:hAnsi="Times New Roman"/>
                <w:sz w:val="24"/>
                <w:szCs w:val="24"/>
              </w:rPr>
            </w:pPr>
          </w:p>
          <w:p w:rsidR="00B806CB" w:rsidRPr="003F5F10" w:rsidRDefault="00B806CB" w:rsidP="00913728">
            <w:pPr>
              <w:pStyle w:val="Standard"/>
              <w:tabs>
                <w:tab w:val="left" w:pos="8245"/>
              </w:tabs>
              <w:overflowPunct w:val="0"/>
              <w:autoSpaceDE w:val="0"/>
              <w:jc w:val="both"/>
              <w:rPr>
                <w:rFonts w:ascii="Times New Roman" w:hAnsi="Times New Roman"/>
                <w:sz w:val="24"/>
                <w:szCs w:val="24"/>
              </w:rPr>
            </w:pPr>
          </w:p>
          <w:p w:rsidR="00B806CB" w:rsidRPr="003F5F10" w:rsidRDefault="00B806CB" w:rsidP="00913728">
            <w:pPr>
              <w:pStyle w:val="Standard"/>
              <w:tabs>
                <w:tab w:val="left" w:pos="8245"/>
              </w:tabs>
              <w:overflowPunct w:val="0"/>
              <w:autoSpaceDE w:val="0"/>
              <w:jc w:val="both"/>
              <w:rPr>
                <w:rFonts w:ascii="Times New Roman" w:hAnsi="Times New Roman"/>
                <w:sz w:val="24"/>
                <w:szCs w:val="24"/>
              </w:rPr>
            </w:pPr>
          </w:p>
          <w:p w:rsidR="00B806CB" w:rsidRPr="003F5F10" w:rsidRDefault="00B806CB" w:rsidP="00913728">
            <w:pPr>
              <w:pStyle w:val="Standard"/>
              <w:tabs>
                <w:tab w:val="left" w:pos="8245"/>
              </w:tabs>
              <w:overflowPunct w:val="0"/>
              <w:autoSpaceDE w:val="0"/>
              <w:jc w:val="both"/>
              <w:rPr>
                <w:rFonts w:ascii="Times New Roman" w:hAnsi="Times New Roman"/>
                <w:sz w:val="24"/>
                <w:szCs w:val="24"/>
              </w:rPr>
            </w:pPr>
          </w:p>
          <w:p w:rsidR="00B806CB" w:rsidRPr="003F5F10" w:rsidRDefault="00B806CB" w:rsidP="00913728">
            <w:pPr>
              <w:pStyle w:val="Standard"/>
              <w:tabs>
                <w:tab w:val="left" w:pos="8245"/>
              </w:tabs>
              <w:overflowPunct w:val="0"/>
              <w:autoSpaceDE w:val="0"/>
              <w:jc w:val="both"/>
              <w:rPr>
                <w:rFonts w:ascii="Times New Roman" w:hAnsi="Times New Roman"/>
                <w:sz w:val="24"/>
                <w:szCs w:val="24"/>
              </w:rPr>
            </w:pPr>
          </w:p>
          <w:p w:rsidR="00B806CB" w:rsidRPr="003F5F10" w:rsidRDefault="00B806CB" w:rsidP="00913728">
            <w:pPr>
              <w:pStyle w:val="Standard"/>
              <w:tabs>
                <w:tab w:val="left" w:pos="8245"/>
              </w:tabs>
              <w:overflowPunct w:val="0"/>
              <w:autoSpaceDE w:val="0"/>
              <w:jc w:val="both"/>
              <w:rPr>
                <w:rFonts w:ascii="Times New Roman" w:hAnsi="Times New Roman"/>
                <w:sz w:val="24"/>
                <w:szCs w:val="24"/>
              </w:rPr>
            </w:pPr>
          </w:p>
          <w:p w:rsidR="00B806CB" w:rsidRPr="003F5F10" w:rsidRDefault="00B806CB" w:rsidP="00913728">
            <w:pPr>
              <w:pStyle w:val="Standard"/>
              <w:tabs>
                <w:tab w:val="left" w:pos="8245"/>
              </w:tabs>
              <w:overflowPunct w:val="0"/>
              <w:autoSpaceDE w:val="0"/>
              <w:jc w:val="both"/>
              <w:rPr>
                <w:rFonts w:ascii="Times New Roman" w:hAnsi="Times New Roman"/>
                <w:sz w:val="24"/>
                <w:szCs w:val="24"/>
              </w:rPr>
            </w:pPr>
          </w:p>
          <w:p w:rsidR="00B806CB" w:rsidRPr="003F5F10" w:rsidRDefault="00B806CB" w:rsidP="00913728">
            <w:pPr>
              <w:pStyle w:val="Standard"/>
              <w:tabs>
                <w:tab w:val="left" w:pos="8245"/>
              </w:tabs>
              <w:overflowPunct w:val="0"/>
              <w:autoSpaceDE w:val="0"/>
              <w:jc w:val="both"/>
              <w:rPr>
                <w:rFonts w:ascii="Times New Roman" w:hAnsi="Times New Roman"/>
                <w:sz w:val="24"/>
                <w:szCs w:val="24"/>
              </w:rPr>
            </w:pPr>
          </w:p>
          <w:p w:rsidR="00B806CB" w:rsidRPr="003F5F10" w:rsidRDefault="00B806CB" w:rsidP="00913728">
            <w:pPr>
              <w:pStyle w:val="Standard"/>
              <w:tabs>
                <w:tab w:val="left" w:pos="8245"/>
              </w:tabs>
              <w:overflowPunct w:val="0"/>
              <w:autoSpaceDE w:val="0"/>
              <w:jc w:val="both"/>
              <w:rPr>
                <w:rFonts w:ascii="Times New Roman" w:hAnsi="Times New Roman"/>
                <w:sz w:val="24"/>
                <w:szCs w:val="24"/>
              </w:rPr>
            </w:pPr>
          </w:p>
          <w:p w:rsidR="00B806CB" w:rsidRPr="003F5F10" w:rsidRDefault="00B806CB" w:rsidP="00913728">
            <w:pPr>
              <w:pStyle w:val="Standard"/>
              <w:tabs>
                <w:tab w:val="left" w:pos="8245"/>
              </w:tabs>
              <w:overflowPunct w:val="0"/>
              <w:autoSpaceDE w:val="0"/>
              <w:jc w:val="both"/>
              <w:rPr>
                <w:rFonts w:ascii="Times New Roman" w:hAnsi="Times New Roman"/>
                <w:sz w:val="24"/>
                <w:szCs w:val="24"/>
              </w:rPr>
            </w:pPr>
          </w:p>
          <w:p w:rsidR="00B806CB" w:rsidRPr="003F5F10" w:rsidRDefault="00B806CB" w:rsidP="00913728">
            <w:pPr>
              <w:pStyle w:val="Standard"/>
              <w:tabs>
                <w:tab w:val="left" w:pos="8245"/>
              </w:tabs>
              <w:overflowPunct w:val="0"/>
              <w:autoSpaceDE w:val="0"/>
              <w:jc w:val="both"/>
              <w:rPr>
                <w:rFonts w:ascii="Times New Roman" w:hAnsi="Times New Roman"/>
                <w:sz w:val="24"/>
                <w:szCs w:val="24"/>
              </w:rPr>
            </w:pPr>
          </w:p>
          <w:p w:rsidR="00B806CB" w:rsidRPr="003F5F10" w:rsidRDefault="00B806CB" w:rsidP="00913728">
            <w:pPr>
              <w:pStyle w:val="Standard"/>
              <w:tabs>
                <w:tab w:val="left" w:pos="8245"/>
              </w:tabs>
              <w:overflowPunct w:val="0"/>
              <w:autoSpaceDE w:val="0"/>
              <w:jc w:val="both"/>
              <w:rPr>
                <w:rFonts w:ascii="Times New Roman" w:hAnsi="Times New Roman"/>
                <w:sz w:val="24"/>
                <w:szCs w:val="24"/>
              </w:rPr>
            </w:pPr>
          </w:p>
          <w:p w:rsidR="00B806CB" w:rsidRPr="003F5F10" w:rsidRDefault="00B806CB" w:rsidP="00913728">
            <w:pPr>
              <w:pStyle w:val="Standard"/>
              <w:tabs>
                <w:tab w:val="left" w:pos="8245"/>
              </w:tabs>
              <w:overflowPunct w:val="0"/>
              <w:autoSpaceDE w:val="0"/>
              <w:jc w:val="both"/>
              <w:rPr>
                <w:rFonts w:ascii="Times New Roman" w:hAnsi="Times New Roman"/>
                <w:sz w:val="24"/>
                <w:szCs w:val="24"/>
              </w:rPr>
            </w:pPr>
            <w:r w:rsidRPr="003F5F10">
              <w:rPr>
                <w:rFonts w:ascii="Times New Roman" w:hAnsi="Times New Roman"/>
                <w:sz w:val="24"/>
                <w:szCs w:val="24"/>
              </w:rPr>
              <w:lastRenderedPageBreak/>
              <w:t>2. Dėl įstatymo projekto</w:t>
            </w:r>
            <w:r w:rsidRPr="003F5F10">
              <w:rPr>
                <w:rFonts w:ascii="Times New Roman" w:hAnsi="Times New Roman"/>
                <w:b/>
                <w:bCs/>
                <w:sz w:val="24"/>
                <w:szCs w:val="24"/>
              </w:rPr>
              <w:t xml:space="preserve"> </w:t>
            </w:r>
            <w:r w:rsidRPr="003F5F10">
              <w:rPr>
                <w:rFonts w:ascii="Times New Roman" w:hAnsi="Times New Roman"/>
                <w:bCs/>
                <w:sz w:val="24"/>
                <w:szCs w:val="24"/>
              </w:rPr>
              <w:t>9 straipsnio</w:t>
            </w:r>
            <w:r w:rsidRPr="003F5F10">
              <w:rPr>
                <w:rFonts w:ascii="Times New Roman" w:hAnsi="Times New Roman"/>
                <w:b/>
                <w:bCs/>
                <w:sz w:val="24"/>
                <w:szCs w:val="24"/>
              </w:rPr>
              <w:t xml:space="preserve">. </w:t>
            </w:r>
            <w:r w:rsidRPr="003F5F10">
              <w:rPr>
                <w:rFonts w:ascii="Times New Roman" w:hAnsi="Times New Roman"/>
                <w:sz w:val="24"/>
                <w:szCs w:val="24"/>
              </w:rPr>
              <w:t>Įstatymo XVIII</w:t>
            </w:r>
            <w:r w:rsidRPr="003F5F10">
              <w:rPr>
                <w:rFonts w:ascii="Times New Roman" w:hAnsi="Times New Roman"/>
                <w:bCs/>
                <w:sz w:val="24"/>
                <w:szCs w:val="24"/>
              </w:rPr>
              <w:t xml:space="preserve"> skyriaus</w:t>
            </w:r>
            <w:r w:rsidRPr="003F5F10">
              <w:rPr>
                <w:rFonts w:ascii="Times New Roman" w:hAnsi="Times New Roman"/>
                <w:b/>
                <w:bCs/>
                <w:sz w:val="24"/>
                <w:szCs w:val="24"/>
              </w:rPr>
              <w:t> </w:t>
            </w:r>
            <w:r w:rsidRPr="003F5F10">
              <w:rPr>
                <w:rFonts w:ascii="Times New Roman" w:hAnsi="Times New Roman"/>
                <w:sz w:val="24"/>
                <w:szCs w:val="24"/>
              </w:rPr>
              <w:t>85 straipsnio 6 dalyje nustatyta, kad šio Įstatymo XII, XIII, XIV ir XV skyriai taikomi tik Airijai ir Danijos Karalystei, tačiau nėra aišku, dėl kokių motyvų minėti skyriai nebus taikomi visoms Europos Sąjungos valstybėms narėms.</w:t>
            </w:r>
          </w:p>
          <w:p w:rsidR="00ED14E9" w:rsidRPr="003F5F10" w:rsidRDefault="00ED14E9" w:rsidP="00AB050D">
            <w:pPr>
              <w:suppressAutoHyphens/>
              <w:autoSpaceDN w:val="0"/>
              <w:jc w:val="both"/>
              <w:textAlignment w:val="baseline"/>
              <w:rPr>
                <w:rFonts w:cs="Times New Roman"/>
                <w:szCs w:val="24"/>
              </w:rPr>
            </w:pPr>
          </w:p>
        </w:tc>
        <w:tc>
          <w:tcPr>
            <w:tcW w:w="7796" w:type="dxa"/>
            <w:tcBorders>
              <w:top w:val="single" w:sz="4" w:space="0" w:color="auto"/>
              <w:left w:val="single" w:sz="4" w:space="0" w:color="auto"/>
              <w:bottom w:val="single" w:sz="4" w:space="0" w:color="auto"/>
              <w:right w:val="single" w:sz="4" w:space="0" w:color="auto"/>
            </w:tcBorders>
          </w:tcPr>
          <w:p w:rsidR="00F730E4" w:rsidRPr="003F5F10" w:rsidRDefault="00EE6777" w:rsidP="005F43FA">
            <w:pPr>
              <w:jc w:val="both"/>
              <w:rPr>
                <w:rFonts w:cs="Times New Roman"/>
                <w:b/>
                <w:szCs w:val="24"/>
              </w:rPr>
            </w:pPr>
            <w:r w:rsidRPr="003F5F10">
              <w:rPr>
                <w:rFonts w:cs="Times New Roman"/>
                <w:b/>
                <w:szCs w:val="24"/>
              </w:rPr>
              <w:lastRenderedPageBreak/>
              <w:t>Neatsižvelgta</w:t>
            </w:r>
            <w:r w:rsidR="002D09E2" w:rsidRPr="003F5F10">
              <w:rPr>
                <w:rFonts w:cs="Times New Roman"/>
                <w:b/>
                <w:szCs w:val="24"/>
              </w:rPr>
              <w:t>.</w:t>
            </w:r>
          </w:p>
          <w:p w:rsidR="009E22D4" w:rsidRPr="003F5F10" w:rsidRDefault="009E22D4" w:rsidP="005057A1">
            <w:pPr>
              <w:jc w:val="both"/>
              <w:rPr>
                <w:rFonts w:cs="Times New Roman"/>
                <w:szCs w:val="24"/>
              </w:rPr>
            </w:pPr>
            <w:r w:rsidRPr="003F5F10">
              <w:rPr>
                <w:rFonts w:cs="Times New Roman"/>
                <w:szCs w:val="24"/>
              </w:rPr>
              <w:t>Lietuvos Respublikos įstatymo dėl Europos Sąjungos valstybių narių sprendimų baudžiamosiose bylose tarpusavio pripažinimo ir vykdymo  Nr. XII-1322 1, 2, 66 ir 72 straipsnių ir priedo pakeitimo ir įstatymo papildymo naujais XIV, XV, XVI, XVII skyriais bei 86 straipsnio pripažinimo netekusiu galios įstatymo projekto (toliau – Įstatymo projektas) siūlomame naujame 79 straipsnyje reguliuojami santykiai, egzistuojantys nuo 2013 m., t. y., kaip minėta aiškinamajame rašte, Lietuvos Respublikos Vyriausybės 2013 m. kovo 13 d. nutarimo Nr. 219 „Dėl Lietuvos Respublikos teismų priimtų sprendimų konfiskuoti perdavimo vykdyti kitoms Europos Sąjungos valstybėms narėms taisyklių patvirtinimo ir piniginių lėšų bei turto, gauto įvykdžius sprendimus konfiskuoti, paskirstymo tvarkos“</w:t>
            </w:r>
            <w:r w:rsidR="00D74B0C" w:rsidRPr="003F5F10">
              <w:rPr>
                <w:rFonts w:cs="Times New Roman"/>
                <w:szCs w:val="24"/>
              </w:rPr>
              <w:t xml:space="preserve"> (toliau – Vyriausybės nutarimas)</w:t>
            </w:r>
            <w:r w:rsidRPr="003F5F10">
              <w:rPr>
                <w:rFonts w:cs="Times New Roman"/>
                <w:szCs w:val="24"/>
              </w:rPr>
              <w:t xml:space="preserve">. Projektu nesiekiama kitaip sureguliuoti jau egzistuojančios tvarkos, kadangi nėra identifikuota praktinio taikymo problemų, kurios pagrįstų naujo reguliavimo reikalingumą (jų neidentifikuota ir Valstybinės mokesčių inspekcijos pastaboje). </w:t>
            </w:r>
            <w:r w:rsidR="00D74B0C" w:rsidRPr="003F5F10">
              <w:rPr>
                <w:rFonts w:cs="Times New Roman"/>
                <w:szCs w:val="24"/>
              </w:rPr>
              <w:t>Kaip minėta, šiuo atveju nuostatos yra perkeliamos iš Vyriausybės nutarimo ir Lietuvos Respublikos baudžiamojo proceso kodekso į vieną specializuotą Lietuvos Respublikos įstatymą dėl Europos Sąjungos valstybių narių sprendimų baudžiamosiose bylose tarpusavio pripažinimo ir vykdymo</w:t>
            </w:r>
            <w:r w:rsidR="00100873" w:rsidRPr="003F5F10">
              <w:rPr>
                <w:rFonts w:cs="Times New Roman"/>
                <w:szCs w:val="24"/>
              </w:rPr>
              <w:t xml:space="preserve"> (toliau – Įstatymas)</w:t>
            </w:r>
            <w:r w:rsidR="00D74B0C" w:rsidRPr="003F5F10">
              <w:rPr>
                <w:rFonts w:cs="Times New Roman"/>
                <w:szCs w:val="24"/>
              </w:rPr>
              <w:t xml:space="preserve">, siekiant santykių, susijusių su Europos Sąjungos valstybių narių sprendimų pripažinimu, vykdymu ir Lietuvos Respublikoje priimtų sprendimų išdavimu vykdyti kitoms Europos Sąjungos valstybėms narėms, vienodo ir nuoseklaus reguliavimo. </w:t>
            </w:r>
          </w:p>
          <w:p w:rsidR="00ED14E9" w:rsidRPr="003F5F10" w:rsidRDefault="00ED14E9" w:rsidP="005057A1">
            <w:pPr>
              <w:jc w:val="both"/>
              <w:rPr>
                <w:rFonts w:cs="Times New Roman"/>
                <w:szCs w:val="24"/>
              </w:rPr>
            </w:pPr>
          </w:p>
          <w:p w:rsidR="00ED14E9" w:rsidRPr="003F5F10" w:rsidRDefault="001B7B80" w:rsidP="005057A1">
            <w:pPr>
              <w:jc w:val="both"/>
              <w:rPr>
                <w:rFonts w:cs="Times New Roman"/>
                <w:b/>
                <w:szCs w:val="24"/>
              </w:rPr>
            </w:pPr>
            <w:r>
              <w:rPr>
                <w:rFonts w:cs="Times New Roman"/>
                <w:b/>
                <w:szCs w:val="24"/>
              </w:rPr>
              <w:lastRenderedPageBreak/>
              <w:t>Atsižvelgta iš dalies</w:t>
            </w:r>
            <w:r w:rsidR="00B806CB" w:rsidRPr="003F5F10">
              <w:rPr>
                <w:rFonts w:cs="Times New Roman"/>
                <w:b/>
                <w:szCs w:val="24"/>
              </w:rPr>
              <w:t>.</w:t>
            </w:r>
          </w:p>
          <w:p w:rsidR="003A1582" w:rsidRPr="003F5F10" w:rsidRDefault="00060C68" w:rsidP="00AB050D">
            <w:pPr>
              <w:jc w:val="both"/>
              <w:rPr>
                <w:rFonts w:cs="Times New Roman"/>
                <w:szCs w:val="24"/>
              </w:rPr>
            </w:pPr>
            <w:r w:rsidRPr="003F5F10">
              <w:rPr>
                <w:rFonts w:cs="Times New Roman"/>
                <w:szCs w:val="24"/>
              </w:rPr>
              <w:t xml:space="preserve">Kaip minėta aiškinamajame rašte, 2018 m. lapkričio 14 d. Europos Parlamento ir Tarybos Reglamento 2018/1805 dėl nutarimų įšaldyti ir nutarimų konfiskuoti turtą tarpusavio pripažinimo (toliau – Reglamentas) nuostatos nėra taikomos ir privalomos Airijai ir Danijos Karalystei. Kartu daroma nuoroda </w:t>
            </w:r>
            <w:r w:rsidR="0027114A" w:rsidRPr="003F5F10">
              <w:rPr>
                <w:rFonts w:cs="Times New Roman"/>
                <w:szCs w:val="24"/>
              </w:rPr>
              <w:t xml:space="preserve">į Reglamento 56-57 preambulės dalis. Jose paaiškinama, kad pagal Protokolo Nr. 21 1 ir 2 straipsnius ir 4a straipsnio 1 dalį ir nedarant poveikio to protokolo 4 straipsniui, Airija nedalyvauja priimant šį reglamentą ir jis nėra jai privalomas ar taikomas; pagal prie Europos Sąjungos sutarties ir SESV pridėto Protokolo Nr. 22 dėl Danijos pozicijos 1 ir 2 straipsnius, Danija nedalyvauja priimant šį reglamentą ir jis jai nėra privalomas ar taikomas. </w:t>
            </w:r>
            <w:r w:rsidR="00DB6983" w:rsidRPr="003F5F10">
              <w:rPr>
                <w:rFonts w:cs="Times New Roman"/>
                <w:szCs w:val="24"/>
              </w:rPr>
              <w:t xml:space="preserve">Danijos Karalystei ir Airijai </w:t>
            </w:r>
            <w:r w:rsidR="00054039" w:rsidRPr="003F5F10">
              <w:rPr>
                <w:rFonts w:cs="Times New Roman"/>
                <w:szCs w:val="24"/>
              </w:rPr>
              <w:t>lieka</w:t>
            </w:r>
            <w:r w:rsidR="00DB6983" w:rsidRPr="003F5F10">
              <w:rPr>
                <w:rFonts w:cs="Times New Roman"/>
                <w:szCs w:val="24"/>
              </w:rPr>
              <w:t xml:space="preserve"> privalomi </w:t>
            </w:r>
            <w:r w:rsidR="00100873" w:rsidRPr="003F5F10">
              <w:rPr>
                <w:rFonts w:cs="Times New Roman"/>
                <w:szCs w:val="24"/>
              </w:rPr>
              <w:t>pamatiniai sprendimai – Pamatinis</w:t>
            </w:r>
            <w:r w:rsidR="00DB6983" w:rsidRPr="003F5F10">
              <w:rPr>
                <w:rFonts w:cs="Times New Roman"/>
                <w:szCs w:val="24"/>
              </w:rPr>
              <w:t xml:space="preserve"> sprendimas 2003/577/TVR</w:t>
            </w:r>
            <w:r w:rsidR="00054039" w:rsidRPr="003F5F10">
              <w:rPr>
                <w:rFonts w:cs="Times New Roman"/>
                <w:szCs w:val="24"/>
              </w:rPr>
              <w:t xml:space="preserve"> (susijęs</w:t>
            </w:r>
            <w:r w:rsidR="00DB6983" w:rsidRPr="003F5F10">
              <w:rPr>
                <w:rFonts w:cs="Times New Roman"/>
                <w:szCs w:val="24"/>
              </w:rPr>
              <w:t xml:space="preserve"> su turto įšaldymu</w:t>
            </w:r>
            <w:r w:rsidR="00054039" w:rsidRPr="003F5F10">
              <w:rPr>
                <w:rFonts w:cs="Times New Roman"/>
                <w:szCs w:val="24"/>
              </w:rPr>
              <w:t>), taip pat Pamatinis sprendimas</w:t>
            </w:r>
            <w:r w:rsidR="00DB6983" w:rsidRPr="003F5F10">
              <w:rPr>
                <w:rFonts w:cs="Times New Roman"/>
                <w:szCs w:val="24"/>
              </w:rPr>
              <w:t xml:space="preserve"> 2006/783/TVR</w:t>
            </w:r>
            <w:r w:rsidR="00054039" w:rsidRPr="003F5F10">
              <w:rPr>
                <w:rFonts w:cs="Times New Roman"/>
                <w:szCs w:val="24"/>
              </w:rPr>
              <w:t xml:space="preserve"> (susijęs su turto konfiskavimu), tačiau minėti pamatiniai sprendimai pakeičiami Reglamento nuostatomis valstybėms narėms, kurioms Reglamentas privalomas</w:t>
            </w:r>
            <w:r w:rsidR="00100873" w:rsidRPr="003F5F10">
              <w:rPr>
                <w:rFonts w:cs="Times New Roman"/>
                <w:szCs w:val="24"/>
              </w:rPr>
              <w:t xml:space="preserve"> (visoms, išskyrus Airiją ir Danijos Karalystę)</w:t>
            </w:r>
            <w:r w:rsidR="00054039" w:rsidRPr="003F5F10">
              <w:rPr>
                <w:rFonts w:cs="Times New Roman"/>
                <w:szCs w:val="24"/>
              </w:rPr>
              <w:t xml:space="preserve">. </w:t>
            </w:r>
            <w:r w:rsidR="00100873" w:rsidRPr="003F5F10">
              <w:rPr>
                <w:rFonts w:cs="Times New Roman"/>
                <w:szCs w:val="24"/>
              </w:rPr>
              <w:t xml:space="preserve">Kadangi pamatiniai sprendimai įgyvendinami Įstatymo XII, XIII, XIV ir XV skyriais, jų taikymas yra numatytas tik valstybėms narėms, su kuriomis bendradarbiaujant tai yra aktualu – Airijai ir Danijos Karalystei. </w:t>
            </w:r>
            <w:r w:rsidR="00505ED4" w:rsidRPr="003F5F10">
              <w:rPr>
                <w:rFonts w:cs="Times New Roman"/>
                <w:szCs w:val="24"/>
              </w:rPr>
              <w:t xml:space="preserve">Bendradarbiaujant su visomis kitomis valstybėmis narėmis aptariamais klausimais bus vadovaujamasi Įstatymo skyriais, įgyvendinančiais Reglamentą (XVI ir XVII skyriai) ir pačiu Reglamentu kaip tiesioginio taikymo teisės aktu. </w:t>
            </w:r>
          </w:p>
        </w:tc>
      </w:tr>
      <w:tr w:rsidR="0021369D" w:rsidRPr="003F5F10" w:rsidTr="005F43FA">
        <w:tc>
          <w:tcPr>
            <w:tcW w:w="2127" w:type="dxa"/>
            <w:tcBorders>
              <w:top w:val="single" w:sz="4" w:space="0" w:color="auto"/>
              <w:left w:val="single" w:sz="4" w:space="0" w:color="auto"/>
              <w:bottom w:val="single" w:sz="4" w:space="0" w:color="auto"/>
              <w:right w:val="single" w:sz="4" w:space="0" w:color="auto"/>
            </w:tcBorders>
          </w:tcPr>
          <w:p w:rsidR="0021369D" w:rsidRPr="003F5F10" w:rsidRDefault="0021369D" w:rsidP="0023552F">
            <w:pPr>
              <w:rPr>
                <w:rFonts w:cs="Times New Roman"/>
                <w:szCs w:val="24"/>
              </w:rPr>
            </w:pPr>
            <w:r w:rsidRPr="003F5F10">
              <w:rPr>
                <w:rFonts w:cs="Times New Roman"/>
                <w:szCs w:val="24"/>
              </w:rPr>
              <w:lastRenderedPageBreak/>
              <w:t>Lietuvos Respublikos generalinės p</w:t>
            </w:r>
            <w:r w:rsidR="0023552F">
              <w:rPr>
                <w:rFonts w:cs="Times New Roman"/>
                <w:szCs w:val="24"/>
              </w:rPr>
              <w:t>rokuratūros 2020 m. balandžio 24</w:t>
            </w:r>
            <w:r w:rsidRPr="003F5F10">
              <w:rPr>
                <w:rFonts w:cs="Times New Roman"/>
                <w:szCs w:val="24"/>
              </w:rPr>
              <w:t xml:space="preserve"> d. raštas Nr. </w:t>
            </w:r>
            <w:r w:rsidR="0023552F">
              <w:rPr>
                <w:rFonts w:cs="Times New Roman"/>
                <w:szCs w:val="24"/>
              </w:rPr>
              <w:t>17.2.-1611</w:t>
            </w:r>
          </w:p>
        </w:tc>
        <w:tc>
          <w:tcPr>
            <w:tcW w:w="5670" w:type="dxa"/>
            <w:tcBorders>
              <w:top w:val="single" w:sz="4" w:space="0" w:color="auto"/>
              <w:left w:val="single" w:sz="4" w:space="0" w:color="auto"/>
              <w:bottom w:val="single" w:sz="4" w:space="0" w:color="auto"/>
              <w:right w:val="single" w:sz="4" w:space="0" w:color="auto"/>
            </w:tcBorders>
          </w:tcPr>
          <w:p w:rsidR="00B86D07" w:rsidRPr="00B86D07" w:rsidRDefault="00B86D07" w:rsidP="00B86D07">
            <w:pPr>
              <w:numPr>
                <w:ilvl w:val="1"/>
                <w:numId w:val="22"/>
              </w:numPr>
              <w:tabs>
                <w:tab w:val="left" w:pos="1419"/>
                <w:tab w:val="left" w:pos="1696"/>
              </w:tabs>
              <w:suppressAutoHyphens/>
              <w:autoSpaceDN w:val="0"/>
              <w:ind w:left="0" w:firstLine="680"/>
              <w:jc w:val="both"/>
              <w:textAlignment w:val="baseline"/>
              <w:rPr>
                <w:rFonts w:eastAsia="Times New Roman" w:cs="Times New Roman"/>
                <w:kern w:val="3"/>
                <w:szCs w:val="20"/>
                <w:lang w:eastAsia="zh-CN"/>
              </w:rPr>
            </w:pPr>
            <w:r w:rsidRPr="00B86D07">
              <w:rPr>
                <w:rFonts w:eastAsia="Times New Roman" w:cs="Times New Roman"/>
                <w:kern w:val="3"/>
                <w:sz w:val="23"/>
                <w:szCs w:val="23"/>
                <w:lang w:eastAsia="lt-LT"/>
              </w:rPr>
              <w:t>Įstatymo pakeitimo projekto 5 ir 7 straipsniais Lietuvos Respublikos įstatymo dėl Europos Sąjungos valstybių narių sprendimų baudžiamosiose bylose tarpusavio pripažinimo ir vykdymo pakeitimo įstatymas (toliau – Įstatymas) papildomas XV ir XVII skyriais, kurių 76 straipsnio 3 ir 4 dalyse, 78 straipsnio 4 dalyje ir 84 straipsnio 1 ir 2 dalyse nurodyta, kad nuosprendžio vykdymą kontroliuoja prokuroras.</w:t>
            </w:r>
          </w:p>
          <w:p w:rsidR="00B86D07" w:rsidRDefault="00B86D07" w:rsidP="00921389">
            <w:pPr>
              <w:shd w:val="clear" w:color="auto" w:fill="FFFFFF"/>
              <w:suppressAutoHyphens/>
              <w:autoSpaceDN w:val="0"/>
              <w:ind w:firstLine="680"/>
              <w:jc w:val="both"/>
              <w:textAlignment w:val="baseline"/>
              <w:rPr>
                <w:rFonts w:eastAsia="Times New Roman" w:cs="Times New Roman"/>
                <w:kern w:val="3"/>
                <w:sz w:val="23"/>
                <w:szCs w:val="23"/>
                <w:lang w:eastAsia="lt-LT"/>
              </w:rPr>
            </w:pPr>
            <w:r w:rsidRPr="00B86D07">
              <w:rPr>
                <w:rFonts w:eastAsia="Times New Roman" w:cs="Times New Roman"/>
                <w:kern w:val="3"/>
                <w:sz w:val="23"/>
                <w:szCs w:val="23"/>
                <w:lang w:eastAsia="lt-LT"/>
              </w:rPr>
              <w:t>Pastebėtina, kad šiuo metu galiojantis teisinis reguliavimas nenumato prokuratūrai nuosprendžių vykdymo kontrolės funkcijos. 2017 m. gr</w:t>
            </w:r>
            <w:bookmarkStart w:id="0" w:name="_GoBack"/>
            <w:bookmarkEnd w:id="0"/>
            <w:r w:rsidRPr="00B86D07">
              <w:rPr>
                <w:rFonts w:eastAsia="Times New Roman" w:cs="Times New Roman"/>
                <w:kern w:val="3"/>
                <w:sz w:val="23"/>
                <w:szCs w:val="23"/>
                <w:lang w:eastAsia="lt-LT"/>
              </w:rPr>
              <w:t xml:space="preserve">uodžio 19 d. įstatymu Nr. XIII-900, be kita ko, buvo pakeista Lietuvos Respublikos baudžiamojo proceso kodekso (toliau – BPK) 342 straipsnio 2 dalis ir 346 straipsnio 3 dalis. Šiais pakeitimais nustatyta, kad prokuroras kontroliuoja </w:t>
            </w:r>
            <w:r w:rsidRPr="00B86D07">
              <w:rPr>
                <w:rFonts w:eastAsia="Times New Roman" w:cs="Times New Roman"/>
                <w:kern w:val="3"/>
                <w:sz w:val="23"/>
                <w:szCs w:val="23"/>
                <w:lang w:eastAsia="lt-LT"/>
              </w:rPr>
              <w:lastRenderedPageBreak/>
              <w:t>nuosprendžio pateikimą vykdyti, bet ne nuosprendžio vykdymą. Atitinkamai 2017 m. gruodžio 19 d. įstatymu Nr. XIII-898 (įsigaliojo 2018 m. liepos 1 d.) buvo pakeistos ir Lietuvos Respublikos prokuratūros įstatymo nuostatos, pavedant prokuratūrai nuosprendžių pateikimo vykdyti kontrolės funkciją (2 straipsnio 2 dalies 5 punktas, 16 straipsnio 1 dalis). Atsižvelgiant į tai, būtina minėtas Įstatymo pakeitimo projekto nuostatas suderinti su galiojančiu teisiniu reguliavimu, t. y. nenustatyti, kad nuosprendžių vykdymą kontroliuoja prokuroras. Atkreiptinas dėmesys, kad atitinkamai tikslintina ir dabar galiojanti Įstatymo 14 straipsnio 2 dalis.</w:t>
            </w:r>
          </w:p>
          <w:p w:rsidR="00921389" w:rsidRPr="00921389" w:rsidRDefault="00921389" w:rsidP="00921389">
            <w:pPr>
              <w:shd w:val="clear" w:color="auto" w:fill="FFFFFF"/>
              <w:suppressAutoHyphens/>
              <w:autoSpaceDN w:val="0"/>
              <w:ind w:firstLine="680"/>
              <w:jc w:val="both"/>
              <w:textAlignment w:val="baseline"/>
              <w:rPr>
                <w:rFonts w:eastAsia="Times New Roman" w:cs="Times New Roman"/>
                <w:kern w:val="3"/>
                <w:szCs w:val="20"/>
                <w:lang w:eastAsia="zh-CN"/>
              </w:rPr>
            </w:pPr>
          </w:p>
          <w:p w:rsidR="0021369D" w:rsidRDefault="0021369D" w:rsidP="00913728">
            <w:pPr>
              <w:pStyle w:val="Standard"/>
              <w:tabs>
                <w:tab w:val="left" w:pos="8245"/>
              </w:tabs>
              <w:overflowPunct w:val="0"/>
              <w:autoSpaceDE w:val="0"/>
              <w:jc w:val="both"/>
              <w:rPr>
                <w:rFonts w:ascii="Times New Roman" w:hAnsi="Times New Roman"/>
                <w:sz w:val="24"/>
                <w:szCs w:val="24"/>
              </w:rPr>
            </w:pPr>
            <w:r w:rsidRPr="003F5F10">
              <w:rPr>
                <w:rFonts w:ascii="Times New Roman" w:hAnsi="Times New Roman"/>
                <w:sz w:val="24"/>
                <w:szCs w:val="24"/>
              </w:rPr>
              <w:t>1.3. Dėl Įstatymo papildymo nauju XIV skyriumi, 73 straipsnio 1 dalimi ir Įstatymo papildymo nauju XVII skyriumi, Įstatymo 83 straipsnio 2 dalimi atkreiptinas dėmesys, kad įsigaliojus BPK pakeitimams, kuriais leidžiama kai kuriais atvejais teismo posėdžius rengti naudojant vaizdo ir garso nuotolinio perdavimo priemones, Įstatyme atitinkami pakeitimai nebuvo padaryti. Atsižvelgiant į tai, siūlytina suderinti Įstatymą su šiuo klausimu galiojančiu teisiniu reglamentavimu ir įtvirtinti bendrą nuostatą dėl diskrecinės galimybės baudžiamojo proceso dalyviams dalyvaujant teismo posėdžiuose, kur tinkama, naudoti garso ir vaizdo nuotolinio perdavimo priemones.</w:t>
            </w:r>
          </w:p>
          <w:p w:rsidR="00921389" w:rsidRDefault="00921389" w:rsidP="00913728">
            <w:pPr>
              <w:pStyle w:val="Standard"/>
              <w:tabs>
                <w:tab w:val="left" w:pos="8245"/>
              </w:tabs>
              <w:overflowPunct w:val="0"/>
              <w:autoSpaceDE w:val="0"/>
              <w:jc w:val="both"/>
              <w:rPr>
                <w:rFonts w:ascii="Times New Roman" w:hAnsi="Times New Roman"/>
                <w:sz w:val="24"/>
                <w:szCs w:val="24"/>
              </w:rPr>
            </w:pPr>
          </w:p>
          <w:p w:rsidR="00921389" w:rsidRPr="003F5F10" w:rsidRDefault="00921389" w:rsidP="00913728">
            <w:pPr>
              <w:pStyle w:val="Standard"/>
              <w:tabs>
                <w:tab w:val="left" w:pos="8245"/>
              </w:tabs>
              <w:overflowPunct w:val="0"/>
              <w:autoSpaceDE w:val="0"/>
              <w:jc w:val="both"/>
              <w:rPr>
                <w:rFonts w:ascii="Times New Roman" w:hAnsi="Times New Roman"/>
                <w:sz w:val="24"/>
                <w:szCs w:val="24"/>
              </w:rPr>
            </w:pPr>
            <w:r>
              <w:rPr>
                <w:rFonts w:ascii="Times New Roman" w:eastAsia="Times New Roman" w:hAnsi="Times New Roman"/>
                <w:kern w:val="3"/>
                <w:sz w:val="23"/>
                <w:szCs w:val="23"/>
              </w:rPr>
              <w:t xml:space="preserve">1.4. </w:t>
            </w:r>
            <w:r w:rsidRPr="00921389">
              <w:rPr>
                <w:rFonts w:ascii="Times New Roman" w:eastAsia="Times New Roman" w:hAnsi="Times New Roman"/>
                <w:kern w:val="3"/>
                <w:sz w:val="23"/>
                <w:szCs w:val="23"/>
              </w:rPr>
              <w:t xml:space="preserve">Dėl </w:t>
            </w:r>
            <w:r w:rsidRPr="00921389">
              <w:rPr>
                <w:rFonts w:ascii="Times New Roman" w:eastAsia="NSimSun" w:hAnsi="Times New Roman"/>
                <w:kern w:val="3"/>
                <w:sz w:val="23"/>
                <w:szCs w:val="23"/>
                <w:shd w:val="clear" w:color="auto" w:fill="FFFFFF"/>
                <w:lang w:eastAsia="zh-CN"/>
              </w:rPr>
              <w:t>Įstatymo papildymo XIV skyriumi, 75 straipsniu pritartina, kad piniginių lėšų dalijimosi tvarka įvykdžius kitos Europos Sąjungos valstybės narės teismo sprendimą konfiskuoti būtų numatyta šiame Įstatyme. Taip pat atkreiptinas dėmesys, kad Lietuvos Respublikos baudžiamojo kodekso (toliau – BK) 72 straipsnio 1 dalis numato konfiskavimą valstybės nuosavybėn, o BPK dalijimosi tarp valstybių konfiskuotu turtu nenumato. Atsižvelgiant į tai m</w:t>
            </w:r>
            <w:r w:rsidRPr="00921389">
              <w:rPr>
                <w:rFonts w:ascii="Times New Roman" w:eastAsia="Times New Roman" w:hAnsi="Times New Roman"/>
                <w:kern w:val="3"/>
                <w:sz w:val="23"/>
                <w:szCs w:val="23"/>
                <w:shd w:val="clear" w:color="auto" w:fill="FFFFFF"/>
                <w:lang w:eastAsia="zh-CN"/>
              </w:rPr>
              <w:t xml:space="preserve">anytina, kad tikslinga inicijuoti BK ir </w:t>
            </w:r>
            <w:r w:rsidRPr="00921389">
              <w:rPr>
                <w:rFonts w:ascii="Times New Roman" w:eastAsia="Times New Roman" w:hAnsi="Times New Roman"/>
                <w:kern w:val="3"/>
                <w:sz w:val="23"/>
                <w:szCs w:val="23"/>
                <w:shd w:val="clear" w:color="auto" w:fill="FFFFFF"/>
                <w:lang w:eastAsia="zh-CN"/>
              </w:rPr>
              <w:lastRenderedPageBreak/>
              <w:t xml:space="preserve">BPK pakeitimus, siekiant pašalinti konfiskuoto turto tolesnio tvarkymo reglamentavimo </w:t>
            </w:r>
            <w:proofErr w:type="spellStart"/>
            <w:r w:rsidRPr="00921389">
              <w:rPr>
                <w:rFonts w:ascii="Times New Roman" w:eastAsia="Times New Roman" w:hAnsi="Times New Roman"/>
                <w:kern w:val="3"/>
                <w:sz w:val="23"/>
                <w:szCs w:val="23"/>
                <w:shd w:val="clear" w:color="auto" w:fill="FFFFFF"/>
                <w:lang w:eastAsia="zh-CN"/>
              </w:rPr>
              <w:t>prieštaravimus</w:t>
            </w:r>
            <w:proofErr w:type="spellEnd"/>
            <w:r w:rsidRPr="00921389">
              <w:rPr>
                <w:rFonts w:ascii="Times New Roman" w:eastAsia="Times New Roman" w:hAnsi="Times New Roman"/>
                <w:kern w:val="3"/>
                <w:sz w:val="23"/>
                <w:szCs w:val="23"/>
                <w:shd w:val="clear" w:color="auto" w:fill="FFFFFF"/>
                <w:lang w:eastAsia="zh-CN"/>
              </w:rPr>
              <w:t>.</w:t>
            </w:r>
          </w:p>
          <w:p w:rsidR="00E360C8" w:rsidRPr="003F5F10" w:rsidRDefault="00E360C8" w:rsidP="00913728">
            <w:pPr>
              <w:pStyle w:val="Standard"/>
              <w:tabs>
                <w:tab w:val="left" w:pos="8245"/>
              </w:tabs>
              <w:overflowPunct w:val="0"/>
              <w:autoSpaceDE w:val="0"/>
              <w:jc w:val="both"/>
              <w:rPr>
                <w:rFonts w:ascii="Times New Roman" w:hAnsi="Times New Roman"/>
                <w:sz w:val="24"/>
                <w:szCs w:val="24"/>
              </w:rPr>
            </w:pPr>
          </w:p>
          <w:p w:rsidR="00E360C8" w:rsidRPr="003F5F10" w:rsidRDefault="00E360C8" w:rsidP="00E360C8">
            <w:pPr>
              <w:pStyle w:val="Sraopastraipa"/>
              <w:numPr>
                <w:ilvl w:val="1"/>
                <w:numId w:val="17"/>
              </w:numPr>
              <w:tabs>
                <w:tab w:val="left" w:pos="459"/>
                <w:tab w:val="left" w:pos="1812"/>
              </w:tabs>
              <w:suppressAutoHyphens/>
              <w:autoSpaceDN w:val="0"/>
              <w:ind w:left="33" w:hanging="33"/>
              <w:jc w:val="both"/>
              <w:textAlignment w:val="baseline"/>
              <w:rPr>
                <w:rFonts w:eastAsia="Times New Roman" w:cs="Times New Roman"/>
                <w:kern w:val="3"/>
                <w:szCs w:val="24"/>
                <w:lang w:eastAsia="zh-CN"/>
              </w:rPr>
            </w:pPr>
            <w:r w:rsidRPr="003F5F10">
              <w:rPr>
                <w:rFonts w:eastAsia="Times New Roman" w:cs="Times New Roman"/>
                <w:kern w:val="3"/>
                <w:szCs w:val="24"/>
                <w:shd w:val="clear" w:color="auto" w:fill="FFFFFF"/>
                <w:lang w:eastAsia="zh-CN"/>
              </w:rPr>
              <w:t>Dėl Įstatymo papildymo XVI skyriumi, Įstatymo 81 straipsnio 1 dalimi siūlytina taikyti analogiją su Europos tyrimo orderio procedūra ir Lietuvos Respublikoje kitos Europos Sąjungos valstybės narės turto arešto aktą pripažįstančias ir vykdančias institucijas skirti pagal baudžiamosios bylos nagrinėjimo stadiją, t. y.</w:t>
            </w:r>
            <w:bookmarkStart w:id="1" w:name="part_83f69bb5720240379e61415c04134abb"/>
            <w:bookmarkEnd w:id="1"/>
            <w:r w:rsidRPr="003F5F10">
              <w:rPr>
                <w:rFonts w:eastAsia="Times New Roman" w:cs="Times New Roman"/>
                <w:kern w:val="3"/>
                <w:szCs w:val="24"/>
                <w:shd w:val="clear" w:color="auto" w:fill="FFFFFF"/>
                <w:lang w:eastAsia="zh-CN"/>
              </w:rPr>
              <w:t>:</w:t>
            </w:r>
          </w:p>
          <w:p w:rsidR="00E360C8" w:rsidRPr="00E360C8" w:rsidRDefault="00E360C8" w:rsidP="00E360C8">
            <w:pPr>
              <w:suppressAutoHyphens/>
              <w:autoSpaceDN w:val="0"/>
              <w:ind w:firstLine="680"/>
              <w:jc w:val="both"/>
              <w:textAlignment w:val="baseline"/>
              <w:rPr>
                <w:rFonts w:eastAsia="Times New Roman" w:cs="Times New Roman"/>
                <w:kern w:val="3"/>
                <w:szCs w:val="24"/>
                <w:lang w:eastAsia="zh-CN"/>
              </w:rPr>
            </w:pPr>
            <w:r w:rsidRPr="00E360C8">
              <w:rPr>
                <w:rFonts w:eastAsia="Times New Roman" w:cs="Times New Roman"/>
                <w:kern w:val="3"/>
                <w:szCs w:val="24"/>
                <w:lang w:eastAsia="lt-LT"/>
              </w:rPr>
              <w:t>1) apylinkės teismą – kai turto arešto aktas išduotas bylos nagrinėjimo teisme metu;</w:t>
            </w:r>
          </w:p>
          <w:p w:rsidR="00E360C8" w:rsidRPr="00E360C8" w:rsidRDefault="00E360C8" w:rsidP="00E360C8">
            <w:pPr>
              <w:suppressAutoHyphens/>
              <w:autoSpaceDN w:val="0"/>
              <w:ind w:firstLine="680"/>
              <w:jc w:val="both"/>
              <w:textAlignment w:val="baseline"/>
              <w:rPr>
                <w:rFonts w:eastAsia="Times New Roman" w:cs="Times New Roman"/>
                <w:kern w:val="3"/>
                <w:szCs w:val="24"/>
                <w:lang w:eastAsia="zh-CN"/>
              </w:rPr>
            </w:pPr>
            <w:bookmarkStart w:id="2" w:name="part_33285a0d75764cdcadbcd4b6f8ebee70"/>
            <w:bookmarkEnd w:id="2"/>
            <w:r w:rsidRPr="00E360C8">
              <w:rPr>
                <w:rFonts w:eastAsia="Times New Roman" w:cs="Times New Roman"/>
                <w:kern w:val="3"/>
                <w:szCs w:val="24"/>
                <w:lang w:eastAsia="lt-LT"/>
              </w:rPr>
              <w:t>2) apygardos prokuratūrą arba Lietuvos Respublikos generalinę prokuratūrą – kai turto arešto aktas išduotas ikiteisminio tyrimo metu.</w:t>
            </w:r>
          </w:p>
          <w:p w:rsidR="00E360C8" w:rsidRPr="003F5F10" w:rsidRDefault="00E360C8" w:rsidP="00E360C8">
            <w:pPr>
              <w:suppressAutoHyphens/>
              <w:autoSpaceDN w:val="0"/>
              <w:ind w:firstLine="680"/>
              <w:jc w:val="both"/>
              <w:textAlignment w:val="baseline"/>
              <w:rPr>
                <w:rFonts w:eastAsia="Times New Roman" w:cs="Times New Roman"/>
                <w:kern w:val="3"/>
                <w:szCs w:val="24"/>
                <w:shd w:val="clear" w:color="auto" w:fill="FFFFFF"/>
                <w:lang w:eastAsia="zh-CN"/>
              </w:rPr>
            </w:pPr>
            <w:r w:rsidRPr="00E360C8">
              <w:rPr>
                <w:rFonts w:eastAsia="Times New Roman" w:cs="Times New Roman"/>
                <w:kern w:val="3"/>
                <w:szCs w:val="24"/>
                <w:shd w:val="clear" w:color="auto" w:fill="FFFFFF"/>
                <w:lang w:eastAsia="zh-CN"/>
              </w:rPr>
              <w:t xml:space="preserve">Įvardijus kompetentingas </w:t>
            </w:r>
            <w:r w:rsidRPr="00E360C8">
              <w:rPr>
                <w:rFonts w:eastAsia="Times New Roman" w:cs="Times New Roman"/>
                <w:kern w:val="3"/>
                <w:szCs w:val="24"/>
                <w:lang w:eastAsia="zh-CN"/>
              </w:rPr>
              <w:t>institucijas, pripažįstančias kitoje Europos Sąjungos valstybėje narėje priimtą ir Lietuvos Respublikai perduotą vykdyti turto arešto aktą pagal baudžiamosios bylos nagrinėjimo stadiją, atitinkamai keistinos ir kitos šio straipsnio dalys, numatančios tiesioginį susirašinėjimą tarp turto arešto aktą išdavusios ir jį vykdančios institucijų. Be to, laikantis nuoseklumo dėl šiuo Įstatymu įgyvendinamų ES teisės aktų dėl Europos Sąjungos valstybių narių sprendimų baudžiamosiose bylose tarpusavio pripažinimo ir vykdymo ir siekiant kuo operatyvesnio kitos ES valstybės narės išduoto turto arešto akto pripažinimo ir vykdymo, siūlytina padaryti pareiškimą dėl Reglamento (ES) 2018/1805 6 straipsnio, numatant, kad Lietuvos Respublika priims turto arešto (įšaldymo) liudijimus tik lietuvių kalba, ir nepritartina nuostatai dėl turto arešto liudijimų priėmimo anglų kalba.</w:t>
            </w:r>
            <w:r w:rsidRPr="00E360C8">
              <w:rPr>
                <w:rFonts w:eastAsia="Times New Roman" w:cs="Times New Roman"/>
                <w:kern w:val="3"/>
                <w:szCs w:val="24"/>
                <w:shd w:val="clear" w:color="auto" w:fill="FFFFFF"/>
                <w:lang w:eastAsia="zh-CN"/>
              </w:rPr>
              <w:t xml:space="preserve"> Taip pat pageidautina, kad prie turto arešto liudijimo būtų pridėtas išduodančiosios valstybės priimtas turto arešto aktas (nutarimas įšaldyti) ar jo kopija, nes tai neretai padeda išspręsti technines klaidas ar neatitikimus, nurodytus liudijime. Atsižvelgiant į tai, siūlytina dėl to padaryti </w:t>
            </w:r>
            <w:r w:rsidRPr="00E360C8">
              <w:rPr>
                <w:rFonts w:eastAsia="Times New Roman" w:cs="Times New Roman"/>
                <w:kern w:val="3"/>
                <w:szCs w:val="24"/>
                <w:shd w:val="clear" w:color="auto" w:fill="FFFFFF"/>
                <w:lang w:eastAsia="zh-CN"/>
              </w:rPr>
              <w:lastRenderedPageBreak/>
              <w:t xml:space="preserve">pareiškimą, kaip tai numatyta Reglamento (ES) </w:t>
            </w:r>
            <w:r w:rsidRPr="00E360C8">
              <w:rPr>
                <w:rFonts w:eastAsia="Times New Roman" w:cs="Times New Roman"/>
                <w:kern w:val="3"/>
                <w:szCs w:val="24"/>
                <w:lang w:eastAsia="zh-CN"/>
              </w:rPr>
              <w:t xml:space="preserve">2018/1805 </w:t>
            </w:r>
            <w:r w:rsidRPr="00E360C8">
              <w:rPr>
                <w:rFonts w:eastAsia="Times New Roman" w:cs="Times New Roman"/>
                <w:kern w:val="3"/>
                <w:szCs w:val="24"/>
                <w:shd w:val="clear" w:color="auto" w:fill="FFFFFF"/>
                <w:lang w:eastAsia="zh-CN"/>
              </w:rPr>
              <w:t>4 straipsnio 2 dalyje.</w:t>
            </w:r>
          </w:p>
          <w:p w:rsidR="00327245" w:rsidRPr="003F5F10" w:rsidRDefault="00327245" w:rsidP="00E360C8">
            <w:pPr>
              <w:suppressAutoHyphens/>
              <w:autoSpaceDN w:val="0"/>
              <w:ind w:firstLine="680"/>
              <w:jc w:val="both"/>
              <w:textAlignment w:val="baseline"/>
              <w:rPr>
                <w:rFonts w:eastAsia="Times New Roman" w:cs="Times New Roman"/>
                <w:kern w:val="3"/>
                <w:szCs w:val="24"/>
                <w:shd w:val="clear" w:color="auto" w:fill="FFFFFF"/>
                <w:lang w:eastAsia="zh-CN"/>
              </w:rPr>
            </w:pPr>
          </w:p>
          <w:p w:rsidR="00327245" w:rsidRPr="003F5F10" w:rsidRDefault="00327245" w:rsidP="00327245">
            <w:pPr>
              <w:pStyle w:val="Sraopastraipa"/>
              <w:numPr>
                <w:ilvl w:val="0"/>
                <w:numId w:val="18"/>
              </w:numPr>
              <w:tabs>
                <w:tab w:val="left" w:pos="317"/>
              </w:tabs>
              <w:suppressAutoHyphens/>
              <w:autoSpaceDN w:val="0"/>
              <w:ind w:left="0" w:firstLine="33"/>
              <w:jc w:val="both"/>
              <w:textAlignment w:val="baseline"/>
              <w:rPr>
                <w:rFonts w:eastAsia="Times New Roman" w:cs="Times New Roman"/>
                <w:kern w:val="3"/>
                <w:szCs w:val="24"/>
                <w:lang w:eastAsia="zh-CN"/>
              </w:rPr>
            </w:pPr>
            <w:r w:rsidRPr="003F5F10">
              <w:rPr>
                <w:rFonts w:eastAsia="NSimSun" w:cs="Times New Roman"/>
                <w:kern w:val="3"/>
                <w:szCs w:val="24"/>
                <w:shd w:val="clear" w:color="auto" w:fill="FFFFFF"/>
                <w:lang w:eastAsia="zh-CN"/>
              </w:rPr>
              <w:t xml:space="preserve">7. Nepritartina siūlomai Įstatymo 81 straipsnio 3 dalies nuostatai, </w:t>
            </w:r>
            <w:r w:rsidRPr="003F5F10">
              <w:rPr>
                <w:rFonts w:eastAsia="Times New Roman" w:cs="Times New Roman"/>
                <w:kern w:val="3"/>
                <w:szCs w:val="24"/>
                <w:shd w:val="clear" w:color="auto" w:fill="FFFFFF"/>
                <w:lang w:eastAsia="zh-CN"/>
              </w:rPr>
              <w:t>kad</w:t>
            </w:r>
            <w:r w:rsidRPr="003F5F10">
              <w:rPr>
                <w:rFonts w:eastAsia="NSimSun" w:cs="Times New Roman"/>
                <w:kern w:val="3"/>
                <w:szCs w:val="24"/>
                <w:shd w:val="clear" w:color="auto" w:fill="FFFFFF"/>
                <w:lang w:eastAsia="zh-CN"/>
              </w:rPr>
              <w:t xml:space="preserve"> institucija, neturinti teisės spręsti dėl gauto turto arešto akto pripažinimo, būtų įpareigota jį persiųsti kompetentingai institucijai ne vėliau kaip per 24 valandas nuo tokio akto gavimo. Manytina, kad šį klausimą reikėtų reglamentuoti taip, kaip tai nustatyta Reglamento (ES) </w:t>
            </w:r>
            <w:r w:rsidRPr="003F5F10">
              <w:rPr>
                <w:rFonts w:eastAsia="NSimSun" w:cs="Times New Roman"/>
                <w:kern w:val="3"/>
                <w:szCs w:val="24"/>
                <w:lang w:eastAsia="zh-CN"/>
              </w:rPr>
              <w:t>2018/1805</w:t>
            </w:r>
            <w:r w:rsidRPr="003F5F10">
              <w:rPr>
                <w:rFonts w:eastAsia="NSimSun" w:cs="Times New Roman"/>
                <w:kern w:val="3"/>
                <w:szCs w:val="24"/>
                <w:shd w:val="clear" w:color="auto" w:fill="FFFFFF"/>
                <w:lang w:eastAsia="zh-CN"/>
              </w:rPr>
              <w:t xml:space="preserve"> 4 straipsnio 9 dalyje: „</w:t>
            </w:r>
            <w:r w:rsidRPr="003F5F10">
              <w:rPr>
                <w:rFonts w:eastAsia="NSimSun" w:cs="Times New Roman"/>
                <w:kern w:val="3"/>
                <w:szCs w:val="24"/>
                <w:lang w:eastAsia="zh-CN"/>
              </w:rPr>
              <w:t>Jeigu įšaldymo liudijimą gavusi institucija vykdančioje valstybėje nėra kompetentinga pripažinti nutarimą įšaldyti arba imtis būtinų priemonių jam įvykdyti, ta institucija nedelsdama perduoda įšaldymo liudijimą savo valstybės narės kompetentingai vykdančiajai institucijai ir apie tai informuoja priimančiąją instituciją“</w:t>
            </w:r>
            <w:r w:rsidRPr="003F5F10">
              <w:rPr>
                <w:rFonts w:eastAsia="NSimSun" w:cs="Times New Roman"/>
                <w:i/>
                <w:iCs/>
                <w:kern w:val="3"/>
                <w:szCs w:val="24"/>
                <w:lang w:eastAsia="zh-CN"/>
              </w:rPr>
              <w:t>.</w:t>
            </w:r>
          </w:p>
          <w:p w:rsidR="003F5F10" w:rsidRPr="003F5F10" w:rsidRDefault="003F5F10" w:rsidP="003F5F10">
            <w:pPr>
              <w:pStyle w:val="Standard"/>
              <w:tabs>
                <w:tab w:val="left" w:pos="8245"/>
              </w:tabs>
              <w:overflowPunct w:val="0"/>
              <w:autoSpaceDE w:val="0"/>
              <w:jc w:val="both"/>
              <w:rPr>
                <w:rFonts w:ascii="Times New Roman" w:hAnsi="Times New Roman"/>
                <w:sz w:val="24"/>
                <w:szCs w:val="24"/>
              </w:rPr>
            </w:pPr>
          </w:p>
          <w:p w:rsidR="003F5F10" w:rsidRPr="003F5F10" w:rsidRDefault="003F5F10" w:rsidP="003F5F10">
            <w:pPr>
              <w:pStyle w:val="Sraopastraipa"/>
              <w:numPr>
                <w:ilvl w:val="1"/>
                <w:numId w:val="18"/>
              </w:numPr>
              <w:tabs>
                <w:tab w:val="left" w:pos="459"/>
              </w:tabs>
              <w:suppressAutoHyphens/>
              <w:autoSpaceDN w:val="0"/>
              <w:ind w:left="0" w:firstLine="0"/>
              <w:jc w:val="both"/>
              <w:textAlignment w:val="baseline"/>
              <w:rPr>
                <w:rFonts w:eastAsia="Times New Roman" w:cs="Times New Roman"/>
                <w:kern w:val="3"/>
                <w:szCs w:val="24"/>
                <w:lang w:eastAsia="zh-CN"/>
              </w:rPr>
            </w:pPr>
            <w:r w:rsidRPr="003F5F10">
              <w:rPr>
                <w:rFonts w:eastAsia="Times New Roman" w:cs="Times New Roman"/>
                <w:kern w:val="3"/>
                <w:szCs w:val="24"/>
                <w:lang w:eastAsia="zh-CN"/>
              </w:rPr>
              <w:t xml:space="preserve">Pritarus Generalinės prokuratūros siūlymui </w:t>
            </w:r>
            <w:r w:rsidRPr="003F5F10">
              <w:rPr>
                <w:rFonts w:eastAsia="Times New Roman" w:cs="Times New Roman"/>
                <w:kern w:val="3"/>
                <w:szCs w:val="24"/>
                <w:shd w:val="clear" w:color="auto" w:fill="FFFFFF"/>
                <w:lang w:eastAsia="zh-CN"/>
              </w:rPr>
              <w:t xml:space="preserve">skirti teismus ir prokuratūrą Lietuvos Respublikoje kompetentingomis institucijomis pripažinti kitos Europos Sąjungos valstybės narės turto arešto aktus ir juos vykdyti (atsižvelgiant į baudžiamosios bylos nagrinėjimo stadiją), siūlytina atitinkamai pakeisti ir siūlomą Įstatymo 82 straipsnio formuluotę, įtraukiant teismus. Nepaisant to manytina, kad ikiteisminio tyrimo įstaigoms neturėtų būti suteikta </w:t>
            </w:r>
            <w:proofErr w:type="spellStart"/>
            <w:r w:rsidRPr="003F5F10">
              <w:rPr>
                <w:rFonts w:eastAsia="Times New Roman" w:cs="Times New Roman"/>
                <w:kern w:val="3"/>
                <w:szCs w:val="24"/>
                <w:shd w:val="clear" w:color="auto" w:fill="FFFFFF"/>
                <w:lang w:eastAsia="zh-CN"/>
              </w:rPr>
              <w:t>diskrecija</w:t>
            </w:r>
            <w:proofErr w:type="spellEnd"/>
            <w:r w:rsidRPr="003F5F10">
              <w:rPr>
                <w:rFonts w:eastAsia="Times New Roman" w:cs="Times New Roman"/>
                <w:kern w:val="3"/>
                <w:szCs w:val="24"/>
                <w:shd w:val="clear" w:color="auto" w:fill="FFFFFF"/>
                <w:lang w:eastAsia="zh-CN"/>
              </w:rPr>
              <w:t xml:space="preserve"> inicijuoti turto arešto liudijimo išdavimą. Tokius prašymus turėtų teikti konkrečiam ikiteisminiam tyrimui vadovaujantis ar ji atliekantis prokuroras, priėmęs nutarimą dėl tam tikro turto arešto.</w:t>
            </w:r>
          </w:p>
          <w:p w:rsidR="003F5F10" w:rsidRDefault="003F5F10" w:rsidP="003F5F10">
            <w:pPr>
              <w:pStyle w:val="Sraopastraipa"/>
              <w:tabs>
                <w:tab w:val="left" w:pos="459"/>
              </w:tabs>
              <w:suppressAutoHyphens/>
              <w:autoSpaceDN w:val="0"/>
              <w:ind w:left="0"/>
              <w:jc w:val="both"/>
              <w:textAlignment w:val="baseline"/>
              <w:rPr>
                <w:rFonts w:eastAsia="Times New Roman" w:cs="Times New Roman"/>
                <w:kern w:val="3"/>
                <w:szCs w:val="24"/>
                <w:shd w:val="clear" w:color="auto" w:fill="FFFFFF"/>
                <w:lang w:eastAsia="zh-CN"/>
              </w:rPr>
            </w:pPr>
          </w:p>
          <w:p w:rsidR="003F5F10" w:rsidRPr="00383B44" w:rsidRDefault="003F5F10" w:rsidP="00383B44">
            <w:pPr>
              <w:pStyle w:val="Sraopastraipa"/>
              <w:tabs>
                <w:tab w:val="left" w:pos="1535"/>
              </w:tabs>
              <w:suppressAutoHyphens/>
              <w:autoSpaceDN w:val="0"/>
              <w:ind w:left="0"/>
              <w:jc w:val="both"/>
              <w:textAlignment w:val="baseline"/>
              <w:rPr>
                <w:rFonts w:eastAsia="Times New Roman" w:cs="Times New Roman"/>
                <w:kern w:val="3"/>
                <w:szCs w:val="20"/>
                <w:lang w:eastAsia="zh-CN"/>
              </w:rPr>
            </w:pPr>
            <w:r>
              <w:rPr>
                <w:rFonts w:eastAsia="Times New Roman" w:cs="Times New Roman"/>
                <w:kern w:val="3"/>
                <w:sz w:val="23"/>
                <w:szCs w:val="23"/>
                <w:lang w:eastAsia="zh-CN"/>
              </w:rPr>
              <w:t>1.11.</w:t>
            </w:r>
            <w:r w:rsidRPr="003F5F10">
              <w:rPr>
                <w:rFonts w:eastAsia="Times New Roman" w:cs="Times New Roman"/>
                <w:kern w:val="3"/>
                <w:sz w:val="23"/>
                <w:szCs w:val="23"/>
                <w:lang w:eastAsia="zh-CN"/>
              </w:rPr>
              <w:t xml:space="preserve">Pritarus Generalinės prokuratūros siūlymui </w:t>
            </w:r>
            <w:r w:rsidRPr="003F5F10">
              <w:rPr>
                <w:rFonts w:eastAsia="Times New Roman" w:cs="Times New Roman"/>
                <w:kern w:val="3"/>
                <w:sz w:val="23"/>
                <w:szCs w:val="23"/>
                <w:shd w:val="clear" w:color="auto" w:fill="FFFFFF"/>
                <w:lang w:eastAsia="zh-CN"/>
              </w:rPr>
              <w:t xml:space="preserve">skirti teismus ir prokuratūrą Lietuvos Respublikoje kompetentingomis institucijomis pripažinti kitos Europos Sąjungos valstybės narės turto arešto aktus ir juos vykdyti (atsižvelgiant į baudžiamosios bylos nagrinėjimo stadiją), </w:t>
            </w:r>
            <w:r w:rsidRPr="003F5F10">
              <w:rPr>
                <w:rFonts w:eastAsia="Times New Roman" w:cs="Times New Roman"/>
                <w:kern w:val="3"/>
                <w:sz w:val="23"/>
                <w:szCs w:val="23"/>
                <w:shd w:val="clear" w:color="auto" w:fill="FFFFFF"/>
                <w:lang w:eastAsia="zh-CN"/>
              </w:rPr>
              <w:lastRenderedPageBreak/>
              <w:t>siūlytina Įstatymo pakeitimo projekte siūlomoje 85 straipsnio naujojoje 4 dalyje atsakingais už turto arešto akto liudijimų išdavimo ir pripažinimo statistinius duomenis numatyti ne tik Lietuvos Respublikos generalinės prokuratūrą, bet ir teismus.</w:t>
            </w:r>
          </w:p>
        </w:tc>
        <w:tc>
          <w:tcPr>
            <w:tcW w:w="7796" w:type="dxa"/>
            <w:tcBorders>
              <w:top w:val="single" w:sz="4" w:space="0" w:color="auto"/>
              <w:left w:val="single" w:sz="4" w:space="0" w:color="auto"/>
              <w:bottom w:val="single" w:sz="4" w:space="0" w:color="auto"/>
              <w:right w:val="single" w:sz="4" w:space="0" w:color="auto"/>
            </w:tcBorders>
          </w:tcPr>
          <w:p w:rsidR="00B86D07" w:rsidRDefault="00B86D07" w:rsidP="005F43FA">
            <w:pPr>
              <w:jc w:val="both"/>
              <w:rPr>
                <w:rFonts w:cs="Times New Roman"/>
                <w:b/>
                <w:szCs w:val="24"/>
              </w:rPr>
            </w:pPr>
            <w:r>
              <w:rPr>
                <w:rFonts w:cs="Times New Roman"/>
                <w:b/>
                <w:szCs w:val="24"/>
              </w:rPr>
              <w:lastRenderedPageBreak/>
              <w:t>Atsižvelgta iš dalies.</w:t>
            </w:r>
          </w:p>
          <w:p w:rsidR="00B86D07" w:rsidRPr="00B86D07" w:rsidRDefault="00921389" w:rsidP="005F43FA">
            <w:pPr>
              <w:jc w:val="both"/>
              <w:rPr>
                <w:rFonts w:cs="Times New Roman"/>
                <w:szCs w:val="24"/>
              </w:rPr>
            </w:pPr>
            <w:r>
              <w:rPr>
                <w:rFonts w:cs="Times New Roman"/>
                <w:szCs w:val="24"/>
              </w:rPr>
              <w:t>Nuostatos pagal Generalinės prokuratūros siūlymus patikslintos, išskyrus 14 straipsnio 2 dalį.  Š</w:t>
            </w:r>
            <w:r w:rsidRPr="00921389">
              <w:rPr>
                <w:rFonts w:cs="Times New Roman"/>
                <w:szCs w:val="24"/>
              </w:rPr>
              <w:t>io Įstatymo projekto pagrindinis tikslas yra suderinti Lietuvos nacionalinės teisės nuostatas ir tinkamai pasirengti t</w:t>
            </w:r>
            <w:r>
              <w:rPr>
                <w:rFonts w:cs="Times New Roman"/>
                <w:szCs w:val="24"/>
              </w:rPr>
              <w:t>iesioginiam Reglamento taikymui, todėl kiti aspektai bus reguliuojami kitame šiuo metu Teisingumo ministerijos rengiamame projekte.</w:t>
            </w:r>
          </w:p>
          <w:p w:rsidR="00B86D07" w:rsidRDefault="00B86D07" w:rsidP="005F43FA">
            <w:pPr>
              <w:jc w:val="both"/>
              <w:rPr>
                <w:rFonts w:cs="Times New Roman"/>
                <w:b/>
                <w:szCs w:val="24"/>
              </w:rPr>
            </w:pPr>
          </w:p>
          <w:p w:rsidR="00B86D07" w:rsidRDefault="00B86D07" w:rsidP="005F43FA">
            <w:pPr>
              <w:jc w:val="both"/>
              <w:rPr>
                <w:rFonts w:cs="Times New Roman"/>
                <w:b/>
                <w:szCs w:val="24"/>
              </w:rPr>
            </w:pPr>
          </w:p>
          <w:p w:rsidR="00B86D07" w:rsidRDefault="00B86D07" w:rsidP="005F43FA">
            <w:pPr>
              <w:jc w:val="both"/>
              <w:rPr>
                <w:rFonts w:cs="Times New Roman"/>
                <w:b/>
                <w:szCs w:val="24"/>
              </w:rPr>
            </w:pPr>
          </w:p>
          <w:p w:rsidR="00B86D07" w:rsidRDefault="00B86D07" w:rsidP="005F43FA">
            <w:pPr>
              <w:jc w:val="both"/>
              <w:rPr>
                <w:rFonts w:cs="Times New Roman"/>
                <w:b/>
                <w:szCs w:val="24"/>
              </w:rPr>
            </w:pPr>
          </w:p>
          <w:p w:rsidR="00B86D07" w:rsidRDefault="00B86D07" w:rsidP="005F43FA">
            <w:pPr>
              <w:jc w:val="both"/>
              <w:rPr>
                <w:rFonts w:cs="Times New Roman"/>
                <w:b/>
                <w:szCs w:val="24"/>
              </w:rPr>
            </w:pPr>
          </w:p>
          <w:p w:rsidR="00B86D07" w:rsidRDefault="00B86D07" w:rsidP="005F43FA">
            <w:pPr>
              <w:jc w:val="both"/>
              <w:rPr>
                <w:rFonts w:cs="Times New Roman"/>
                <w:b/>
                <w:szCs w:val="24"/>
              </w:rPr>
            </w:pPr>
          </w:p>
          <w:p w:rsidR="00B86D07" w:rsidRDefault="00B86D07" w:rsidP="005F43FA">
            <w:pPr>
              <w:jc w:val="both"/>
              <w:rPr>
                <w:rFonts w:cs="Times New Roman"/>
                <w:b/>
                <w:szCs w:val="24"/>
              </w:rPr>
            </w:pPr>
          </w:p>
          <w:p w:rsidR="00B86D07" w:rsidRDefault="00B86D07" w:rsidP="005F43FA">
            <w:pPr>
              <w:jc w:val="both"/>
              <w:rPr>
                <w:rFonts w:cs="Times New Roman"/>
                <w:b/>
                <w:szCs w:val="24"/>
              </w:rPr>
            </w:pPr>
          </w:p>
          <w:p w:rsidR="00B86D07" w:rsidRDefault="00B86D07" w:rsidP="005F43FA">
            <w:pPr>
              <w:jc w:val="both"/>
              <w:rPr>
                <w:rFonts w:cs="Times New Roman"/>
                <w:b/>
                <w:szCs w:val="24"/>
              </w:rPr>
            </w:pPr>
          </w:p>
          <w:p w:rsidR="00B86D07" w:rsidRDefault="00B86D07" w:rsidP="005F43FA">
            <w:pPr>
              <w:jc w:val="both"/>
              <w:rPr>
                <w:rFonts w:cs="Times New Roman"/>
                <w:b/>
                <w:szCs w:val="24"/>
              </w:rPr>
            </w:pPr>
          </w:p>
          <w:p w:rsidR="00B86D07" w:rsidRDefault="00B86D07" w:rsidP="005F43FA">
            <w:pPr>
              <w:jc w:val="both"/>
              <w:rPr>
                <w:rFonts w:cs="Times New Roman"/>
                <w:b/>
                <w:szCs w:val="24"/>
              </w:rPr>
            </w:pPr>
          </w:p>
          <w:p w:rsidR="00B86D07" w:rsidRDefault="00B86D07" w:rsidP="005F43FA">
            <w:pPr>
              <w:jc w:val="both"/>
              <w:rPr>
                <w:rFonts w:cs="Times New Roman"/>
                <w:b/>
                <w:szCs w:val="24"/>
              </w:rPr>
            </w:pPr>
          </w:p>
          <w:p w:rsidR="00B86D07" w:rsidRDefault="00B86D07" w:rsidP="005F43FA">
            <w:pPr>
              <w:jc w:val="both"/>
              <w:rPr>
                <w:rFonts w:cs="Times New Roman"/>
                <w:b/>
                <w:szCs w:val="24"/>
              </w:rPr>
            </w:pPr>
          </w:p>
          <w:p w:rsidR="00B86D07" w:rsidRDefault="00B86D07" w:rsidP="005F43FA">
            <w:pPr>
              <w:jc w:val="both"/>
              <w:rPr>
                <w:rFonts w:cs="Times New Roman"/>
                <w:b/>
                <w:szCs w:val="24"/>
              </w:rPr>
            </w:pPr>
          </w:p>
          <w:p w:rsidR="00B86D07" w:rsidRDefault="00B86D07" w:rsidP="005F43FA">
            <w:pPr>
              <w:jc w:val="both"/>
              <w:rPr>
                <w:rFonts w:cs="Times New Roman"/>
                <w:b/>
                <w:szCs w:val="24"/>
              </w:rPr>
            </w:pPr>
          </w:p>
          <w:p w:rsidR="00B86D07" w:rsidRDefault="00B86D07" w:rsidP="005F43FA">
            <w:pPr>
              <w:jc w:val="both"/>
              <w:rPr>
                <w:rFonts w:cs="Times New Roman"/>
                <w:b/>
                <w:szCs w:val="24"/>
              </w:rPr>
            </w:pPr>
          </w:p>
          <w:p w:rsidR="00B86D07" w:rsidRDefault="00B86D07" w:rsidP="005F43FA">
            <w:pPr>
              <w:jc w:val="both"/>
              <w:rPr>
                <w:rFonts w:cs="Times New Roman"/>
                <w:b/>
                <w:szCs w:val="24"/>
              </w:rPr>
            </w:pPr>
          </w:p>
          <w:p w:rsidR="00B86D07" w:rsidRDefault="00B86D07" w:rsidP="005F43FA">
            <w:pPr>
              <w:jc w:val="both"/>
              <w:rPr>
                <w:rFonts w:cs="Times New Roman"/>
                <w:b/>
                <w:szCs w:val="24"/>
              </w:rPr>
            </w:pPr>
          </w:p>
          <w:p w:rsidR="00B86D07" w:rsidRDefault="00B86D07" w:rsidP="005F43FA">
            <w:pPr>
              <w:jc w:val="both"/>
              <w:rPr>
                <w:rFonts w:cs="Times New Roman"/>
                <w:b/>
                <w:szCs w:val="24"/>
              </w:rPr>
            </w:pPr>
          </w:p>
          <w:p w:rsidR="00B86D07" w:rsidRDefault="00B86D07" w:rsidP="005F43FA">
            <w:pPr>
              <w:jc w:val="both"/>
              <w:rPr>
                <w:rFonts w:cs="Times New Roman"/>
                <w:b/>
                <w:szCs w:val="24"/>
              </w:rPr>
            </w:pPr>
          </w:p>
          <w:p w:rsidR="0021369D" w:rsidRPr="003F5F10" w:rsidRDefault="0021369D" w:rsidP="005F43FA">
            <w:pPr>
              <w:jc w:val="both"/>
              <w:rPr>
                <w:rFonts w:cs="Times New Roman"/>
                <w:b/>
                <w:szCs w:val="24"/>
              </w:rPr>
            </w:pPr>
            <w:r w:rsidRPr="003F5F10">
              <w:rPr>
                <w:rFonts w:cs="Times New Roman"/>
                <w:b/>
                <w:szCs w:val="24"/>
              </w:rPr>
              <w:t xml:space="preserve">Neatsižvelgta. </w:t>
            </w:r>
          </w:p>
          <w:p w:rsidR="00843934" w:rsidRDefault="0021369D" w:rsidP="0021369D">
            <w:pPr>
              <w:jc w:val="both"/>
              <w:rPr>
                <w:rFonts w:cs="Times New Roman"/>
                <w:szCs w:val="24"/>
              </w:rPr>
            </w:pPr>
            <w:r w:rsidRPr="003F5F10">
              <w:rPr>
                <w:rFonts w:cs="Times New Roman"/>
                <w:szCs w:val="24"/>
              </w:rPr>
              <w:t>Pateiktam pasiūlymui pritartina, tačiau šio Įstatymo projekto pagrindinis tikslas yra suderinti Lietuvos nacionalinės teisės nuostatas ir tinkamai pasirengti tiesioginiam Reglamento taikymui. Generalinės prokuratūros siūlomos nuostatos būtų taikomos ne tik Įstatymo projekte nagrinėjamų klausimų atvejais, bet pavyzdžiui, ir pripažįstant kitos Europos Sąjungos valstybės narės priimtą sprendimą dėl laisvės atėmimo bausmės. Tam reikalinga išsami Įstatymo analizė</w:t>
            </w:r>
            <w:r w:rsidR="00CA0875" w:rsidRPr="003F5F10">
              <w:rPr>
                <w:rFonts w:cs="Times New Roman"/>
                <w:szCs w:val="24"/>
              </w:rPr>
              <w:t xml:space="preserve"> ir jis bus atlikta Teisingumo ministerijoje rengiant kitą projektą, įtraukiant Generalinės prokuratūros siūlomus pakeitimus. </w:t>
            </w:r>
            <w:r w:rsidR="00843934">
              <w:rPr>
                <w:rFonts w:cs="Times New Roman"/>
                <w:szCs w:val="24"/>
              </w:rPr>
              <w:t xml:space="preserve">Teisingumo ministerijoje pradedama atlikti Europos arešto orderio sistemos ir piniginių sankcijų pripažinimo ir perdavimo vykdyti kitoms Europos Sąjungos valstybėms narėms peržiūra. Siekiant identifikuoti problemas, kreiptasi į Generalinę prokuratūrą informacijos. Todėl visi naujai siūlomi aspektai ir problemos bus sprendžiami naujame projekte. </w:t>
            </w:r>
          </w:p>
          <w:p w:rsidR="00843934" w:rsidRPr="00843934" w:rsidRDefault="00843934" w:rsidP="0021369D">
            <w:pPr>
              <w:jc w:val="both"/>
              <w:rPr>
                <w:rFonts w:cs="Times New Roman"/>
                <w:szCs w:val="24"/>
              </w:rPr>
            </w:pPr>
          </w:p>
          <w:p w:rsidR="00921389" w:rsidRDefault="00921389" w:rsidP="0021369D">
            <w:pPr>
              <w:jc w:val="both"/>
              <w:rPr>
                <w:rFonts w:cs="Times New Roman"/>
                <w:b/>
                <w:szCs w:val="24"/>
              </w:rPr>
            </w:pPr>
            <w:r>
              <w:rPr>
                <w:rFonts w:cs="Times New Roman"/>
                <w:b/>
                <w:szCs w:val="24"/>
              </w:rPr>
              <w:t xml:space="preserve">Neatsižvelgta. </w:t>
            </w:r>
          </w:p>
          <w:p w:rsidR="00921389" w:rsidRPr="00921389" w:rsidRDefault="00757ACB" w:rsidP="0021369D">
            <w:pPr>
              <w:jc w:val="both"/>
              <w:rPr>
                <w:rFonts w:cs="Times New Roman"/>
                <w:szCs w:val="24"/>
              </w:rPr>
            </w:pPr>
            <w:r>
              <w:rPr>
                <w:rFonts w:cs="Times New Roman"/>
                <w:szCs w:val="24"/>
              </w:rPr>
              <w:t>Š</w:t>
            </w:r>
            <w:r w:rsidR="00921389" w:rsidRPr="00921389">
              <w:rPr>
                <w:rFonts w:cs="Times New Roman"/>
                <w:szCs w:val="24"/>
              </w:rPr>
              <w:t>io Įstatymo projekto pagrindinis tikslas yra suderinti Lietuvos nacionalinės teisės nuostatas ir tinkamai pasirengti tiesioginiam Reglamento taikymui.</w:t>
            </w:r>
            <w:r w:rsidR="00631F2A">
              <w:rPr>
                <w:rFonts w:cs="Times New Roman"/>
                <w:szCs w:val="24"/>
              </w:rPr>
              <w:t xml:space="preserve"> Generalinės prokuratūros pasiūlymas bus nagrinėjamas, Teisingumo ministerijai rengiant kitus teisės aktų pakeitimus prieš tai pasikonsultavus su Generaline prokuratūra. </w:t>
            </w:r>
          </w:p>
          <w:p w:rsidR="00921389" w:rsidRDefault="00921389" w:rsidP="0021369D">
            <w:pPr>
              <w:jc w:val="both"/>
              <w:rPr>
                <w:rFonts w:cs="Times New Roman"/>
                <w:b/>
                <w:szCs w:val="24"/>
              </w:rPr>
            </w:pPr>
          </w:p>
          <w:p w:rsidR="00921389" w:rsidRDefault="00921389" w:rsidP="0021369D">
            <w:pPr>
              <w:jc w:val="both"/>
              <w:rPr>
                <w:rFonts w:cs="Times New Roman"/>
                <w:b/>
                <w:szCs w:val="24"/>
              </w:rPr>
            </w:pPr>
          </w:p>
          <w:p w:rsidR="00921389" w:rsidRDefault="00921389" w:rsidP="0021369D">
            <w:pPr>
              <w:jc w:val="both"/>
              <w:rPr>
                <w:rFonts w:cs="Times New Roman"/>
                <w:b/>
                <w:szCs w:val="24"/>
              </w:rPr>
            </w:pPr>
          </w:p>
          <w:p w:rsidR="00921389" w:rsidRDefault="00921389" w:rsidP="0021369D">
            <w:pPr>
              <w:jc w:val="both"/>
              <w:rPr>
                <w:rFonts w:cs="Times New Roman"/>
                <w:b/>
                <w:szCs w:val="24"/>
              </w:rPr>
            </w:pPr>
          </w:p>
          <w:p w:rsidR="00921389" w:rsidRDefault="00921389" w:rsidP="0021369D">
            <w:pPr>
              <w:jc w:val="both"/>
              <w:rPr>
                <w:rFonts w:cs="Times New Roman"/>
                <w:b/>
                <w:szCs w:val="24"/>
              </w:rPr>
            </w:pPr>
          </w:p>
          <w:p w:rsidR="00921389" w:rsidRDefault="00921389" w:rsidP="0021369D">
            <w:pPr>
              <w:jc w:val="both"/>
              <w:rPr>
                <w:rFonts w:cs="Times New Roman"/>
                <w:b/>
                <w:szCs w:val="24"/>
              </w:rPr>
            </w:pPr>
          </w:p>
          <w:p w:rsidR="00E360C8" w:rsidRPr="003F5F10" w:rsidRDefault="000A04FA" w:rsidP="0021369D">
            <w:pPr>
              <w:jc w:val="both"/>
              <w:rPr>
                <w:rFonts w:cs="Times New Roman"/>
                <w:b/>
                <w:szCs w:val="24"/>
              </w:rPr>
            </w:pPr>
            <w:r w:rsidRPr="003F5F10">
              <w:rPr>
                <w:rFonts w:cs="Times New Roman"/>
                <w:b/>
                <w:szCs w:val="24"/>
              </w:rPr>
              <w:t>Atsižvelgta iš dalies</w:t>
            </w:r>
            <w:r w:rsidR="00E360C8" w:rsidRPr="003F5F10">
              <w:rPr>
                <w:rFonts w:cs="Times New Roman"/>
                <w:b/>
                <w:szCs w:val="24"/>
              </w:rPr>
              <w:t xml:space="preserve">. </w:t>
            </w:r>
          </w:p>
          <w:p w:rsidR="00CE2116" w:rsidRPr="003F5F10" w:rsidRDefault="00CE2116" w:rsidP="0021369D">
            <w:pPr>
              <w:jc w:val="both"/>
              <w:rPr>
                <w:rFonts w:cs="Times New Roman"/>
                <w:szCs w:val="24"/>
              </w:rPr>
            </w:pPr>
            <w:r w:rsidRPr="003F5F10">
              <w:rPr>
                <w:rFonts w:cs="Times New Roman"/>
                <w:szCs w:val="24"/>
              </w:rPr>
              <w:t>Įgyvendinant Reglamentą naudotasi dabar egzistuojančiu teisiniu reguliavimu Lietuvos Respublikoje pripažįstant ir vykdant turto (arba) įrodymų arešto aktą (Įstatymo XII skyrius)</w:t>
            </w:r>
            <w:r w:rsidR="004D2BFA" w:rsidRPr="003F5F10">
              <w:rPr>
                <w:rFonts w:cs="Times New Roman"/>
                <w:szCs w:val="24"/>
              </w:rPr>
              <w:t>. Jis bus taikomas ir toliau Airija</w:t>
            </w:r>
            <w:r w:rsidR="003F5F10" w:rsidRPr="003F5F10">
              <w:rPr>
                <w:rFonts w:cs="Times New Roman"/>
                <w:szCs w:val="24"/>
              </w:rPr>
              <w:t>i</w:t>
            </w:r>
            <w:r w:rsidR="004D2BFA" w:rsidRPr="003F5F10">
              <w:rPr>
                <w:rFonts w:cs="Times New Roman"/>
                <w:szCs w:val="24"/>
              </w:rPr>
              <w:t xml:space="preserve"> ir Danijos Karalystei. Kadangi argumentų, kilusių praktinių problemų, kodėl toks reguliavimas nėra tinkamas, nepateikta nei dabar, nei anksčiau, taikant minėtas nuostatas, manytina, kad siūlomi pakeitimai nėra tikslingi. </w:t>
            </w:r>
          </w:p>
          <w:p w:rsidR="004D2BFA" w:rsidRPr="003F5F10" w:rsidRDefault="004D2BFA" w:rsidP="0021369D">
            <w:pPr>
              <w:jc w:val="both"/>
              <w:rPr>
                <w:rFonts w:cs="Times New Roman"/>
                <w:szCs w:val="24"/>
              </w:rPr>
            </w:pPr>
            <w:r w:rsidRPr="003F5F10">
              <w:rPr>
                <w:rFonts w:cs="Times New Roman"/>
                <w:szCs w:val="24"/>
              </w:rPr>
              <w:t xml:space="preserve">Pareiškimas dėl lietuvių kalbos ir pridedamo išduodančiosios valstybės priimto turto arešto </w:t>
            </w:r>
            <w:r w:rsidR="00383B44">
              <w:rPr>
                <w:rFonts w:cs="Times New Roman"/>
                <w:szCs w:val="24"/>
              </w:rPr>
              <w:t xml:space="preserve">akto (ar jo kopijos) </w:t>
            </w:r>
            <w:r w:rsidRPr="003F5F10">
              <w:rPr>
                <w:rFonts w:cs="Times New Roman"/>
                <w:szCs w:val="24"/>
              </w:rPr>
              <w:t xml:space="preserve">bus padarytas. </w:t>
            </w: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3F5F10" w:rsidRDefault="003F5F10" w:rsidP="0021369D">
            <w:pPr>
              <w:jc w:val="both"/>
              <w:rPr>
                <w:rFonts w:cs="Times New Roman"/>
                <w:szCs w:val="24"/>
              </w:rPr>
            </w:pPr>
          </w:p>
          <w:p w:rsidR="003F5F10" w:rsidRDefault="003F5F10" w:rsidP="0021369D">
            <w:pPr>
              <w:jc w:val="both"/>
              <w:rPr>
                <w:rFonts w:cs="Times New Roman"/>
                <w:szCs w:val="24"/>
              </w:rPr>
            </w:pPr>
          </w:p>
          <w:p w:rsidR="002B02A5" w:rsidRPr="003F5F10" w:rsidRDefault="00FE61E7" w:rsidP="0021369D">
            <w:pPr>
              <w:jc w:val="both"/>
              <w:rPr>
                <w:rFonts w:cs="Times New Roman"/>
                <w:b/>
                <w:szCs w:val="24"/>
              </w:rPr>
            </w:pPr>
            <w:r w:rsidRPr="003F5F10">
              <w:rPr>
                <w:rFonts w:cs="Times New Roman"/>
                <w:b/>
                <w:szCs w:val="24"/>
              </w:rPr>
              <w:t>Atsižvelgta iš dalies</w:t>
            </w:r>
            <w:r w:rsidR="002B02A5" w:rsidRPr="003F5F10">
              <w:rPr>
                <w:rFonts w:cs="Times New Roman"/>
                <w:b/>
                <w:szCs w:val="24"/>
              </w:rPr>
              <w:t>.</w:t>
            </w:r>
          </w:p>
          <w:p w:rsidR="002B02A5" w:rsidRPr="003F5F10" w:rsidRDefault="002B02A5" w:rsidP="0021369D">
            <w:pPr>
              <w:jc w:val="both"/>
              <w:rPr>
                <w:rFonts w:cs="Times New Roman"/>
                <w:szCs w:val="24"/>
              </w:rPr>
            </w:pPr>
            <w:r w:rsidRPr="003F5F10">
              <w:rPr>
                <w:rFonts w:cs="Times New Roman"/>
                <w:szCs w:val="24"/>
              </w:rPr>
              <w:t>Įgyvendinant Reglamentą naudotasi dabar egzistuojančiu teisiniu reguliavimu Lietuvos Respublikoje pripažįstant ir vykdant turto (arba) įrodymų arešto aktą (Įstatymo XII skyrius)</w:t>
            </w:r>
            <w:r w:rsidR="00FE61E7" w:rsidRPr="003F5F10">
              <w:rPr>
                <w:rFonts w:cs="Times New Roman"/>
                <w:szCs w:val="24"/>
              </w:rPr>
              <w:t xml:space="preserve">, konkrečiai 65 straipsnio 3 dalimi. </w:t>
            </w:r>
            <w:r w:rsidR="003F5F10" w:rsidRPr="003F5F10">
              <w:rPr>
                <w:rFonts w:cs="Times New Roman"/>
                <w:szCs w:val="24"/>
              </w:rPr>
              <w:t>Ji bus taikoma ir toliau Airijai ir Danijos Karalystei. Todėl siūloma palikti dabar galiojančią taisyklę</w:t>
            </w:r>
            <w:r w:rsidR="00383B44">
              <w:rPr>
                <w:rFonts w:cs="Times New Roman"/>
                <w:szCs w:val="24"/>
              </w:rPr>
              <w:t>, ištaisius kalbinę teksto klaidą</w:t>
            </w:r>
            <w:r w:rsidR="003F5F10" w:rsidRPr="003F5F10">
              <w:rPr>
                <w:rFonts w:cs="Times New Roman"/>
                <w:szCs w:val="24"/>
              </w:rPr>
              <w:t>.</w:t>
            </w:r>
          </w:p>
          <w:p w:rsidR="002B02A5" w:rsidRDefault="002B02A5" w:rsidP="0021369D">
            <w:pPr>
              <w:jc w:val="both"/>
              <w:rPr>
                <w:rFonts w:cs="Times New Roman"/>
                <w:szCs w:val="24"/>
              </w:rPr>
            </w:pPr>
          </w:p>
          <w:p w:rsidR="003F5F10" w:rsidRDefault="003F5F10" w:rsidP="0021369D">
            <w:pPr>
              <w:jc w:val="both"/>
              <w:rPr>
                <w:rFonts w:cs="Times New Roman"/>
                <w:szCs w:val="24"/>
              </w:rPr>
            </w:pPr>
          </w:p>
          <w:p w:rsidR="003F5F10" w:rsidRDefault="003F5F10" w:rsidP="0021369D">
            <w:pPr>
              <w:jc w:val="both"/>
              <w:rPr>
                <w:rFonts w:cs="Times New Roman"/>
                <w:szCs w:val="24"/>
              </w:rPr>
            </w:pPr>
          </w:p>
          <w:p w:rsidR="003F5F10" w:rsidRDefault="003F5F10" w:rsidP="0021369D">
            <w:pPr>
              <w:jc w:val="both"/>
              <w:rPr>
                <w:rFonts w:cs="Times New Roman"/>
                <w:szCs w:val="24"/>
              </w:rPr>
            </w:pPr>
          </w:p>
          <w:p w:rsidR="003F5F10" w:rsidRDefault="003F5F10" w:rsidP="0021369D">
            <w:pPr>
              <w:jc w:val="both"/>
              <w:rPr>
                <w:rFonts w:cs="Times New Roman"/>
                <w:szCs w:val="24"/>
              </w:rPr>
            </w:pPr>
          </w:p>
          <w:p w:rsidR="003F5F10" w:rsidRDefault="003F5F10" w:rsidP="0021369D">
            <w:pPr>
              <w:jc w:val="both"/>
              <w:rPr>
                <w:rFonts w:cs="Times New Roman"/>
                <w:szCs w:val="24"/>
              </w:rPr>
            </w:pPr>
          </w:p>
          <w:p w:rsidR="003F5F10" w:rsidRDefault="003F5F10" w:rsidP="0021369D">
            <w:pPr>
              <w:jc w:val="both"/>
              <w:rPr>
                <w:rFonts w:cs="Times New Roman"/>
                <w:szCs w:val="24"/>
              </w:rPr>
            </w:pPr>
          </w:p>
          <w:p w:rsidR="003F5F10" w:rsidRDefault="003F5F10" w:rsidP="0021369D">
            <w:pPr>
              <w:jc w:val="both"/>
              <w:rPr>
                <w:rFonts w:cs="Times New Roman"/>
                <w:szCs w:val="24"/>
              </w:rPr>
            </w:pPr>
          </w:p>
          <w:p w:rsidR="003F5F10" w:rsidRPr="003F5F10" w:rsidRDefault="003F5F10" w:rsidP="0021369D">
            <w:pPr>
              <w:jc w:val="both"/>
              <w:rPr>
                <w:rFonts w:cs="Times New Roman"/>
                <w:b/>
                <w:szCs w:val="24"/>
              </w:rPr>
            </w:pPr>
            <w:r w:rsidRPr="003F5F10">
              <w:rPr>
                <w:rFonts w:cs="Times New Roman"/>
                <w:b/>
                <w:szCs w:val="24"/>
              </w:rPr>
              <w:t>Neatsižvelgta.</w:t>
            </w:r>
          </w:p>
          <w:p w:rsidR="003F5F10" w:rsidRPr="003F5F10" w:rsidRDefault="003F5F10" w:rsidP="0021369D">
            <w:pPr>
              <w:jc w:val="both"/>
              <w:rPr>
                <w:rFonts w:cs="Times New Roman"/>
                <w:szCs w:val="24"/>
              </w:rPr>
            </w:pPr>
            <w:r>
              <w:rPr>
                <w:rFonts w:cs="Times New Roman"/>
                <w:szCs w:val="24"/>
              </w:rPr>
              <w:t>Žr. argumentus, pateiktus, neatsižvelgus į pastabą 1.6.</w:t>
            </w: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3F5F10" w:rsidRPr="003F5F10" w:rsidRDefault="003F5F10" w:rsidP="003F5F10">
            <w:pPr>
              <w:jc w:val="both"/>
              <w:rPr>
                <w:rFonts w:cs="Times New Roman"/>
                <w:b/>
                <w:szCs w:val="24"/>
              </w:rPr>
            </w:pPr>
            <w:r w:rsidRPr="003F5F10">
              <w:rPr>
                <w:rFonts w:cs="Times New Roman"/>
                <w:b/>
                <w:szCs w:val="24"/>
              </w:rPr>
              <w:t>Neatsižvelgta.</w:t>
            </w:r>
          </w:p>
          <w:p w:rsidR="003F5F10" w:rsidRPr="003F5F10" w:rsidRDefault="003F5F10" w:rsidP="003F5F10">
            <w:pPr>
              <w:jc w:val="both"/>
              <w:rPr>
                <w:rFonts w:cs="Times New Roman"/>
                <w:szCs w:val="24"/>
              </w:rPr>
            </w:pPr>
            <w:r>
              <w:rPr>
                <w:rFonts w:cs="Times New Roman"/>
                <w:szCs w:val="24"/>
              </w:rPr>
              <w:t>Žr. argumentus, pateiktus, neatsižvelgus į pastabą 1.6.</w:t>
            </w:r>
          </w:p>
          <w:p w:rsidR="003F5F10" w:rsidRPr="003F5F10" w:rsidRDefault="003F5F10" w:rsidP="003F5F10">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p w:rsidR="002B02A5" w:rsidRPr="003F5F10" w:rsidRDefault="002B02A5" w:rsidP="0021369D">
            <w:pPr>
              <w:jc w:val="both"/>
              <w:rPr>
                <w:rFonts w:cs="Times New Roman"/>
                <w:szCs w:val="24"/>
              </w:rPr>
            </w:pPr>
          </w:p>
        </w:tc>
      </w:tr>
    </w:tbl>
    <w:p w:rsidR="00415F87" w:rsidRPr="003F5F10" w:rsidRDefault="00415F87" w:rsidP="00CF2553">
      <w:pPr>
        <w:spacing w:line="240" w:lineRule="auto"/>
        <w:rPr>
          <w:rFonts w:cs="Times New Roman"/>
          <w:szCs w:val="24"/>
        </w:rPr>
      </w:pPr>
    </w:p>
    <w:sectPr w:rsidR="00415F87" w:rsidRPr="003F5F10" w:rsidSect="00B34F32">
      <w:headerReference w:type="default" r:id="rId8"/>
      <w:pgSz w:w="16838" w:h="11906" w:orient="landscape"/>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664" w:rsidRDefault="00BC7664" w:rsidP="001A74E1">
      <w:pPr>
        <w:spacing w:after="0" w:line="240" w:lineRule="auto"/>
      </w:pPr>
      <w:r>
        <w:separator/>
      </w:r>
    </w:p>
  </w:endnote>
  <w:endnote w:type="continuationSeparator" w:id="0">
    <w:p w:rsidR="00BC7664" w:rsidRDefault="00BC7664" w:rsidP="001A74E1">
      <w:pPr>
        <w:spacing w:after="0" w:line="240" w:lineRule="auto"/>
      </w:pPr>
      <w:r>
        <w:continuationSeparator/>
      </w:r>
    </w:p>
  </w:endnote>
  <w:endnote w:type="continuationNotice" w:id="1">
    <w:p w:rsidR="00BC7664" w:rsidRDefault="00BC76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tarSymbol">
    <w:charset w:val="00"/>
    <w:family w:val="auto"/>
    <w:pitch w:val="default"/>
  </w:font>
  <w:font w:name="NSimSun">
    <w:panose1 w:val="02010609030101010101"/>
    <w:charset w:val="86"/>
    <w:family w:val="modern"/>
    <w:pitch w:val="fixed"/>
    <w:sig w:usb0="0000028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664" w:rsidRDefault="00BC7664" w:rsidP="001A74E1">
      <w:pPr>
        <w:spacing w:after="0" w:line="240" w:lineRule="auto"/>
      </w:pPr>
      <w:r>
        <w:separator/>
      </w:r>
    </w:p>
  </w:footnote>
  <w:footnote w:type="continuationSeparator" w:id="0">
    <w:p w:rsidR="00BC7664" w:rsidRDefault="00BC7664" w:rsidP="001A74E1">
      <w:pPr>
        <w:spacing w:after="0" w:line="240" w:lineRule="auto"/>
      </w:pPr>
      <w:r>
        <w:continuationSeparator/>
      </w:r>
    </w:p>
  </w:footnote>
  <w:footnote w:type="continuationNotice" w:id="1">
    <w:p w:rsidR="00BC7664" w:rsidRDefault="00BC766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502967"/>
      <w:docPartObj>
        <w:docPartGallery w:val="Page Numbers (Top of Page)"/>
        <w:docPartUnique/>
      </w:docPartObj>
    </w:sdtPr>
    <w:sdtEndPr/>
    <w:sdtContent>
      <w:p w:rsidR="00991676" w:rsidRDefault="00991676">
        <w:pPr>
          <w:pStyle w:val="Antrats"/>
          <w:jc w:val="center"/>
        </w:pPr>
        <w:r>
          <w:fldChar w:fldCharType="begin"/>
        </w:r>
        <w:r>
          <w:instrText>PAGE   \* MERGEFORMAT</w:instrText>
        </w:r>
        <w:r>
          <w:fldChar w:fldCharType="separate"/>
        </w:r>
        <w:r w:rsidR="0023552F">
          <w:rPr>
            <w:noProof/>
          </w:rPr>
          <w:t>6</w:t>
        </w:r>
        <w:r>
          <w:fldChar w:fldCharType="end"/>
        </w:r>
      </w:p>
    </w:sdtContent>
  </w:sdt>
  <w:p w:rsidR="00991676" w:rsidRDefault="0099167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76A0"/>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F06B53"/>
    <w:multiLevelType w:val="hybridMultilevel"/>
    <w:tmpl w:val="C7245F5E"/>
    <w:lvl w:ilvl="0" w:tplc="AD2AA808">
      <w:start w:val="9"/>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5371091"/>
    <w:multiLevelType w:val="hybridMultilevel"/>
    <w:tmpl w:val="5C5C91F4"/>
    <w:lvl w:ilvl="0" w:tplc="AE8A6680">
      <w:start w:val="1"/>
      <w:numFmt w:val="decimal"/>
      <w:lvlText w:val="%1."/>
      <w:lvlJc w:val="left"/>
      <w:pPr>
        <w:ind w:left="1800" w:hanging="360"/>
      </w:pPr>
      <w:rPr>
        <w:rFonts w:ascii="Times New Roman" w:eastAsia="Times New Roman" w:hAnsi="Times New Roman" w:cs="Times New Roman"/>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195E523A"/>
    <w:multiLevelType w:val="multilevel"/>
    <w:tmpl w:val="865613CC"/>
    <w:lvl w:ilvl="0">
      <w:start w:val="1"/>
      <w:numFmt w:val="decimal"/>
      <w:lvlText w:val="%1"/>
      <w:lvlJc w:val="left"/>
      <w:pPr>
        <w:ind w:left="405" w:hanging="405"/>
      </w:pPr>
      <w:rPr>
        <w:rFonts w:hint="default"/>
        <w:sz w:val="23"/>
      </w:rPr>
    </w:lvl>
    <w:lvl w:ilvl="1">
      <w:start w:val="11"/>
      <w:numFmt w:val="decimal"/>
      <w:lvlText w:val="%1.%2"/>
      <w:lvlJc w:val="left"/>
      <w:pPr>
        <w:ind w:left="405" w:hanging="405"/>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4" w15:restartNumberingAfterBreak="0">
    <w:nsid w:val="21CA780E"/>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770633"/>
    <w:multiLevelType w:val="multilevel"/>
    <w:tmpl w:val="1372695A"/>
    <w:styleLink w:val="WWNum23"/>
    <w:lvl w:ilvl="0">
      <w:start w:val="1"/>
      <w:numFmt w:val="decimal"/>
      <w:lvlText w:val=" %1."/>
      <w:lvlJc w:val="left"/>
      <w:pPr>
        <w:ind w:left="1080" w:hanging="360"/>
      </w:pPr>
    </w:lvl>
    <w:lvl w:ilvl="1">
      <w:start w:val="1"/>
      <w:numFmt w:val="decimal"/>
      <w:lvlText w:val=" %1.%2."/>
      <w:lvlJc w:val="left"/>
      <w:pPr>
        <w:ind w:left="1800" w:hanging="360"/>
      </w:pPr>
    </w:lvl>
    <w:lvl w:ilvl="2">
      <w:start w:val="1"/>
      <w:numFmt w:val="lowerLetter"/>
      <w:lvlText w:val=" %3)"/>
      <w:lvlJc w:val="right"/>
      <w:pPr>
        <w:ind w:left="2520" w:hanging="180"/>
      </w:pPr>
    </w:lvl>
    <w:lvl w:ilvl="3">
      <w:numFmt w:val="bullet"/>
      <w:lvlText w:val="•"/>
      <w:lvlJc w:val="left"/>
      <w:pPr>
        <w:ind w:left="3240" w:hanging="360"/>
      </w:pPr>
      <w:rPr>
        <w:rFonts w:ascii="StarSymbol" w:hAnsi="StarSymbol"/>
      </w:rPr>
    </w:lvl>
    <w:lvl w:ilvl="4">
      <w:numFmt w:val="bullet"/>
      <w:lvlText w:val="•"/>
      <w:lvlJc w:val="left"/>
      <w:pPr>
        <w:ind w:left="3960" w:hanging="360"/>
      </w:pPr>
      <w:rPr>
        <w:rFonts w:ascii="StarSymbol" w:hAnsi="StarSymbol"/>
      </w:rPr>
    </w:lvl>
    <w:lvl w:ilvl="5">
      <w:numFmt w:val="bullet"/>
      <w:lvlText w:val="•"/>
      <w:lvlJc w:val="right"/>
      <w:pPr>
        <w:ind w:left="4680" w:hanging="180"/>
      </w:pPr>
      <w:rPr>
        <w:rFonts w:ascii="StarSymbol" w:hAnsi="StarSymbol"/>
      </w:rPr>
    </w:lvl>
    <w:lvl w:ilvl="6">
      <w:numFmt w:val="bullet"/>
      <w:lvlText w:val="•"/>
      <w:lvlJc w:val="left"/>
      <w:pPr>
        <w:ind w:left="5400" w:hanging="360"/>
      </w:pPr>
      <w:rPr>
        <w:rFonts w:ascii="StarSymbol" w:hAnsi="StarSymbol"/>
      </w:rPr>
    </w:lvl>
    <w:lvl w:ilvl="7">
      <w:numFmt w:val="bullet"/>
      <w:lvlText w:val="•"/>
      <w:lvlJc w:val="left"/>
      <w:pPr>
        <w:ind w:left="6120" w:hanging="360"/>
      </w:pPr>
      <w:rPr>
        <w:rFonts w:ascii="StarSymbol" w:hAnsi="StarSymbol"/>
      </w:rPr>
    </w:lvl>
    <w:lvl w:ilvl="8">
      <w:numFmt w:val="bullet"/>
      <w:lvlText w:val="•"/>
      <w:lvlJc w:val="right"/>
      <w:pPr>
        <w:ind w:left="6840" w:hanging="180"/>
      </w:pPr>
      <w:rPr>
        <w:rFonts w:ascii="StarSymbol" w:hAnsi="StarSymbol"/>
      </w:rPr>
    </w:lvl>
  </w:abstractNum>
  <w:abstractNum w:abstractNumId="6" w15:restartNumberingAfterBreak="0">
    <w:nsid w:val="29DE620C"/>
    <w:multiLevelType w:val="hybridMultilevel"/>
    <w:tmpl w:val="A7AE54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2D0D7D05"/>
    <w:multiLevelType w:val="hybridMultilevel"/>
    <w:tmpl w:val="4D820992"/>
    <w:lvl w:ilvl="0" w:tplc="B6F459A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8" w15:restartNumberingAfterBreak="0">
    <w:nsid w:val="2FF63183"/>
    <w:multiLevelType w:val="multilevel"/>
    <w:tmpl w:val="012E8428"/>
    <w:lvl w:ilvl="0">
      <w:start w:val="1"/>
      <w:numFmt w:val="decimal"/>
      <w:lvlText w:val="%1."/>
      <w:lvlJc w:val="left"/>
      <w:pPr>
        <w:ind w:left="720" w:hanging="360"/>
      </w:pPr>
      <w:rPr>
        <w:rFonts w:eastAsia="NSimSun" w:hint="default"/>
        <w:sz w:val="23"/>
      </w:rPr>
    </w:lvl>
    <w:lvl w:ilvl="1">
      <w:start w:val="9"/>
      <w:numFmt w:val="decimal"/>
      <w:isLgl/>
      <w:lvlText w:val="%1.%2."/>
      <w:lvlJc w:val="left"/>
      <w:pPr>
        <w:ind w:left="720" w:hanging="360"/>
      </w:pPr>
      <w:rPr>
        <w:rFonts w:hint="default"/>
        <w:sz w:val="23"/>
      </w:rPr>
    </w:lvl>
    <w:lvl w:ilvl="2">
      <w:start w:val="1"/>
      <w:numFmt w:val="decimal"/>
      <w:isLgl/>
      <w:lvlText w:val="%1.%2.%3."/>
      <w:lvlJc w:val="left"/>
      <w:pPr>
        <w:ind w:left="1080" w:hanging="720"/>
      </w:pPr>
      <w:rPr>
        <w:rFonts w:hint="default"/>
        <w:sz w:val="23"/>
      </w:rPr>
    </w:lvl>
    <w:lvl w:ilvl="3">
      <w:start w:val="1"/>
      <w:numFmt w:val="decimal"/>
      <w:isLgl/>
      <w:lvlText w:val="%1.%2.%3.%4."/>
      <w:lvlJc w:val="left"/>
      <w:pPr>
        <w:ind w:left="1080" w:hanging="720"/>
      </w:pPr>
      <w:rPr>
        <w:rFonts w:hint="default"/>
        <w:sz w:val="23"/>
      </w:rPr>
    </w:lvl>
    <w:lvl w:ilvl="4">
      <w:start w:val="1"/>
      <w:numFmt w:val="decimal"/>
      <w:isLgl/>
      <w:lvlText w:val="%1.%2.%3.%4.%5."/>
      <w:lvlJc w:val="left"/>
      <w:pPr>
        <w:ind w:left="1440" w:hanging="1080"/>
      </w:pPr>
      <w:rPr>
        <w:rFonts w:hint="default"/>
        <w:sz w:val="23"/>
      </w:rPr>
    </w:lvl>
    <w:lvl w:ilvl="5">
      <w:start w:val="1"/>
      <w:numFmt w:val="decimal"/>
      <w:isLgl/>
      <w:lvlText w:val="%1.%2.%3.%4.%5.%6."/>
      <w:lvlJc w:val="left"/>
      <w:pPr>
        <w:ind w:left="1440" w:hanging="1080"/>
      </w:pPr>
      <w:rPr>
        <w:rFonts w:hint="default"/>
        <w:sz w:val="23"/>
      </w:rPr>
    </w:lvl>
    <w:lvl w:ilvl="6">
      <w:start w:val="1"/>
      <w:numFmt w:val="decimal"/>
      <w:isLgl/>
      <w:lvlText w:val="%1.%2.%3.%4.%5.%6.%7."/>
      <w:lvlJc w:val="left"/>
      <w:pPr>
        <w:ind w:left="1800" w:hanging="1440"/>
      </w:pPr>
      <w:rPr>
        <w:rFonts w:hint="default"/>
        <w:sz w:val="23"/>
      </w:rPr>
    </w:lvl>
    <w:lvl w:ilvl="7">
      <w:start w:val="1"/>
      <w:numFmt w:val="decimal"/>
      <w:isLgl/>
      <w:lvlText w:val="%1.%2.%3.%4.%5.%6.%7.%8."/>
      <w:lvlJc w:val="left"/>
      <w:pPr>
        <w:ind w:left="1800" w:hanging="1440"/>
      </w:pPr>
      <w:rPr>
        <w:rFonts w:hint="default"/>
        <w:sz w:val="23"/>
      </w:rPr>
    </w:lvl>
    <w:lvl w:ilvl="8">
      <w:start w:val="1"/>
      <w:numFmt w:val="decimal"/>
      <w:isLgl/>
      <w:lvlText w:val="%1.%2.%3.%4.%5.%6.%7.%8.%9."/>
      <w:lvlJc w:val="left"/>
      <w:pPr>
        <w:ind w:left="2160" w:hanging="1800"/>
      </w:pPr>
      <w:rPr>
        <w:rFonts w:hint="default"/>
        <w:sz w:val="23"/>
      </w:rPr>
    </w:lvl>
  </w:abstractNum>
  <w:abstractNum w:abstractNumId="9" w15:restartNumberingAfterBreak="0">
    <w:nsid w:val="367D0D51"/>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A215FD"/>
    <w:multiLevelType w:val="multilevel"/>
    <w:tmpl w:val="A07C5880"/>
    <w:lvl w:ilvl="0">
      <w:start w:val="1"/>
      <w:numFmt w:val="decimal"/>
      <w:lvlText w:val="%1."/>
      <w:lvlJc w:val="left"/>
      <w:pPr>
        <w:ind w:left="72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11" w15:restartNumberingAfterBreak="0">
    <w:nsid w:val="3D4A7EF3"/>
    <w:multiLevelType w:val="hybridMultilevel"/>
    <w:tmpl w:val="BEDA43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8D03FA"/>
    <w:multiLevelType w:val="multilevel"/>
    <w:tmpl w:val="6FE412C8"/>
    <w:lvl w:ilvl="0">
      <w:start w:val="1"/>
      <w:numFmt w:val="decimal"/>
      <w:lvlText w:val="%1."/>
      <w:lvlJc w:val="left"/>
      <w:pPr>
        <w:ind w:left="360" w:hanging="360"/>
      </w:pPr>
      <w:rPr>
        <w:rFonts w:hint="default"/>
        <w:sz w:val="23"/>
      </w:rPr>
    </w:lvl>
    <w:lvl w:ilvl="1">
      <w:start w:val="6"/>
      <w:numFmt w:val="decimal"/>
      <w:lvlText w:val="%1.%2."/>
      <w:lvlJc w:val="left"/>
      <w:pPr>
        <w:ind w:left="1069" w:hanging="360"/>
      </w:pPr>
      <w:rPr>
        <w:rFonts w:hint="default"/>
        <w:sz w:val="23"/>
      </w:rPr>
    </w:lvl>
    <w:lvl w:ilvl="2">
      <w:start w:val="1"/>
      <w:numFmt w:val="decimal"/>
      <w:lvlText w:val="%1.%2.%3."/>
      <w:lvlJc w:val="left"/>
      <w:pPr>
        <w:ind w:left="2138" w:hanging="720"/>
      </w:pPr>
      <w:rPr>
        <w:rFonts w:hint="default"/>
        <w:sz w:val="23"/>
      </w:rPr>
    </w:lvl>
    <w:lvl w:ilvl="3">
      <w:start w:val="1"/>
      <w:numFmt w:val="decimal"/>
      <w:lvlText w:val="%1.%2.%3.%4."/>
      <w:lvlJc w:val="left"/>
      <w:pPr>
        <w:ind w:left="2847" w:hanging="720"/>
      </w:pPr>
      <w:rPr>
        <w:rFonts w:hint="default"/>
        <w:sz w:val="23"/>
      </w:rPr>
    </w:lvl>
    <w:lvl w:ilvl="4">
      <w:start w:val="1"/>
      <w:numFmt w:val="decimal"/>
      <w:lvlText w:val="%1.%2.%3.%4.%5."/>
      <w:lvlJc w:val="left"/>
      <w:pPr>
        <w:ind w:left="3916" w:hanging="1080"/>
      </w:pPr>
      <w:rPr>
        <w:rFonts w:hint="default"/>
        <w:sz w:val="23"/>
      </w:rPr>
    </w:lvl>
    <w:lvl w:ilvl="5">
      <w:start w:val="1"/>
      <w:numFmt w:val="decimal"/>
      <w:lvlText w:val="%1.%2.%3.%4.%5.%6."/>
      <w:lvlJc w:val="left"/>
      <w:pPr>
        <w:ind w:left="4625" w:hanging="1080"/>
      </w:pPr>
      <w:rPr>
        <w:rFonts w:hint="default"/>
        <w:sz w:val="23"/>
      </w:rPr>
    </w:lvl>
    <w:lvl w:ilvl="6">
      <w:start w:val="1"/>
      <w:numFmt w:val="decimal"/>
      <w:lvlText w:val="%1.%2.%3.%4.%5.%6.%7."/>
      <w:lvlJc w:val="left"/>
      <w:pPr>
        <w:ind w:left="5694" w:hanging="1440"/>
      </w:pPr>
      <w:rPr>
        <w:rFonts w:hint="default"/>
        <w:sz w:val="23"/>
      </w:rPr>
    </w:lvl>
    <w:lvl w:ilvl="7">
      <w:start w:val="1"/>
      <w:numFmt w:val="decimal"/>
      <w:lvlText w:val="%1.%2.%3.%4.%5.%6.%7.%8."/>
      <w:lvlJc w:val="left"/>
      <w:pPr>
        <w:ind w:left="6403" w:hanging="1440"/>
      </w:pPr>
      <w:rPr>
        <w:rFonts w:hint="default"/>
        <w:sz w:val="23"/>
      </w:rPr>
    </w:lvl>
    <w:lvl w:ilvl="8">
      <w:start w:val="1"/>
      <w:numFmt w:val="decimal"/>
      <w:lvlText w:val="%1.%2.%3.%4.%5.%6.%7.%8.%9."/>
      <w:lvlJc w:val="left"/>
      <w:pPr>
        <w:ind w:left="7472" w:hanging="1800"/>
      </w:pPr>
      <w:rPr>
        <w:rFonts w:hint="default"/>
        <w:sz w:val="23"/>
      </w:rPr>
    </w:lvl>
  </w:abstractNum>
  <w:abstractNum w:abstractNumId="13" w15:restartNumberingAfterBreak="0">
    <w:nsid w:val="3EC71F77"/>
    <w:multiLevelType w:val="hybridMultilevel"/>
    <w:tmpl w:val="1DE2D8C6"/>
    <w:lvl w:ilvl="0" w:tplc="0FC8F1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AC23B63"/>
    <w:multiLevelType w:val="hybridMultilevel"/>
    <w:tmpl w:val="87FE9B08"/>
    <w:lvl w:ilvl="0" w:tplc="19F656AC">
      <w:start w:val="1"/>
      <w:numFmt w:val="decimal"/>
      <w:lvlText w:val="%1."/>
      <w:lvlJc w:val="left"/>
      <w:pPr>
        <w:ind w:left="412" w:hanging="360"/>
      </w:pPr>
      <w:rPr>
        <w:rFonts w:hint="default"/>
      </w:rPr>
    </w:lvl>
    <w:lvl w:ilvl="1" w:tplc="04270019" w:tentative="1">
      <w:start w:val="1"/>
      <w:numFmt w:val="lowerLetter"/>
      <w:lvlText w:val="%2."/>
      <w:lvlJc w:val="left"/>
      <w:pPr>
        <w:ind w:left="1132" w:hanging="360"/>
      </w:pPr>
    </w:lvl>
    <w:lvl w:ilvl="2" w:tplc="0427001B" w:tentative="1">
      <w:start w:val="1"/>
      <w:numFmt w:val="lowerRoman"/>
      <w:lvlText w:val="%3."/>
      <w:lvlJc w:val="right"/>
      <w:pPr>
        <w:ind w:left="1852" w:hanging="180"/>
      </w:pPr>
    </w:lvl>
    <w:lvl w:ilvl="3" w:tplc="0427000F" w:tentative="1">
      <w:start w:val="1"/>
      <w:numFmt w:val="decimal"/>
      <w:lvlText w:val="%4."/>
      <w:lvlJc w:val="left"/>
      <w:pPr>
        <w:ind w:left="2572" w:hanging="360"/>
      </w:pPr>
    </w:lvl>
    <w:lvl w:ilvl="4" w:tplc="04270019" w:tentative="1">
      <w:start w:val="1"/>
      <w:numFmt w:val="lowerLetter"/>
      <w:lvlText w:val="%5."/>
      <w:lvlJc w:val="left"/>
      <w:pPr>
        <w:ind w:left="3292" w:hanging="360"/>
      </w:pPr>
    </w:lvl>
    <w:lvl w:ilvl="5" w:tplc="0427001B" w:tentative="1">
      <w:start w:val="1"/>
      <w:numFmt w:val="lowerRoman"/>
      <w:lvlText w:val="%6."/>
      <w:lvlJc w:val="right"/>
      <w:pPr>
        <w:ind w:left="4012" w:hanging="180"/>
      </w:pPr>
    </w:lvl>
    <w:lvl w:ilvl="6" w:tplc="0427000F" w:tentative="1">
      <w:start w:val="1"/>
      <w:numFmt w:val="decimal"/>
      <w:lvlText w:val="%7."/>
      <w:lvlJc w:val="left"/>
      <w:pPr>
        <w:ind w:left="4732" w:hanging="360"/>
      </w:pPr>
    </w:lvl>
    <w:lvl w:ilvl="7" w:tplc="04270019" w:tentative="1">
      <w:start w:val="1"/>
      <w:numFmt w:val="lowerLetter"/>
      <w:lvlText w:val="%8."/>
      <w:lvlJc w:val="left"/>
      <w:pPr>
        <w:ind w:left="5452" w:hanging="360"/>
      </w:pPr>
    </w:lvl>
    <w:lvl w:ilvl="8" w:tplc="0427001B" w:tentative="1">
      <w:start w:val="1"/>
      <w:numFmt w:val="lowerRoman"/>
      <w:lvlText w:val="%9."/>
      <w:lvlJc w:val="right"/>
      <w:pPr>
        <w:ind w:left="6172" w:hanging="180"/>
      </w:pPr>
    </w:lvl>
  </w:abstractNum>
  <w:abstractNum w:abstractNumId="15" w15:restartNumberingAfterBreak="0">
    <w:nsid w:val="4D3A7C59"/>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2B5884"/>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357DAF"/>
    <w:multiLevelType w:val="hybridMultilevel"/>
    <w:tmpl w:val="6F5A45B8"/>
    <w:lvl w:ilvl="0" w:tplc="20CEF250">
      <w:start w:val="1"/>
      <w:numFmt w:val="decimal"/>
      <w:lvlText w:val="%1."/>
      <w:lvlJc w:val="left"/>
      <w:pPr>
        <w:ind w:left="927"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C3063E"/>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D77C7D"/>
    <w:multiLevelType w:val="hybridMultilevel"/>
    <w:tmpl w:val="B704CC9A"/>
    <w:lvl w:ilvl="0" w:tplc="F05E0F06">
      <w:start w:val="1"/>
      <w:numFmt w:val="decimal"/>
      <w:lvlText w:val="%1."/>
      <w:lvlJc w:val="left"/>
      <w:pPr>
        <w:ind w:left="720" w:hanging="360"/>
      </w:pPr>
      <w:rPr>
        <w:rFonts w:hint="default"/>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BF77A2A"/>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C1B6710"/>
    <w:multiLevelType w:val="multilevel"/>
    <w:tmpl w:val="31A84456"/>
    <w:styleLink w:val="WWNum2"/>
    <w:lvl w:ilvl="0">
      <w:start w:val="1"/>
      <w:numFmt w:val="decimal"/>
      <w:lvlText w:val=" %1."/>
      <w:lvlJc w:val="left"/>
      <w:pPr>
        <w:ind w:left="1080" w:hanging="360"/>
      </w:pPr>
    </w:lvl>
    <w:lvl w:ilvl="1">
      <w:start w:val="1"/>
      <w:numFmt w:val="decimal"/>
      <w:lvlText w:val=" %1.%2."/>
      <w:lvlJc w:val="left"/>
      <w:pPr>
        <w:ind w:left="1069" w:hanging="360"/>
      </w:pPr>
    </w:lvl>
    <w:lvl w:ilvl="2">
      <w:start w:val="1"/>
      <w:numFmt w:val="lowerLetter"/>
      <w:lvlText w:val=" %3)"/>
      <w:lvlJc w:val="right"/>
      <w:pPr>
        <w:ind w:left="2520" w:hanging="180"/>
      </w:pPr>
    </w:lvl>
    <w:lvl w:ilvl="3">
      <w:numFmt w:val="bullet"/>
      <w:lvlText w:val="•"/>
      <w:lvlJc w:val="left"/>
      <w:pPr>
        <w:ind w:left="3240" w:hanging="360"/>
      </w:pPr>
      <w:rPr>
        <w:rFonts w:ascii="StarSymbol" w:hAnsi="StarSymbol"/>
      </w:rPr>
    </w:lvl>
    <w:lvl w:ilvl="4">
      <w:numFmt w:val="bullet"/>
      <w:lvlText w:val="•"/>
      <w:lvlJc w:val="left"/>
      <w:pPr>
        <w:ind w:left="3960" w:hanging="360"/>
      </w:pPr>
      <w:rPr>
        <w:rFonts w:ascii="StarSymbol" w:hAnsi="StarSymbol"/>
      </w:rPr>
    </w:lvl>
    <w:lvl w:ilvl="5">
      <w:numFmt w:val="bullet"/>
      <w:lvlText w:val="•"/>
      <w:lvlJc w:val="right"/>
      <w:pPr>
        <w:ind w:left="4680" w:hanging="180"/>
      </w:pPr>
      <w:rPr>
        <w:rFonts w:ascii="StarSymbol" w:hAnsi="StarSymbol"/>
      </w:rPr>
    </w:lvl>
    <w:lvl w:ilvl="6">
      <w:numFmt w:val="bullet"/>
      <w:lvlText w:val="•"/>
      <w:lvlJc w:val="left"/>
      <w:pPr>
        <w:ind w:left="5400" w:hanging="360"/>
      </w:pPr>
      <w:rPr>
        <w:rFonts w:ascii="StarSymbol" w:hAnsi="StarSymbol"/>
      </w:rPr>
    </w:lvl>
    <w:lvl w:ilvl="7">
      <w:numFmt w:val="bullet"/>
      <w:lvlText w:val="•"/>
      <w:lvlJc w:val="left"/>
      <w:pPr>
        <w:ind w:left="6120" w:hanging="360"/>
      </w:pPr>
      <w:rPr>
        <w:rFonts w:ascii="StarSymbol" w:hAnsi="StarSymbol"/>
      </w:rPr>
    </w:lvl>
    <w:lvl w:ilvl="8">
      <w:numFmt w:val="bullet"/>
      <w:lvlText w:val="•"/>
      <w:lvlJc w:val="right"/>
      <w:pPr>
        <w:ind w:left="6840" w:hanging="180"/>
      </w:pPr>
      <w:rPr>
        <w:rFonts w:ascii="StarSymbol" w:hAnsi="StarSymbol"/>
      </w:rPr>
    </w:lvl>
  </w:abstractNum>
  <w:num w:numId="1">
    <w:abstractNumId w:val="17"/>
  </w:num>
  <w:num w:numId="2">
    <w:abstractNumId w:val="16"/>
  </w:num>
  <w:num w:numId="3">
    <w:abstractNumId w:val="18"/>
  </w:num>
  <w:num w:numId="4">
    <w:abstractNumId w:val="1"/>
  </w:num>
  <w:num w:numId="5">
    <w:abstractNumId w:val="10"/>
  </w:num>
  <w:num w:numId="6">
    <w:abstractNumId w:val="20"/>
  </w:num>
  <w:num w:numId="7">
    <w:abstractNumId w:val="9"/>
  </w:num>
  <w:num w:numId="8">
    <w:abstractNumId w:val="0"/>
  </w:num>
  <w:num w:numId="9">
    <w:abstractNumId w:val="15"/>
  </w:num>
  <w:num w:numId="10">
    <w:abstractNumId w:val="4"/>
  </w:num>
  <w:num w:numId="11">
    <w:abstractNumId w:val="2"/>
  </w:num>
  <w:num w:numId="12">
    <w:abstractNumId w:val="13"/>
  </w:num>
  <w:num w:numId="13">
    <w:abstractNumId w:val="14"/>
  </w:num>
  <w:num w:numId="14">
    <w:abstractNumId w:val="7"/>
  </w:num>
  <w:num w:numId="15">
    <w:abstractNumId w:val="6"/>
  </w:num>
  <w:num w:numId="16">
    <w:abstractNumId w:val="21"/>
  </w:num>
  <w:num w:numId="17">
    <w:abstractNumId w:val="12"/>
  </w:num>
  <w:num w:numId="18">
    <w:abstractNumId w:val="8"/>
  </w:num>
  <w:num w:numId="19">
    <w:abstractNumId w:val="11"/>
  </w:num>
  <w:num w:numId="20">
    <w:abstractNumId w:val="19"/>
  </w:num>
  <w:num w:numId="21">
    <w:abstractNumId w:val="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80"/>
    <w:rsid w:val="00006D83"/>
    <w:rsid w:val="000105C5"/>
    <w:rsid w:val="00011F89"/>
    <w:rsid w:val="0001325B"/>
    <w:rsid w:val="00017BA5"/>
    <w:rsid w:val="00023C51"/>
    <w:rsid w:val="00026B1E"/>
    <w:rsid w:val="00027F2B"/>
    <w:rsid w:val="00030121"/>
    <w:rsid w:val="00032FAB"/>
    <w:rsid w:val="00032FF1"/>
    <w:rsid w:val="00045BB2"/>
    <w:rsid w:val="0004761D"/>
    <w:rsid w:val="00051B37"/>
    <w:rsid w:val="00051D09"/>
    <w:rsid w:val="00052516"/>
    <w:rsid w:val="00054039"/>
    <w:rsid w:val="00057760"/>
    <w:rsid w:val="00060C68"/>
    <w:rsid w:val="000668CD"/>
    <w:rsid w:val="000722D5"/>
    <w:rsid w:val="00073E80"/>
    <w:rsid w:val="0007787E"/>
    <w:rsid w:val="00090973"/>
    <w:rsid w:val="00093DD7"/>
    <w:rsid w:val="000958A7"/>
    <w:rsid w:val="000A04FA"/>
    <w:rsid w:val="000A11A2"/>
    <w:rsid w:val="000A2BD4"/>
    <w:rsid w:val="000A36D8"/>
    <w:rsid w:val="000A43FB"/>
    <w:rsid w:val="000B028B"/>
    <w:rsid w:val="000B0371"/>
    <w:rsid w:val="000B22FE"/>
    <w:rsid w:val="000B2845"/>
    <w:rsid w:val="000B77AB"/>
    <w:rsid w:val="000B7CCA"/>
    <w:rsid w:val="000D0F2E"/>
    <w:rsid w:val="000E0A46"/>
    <w:rsid w:val="000E210B"/>
    <w:rsid w:val="000E2BB0"/>
    <w:rsid w:val="000E4DC0"/>
    <w:rsid w:val="000E72BC"/>
    <w:rsid w:val="000F0F3C"/>
    <w:rsid w:val="000F75D9"/>
    <w:rsid w:val="00100873"/>
    <w:rsid w:val="00110461"/>
    <w:rsid w:val="00113D18"/>
    <w:rsid w:val="001215A5"/>
    <w:rsid w:val="00126745"/>
    <w:rsid w:val="0012778F"/>
    <w:rsid w:val="0013472B"/>
    <w:rsid w:val="001371A4"/>
    <w:rsid w:val="001427A4"/>
    <w:rsid w:val="00142C80"/>
    <w:rsid w:val="0014586D"/>
    <w:rsid w:val="001554FD"/>
    <w:rsid w:val="00157879"/>
    <w:rsid w:val="001638BA"/>
    <w:rsid w:val="00167151"/>
    <w:rsid w:val="00167C61"/>
    <w:rsid w:val="0017041C"/>
    <w:rsid w:val="00171058"/>
    <w:rsid w:val="00173333"/>
    <w:rsid w:val="001740BA"/>
    <w:rsid w:val="00183DD9"/>
    <w:rsid w:val="00183FB2"/>
    <w:rsid w:val="00184AAE"/>
    <w:rsid w:val="00185664"/>
    <w:rsid w:val="00193676"/>
    <w:rsid w:val="00194266"/>
    <w:rsid w:val="00195D57"/>
    <w:rsid w:val="001A28E3"/>
    <w:rsid w:val="001A353B"/>
    <w:rsid w:val="001A4D70"/>
    <w:rsid w:val="001A617C"/>
    <w:rsid w:val="001A6C8B"/>
    <w:rsid w:val="001A74E1"/>
    <w:rsid w:val="001B7B80"/>
    <w:rsid w:val="001D2DD0"/>
    <w:rsid w:val="001D35C4"/>
    <w:rsid w:val="001D4560"/>
    <w:rsid w:val="001D5328"/>
    <w:rsid w:val="001E14C1"/>
    <w:rsid w:val="001E1DAC"/>
    <w:rsid w:val="001E2FB6"/>
    <w:rsid w:val="001E5AEB"/>
    <w:rsid w:val="001E7F07"/>
    <w:rsid w:val="001F0BA8"/>
    <w:rsid w:val="001F4C6F"/>
    <w:rsid w:val="001F6612"/>
    <w:rsid w:val="001F6E6F"/>
    <w:rsid w:val="001F778B"/>
    <w:rsid w:val="00200687"/>
    <w:rsid w:val="0020288F"/>
    <w:rsid w:val="00205F8A"/>
    <w:rsid w:val="002119D5"/>
    <w:rsid w:val="0021369D"/>
    <w:rsid w:val="00214BFC"/>
    <w:rsid w:val="0022091E"/>
    <w:rsid w:val="0022363D"/>
    <w:rsid w:val="00224081"/>
    <w:rsid w:val="00225B5E"/>
    <w:rsid w:val="0022668A"/>
    <w:rsid w:val="0023552F"/>
    <w:rsid w:val="00236FB0"/>
    <w:rsid w:val="00246288"/>
    <w:rsid w:val="00254B49"/>
    <w:rsid w:val="002624B7"/>
    <w:rsid w:val="002631FF"/>
    <w:rsid w:val="00263D59"/>
    <w:rsid w:val="00265E39"/>
    <w:rsid w:val="0027114A"/>
    <w:rsid w:val="00277CC6"/>
    <w:rsid w:val="00281153"/>
    <w:rsid w:val="0028210F"/>
    <w:rsid w:val="00283AAE"/>
    <w:rsid w:val="00284ACC"/>
    <w:rsid w:val="00285928"/>
    <w:rsid w:val="002919A4"/>
    <w:rsid w:val="0029303A"/>
    <w:rsid w:val="00293EBB"/>
    <w:rsid w:val="00296A94"/>
    <w:rsid w:val="0029778E"/>
    <w:rsid w:val="002A29E9"/>
    <w:rsid w:val="002A2B6C"/>
    <w:rsid w:val="002A776A"/>
    <w:rsid w:val="002B0257"/>
    <w:rsid w:val="002B02A5"/>
    <w:rsid w:val="002B2907"/>
    <w:rsid w:val="002C0530"/>
    <w:rsid w:val="002C207F"/>
    <w:rsid w:val="002C2085"/>
    <w:rsid w:val="002C6F16"/>
    <w:rsid w:val="002D09E2"/>
    <w:rsid w:val="002D0FCC"/>
    <w:rsid w:val="002D4903"/>
    <w:rsid w:val="002D73F5"/>
    <w:rsid w:val="002E25C3"/>
    <w:rsid w:val="002F17B1"/>
    <w:rsid w:val="002F2214"/>
    <w:rsid w:val="002F3DC2"/>
    <w:rsid w:val="002F7932"/>
    <w:rsid w:val="002F7F81"/>
    <w:rsid w:val="003039D3"/>
    <w:rsid w:val="00305EBB"/>
    <w:rsid w:val="00305ECB"/>
    <w:rsid w:val="00315E70"/>
    <w:rsid w:val="00321ED9"/>
    <w:rsid w:val="00323D6E"/>
    <w:rsid w:val="00327245"/>
    <w:rsid w:val="003361D6"/>
    <w:rsid w:val="00342A94"/>
    <w:rsid w:val="00343D2A"/>
    <w:rsid w:val="003462FF"/>
    <w:rsid w:val="00347E98"/>
    <w:rsid w:val="003502CE"/>
    <w:rsid w:val="0035188F"/>
    <w:rsid w:val="0035250D"/>
    <w:rsid w:val="0036253A"/>
    <w:rsid w:val="003702A9"/>
    <w:rsid w:val="00372EF5"/>
    <w:rsid w:val="00374458"/>
    <w:rsid w:val="003762B4"/>
    <w:rsid w:val="003771A4"/>
    <w:rsid w:val="0038082F"/>
    <w:rsid w:val="00383B44"/>
    <w:rsid w:val="00383B61"/>
    <w:rsid w:val="00386C65"/>
    <w:rsid w:val="0038771C"/>
    <w:rsid w:val="0039198C"/>
    <w:rsid w:val="00394D75"/>
    <w:rsid w:val="00396D19"/>
    <w:rsid w:val="003A07C7"/>
    <w:rsid w:val="003A1582"/>
    <w:rsid w:val="003A1D62"/>
    <w:rsid w:val="003A5259"/>
    <w:rsid w:val="003B0F36"/>
    <w:rsid w:val="003B49FB"/>
    <w:rsid w:val="003B510B"/>
    <w:rsid w:val="003B579F"/>
    <w:rsid w:val="003C014A"/>
    <w:rsid w:val="003C3524"/>
    <w:rsid w:val="003C744D"/>
    <w:rsid w:val="003D228D"/>
    <w:rsid w:val="003E0AE9"/>
    <w:rsid w:val="003E297F"/>
    <w:rsid w:val="003F1A58"/>
    <w:rsid w:val="003F5015"/>
    <w:rsid w:val="003F5C06"/>
    <w:rsid w:val="003F5DD9"/>
    <w:rsid w:val="003F5F10"/>
    <w:rsid w:val="003F6EBC"/>
    <w:rsid w:val="003F7679"/>
    <w:rsid w:val="00415F87"/>
    <w:rsid w:val="004223AE"/>
    <w:rsid w:val="00424471"/>
    <w:rsid w:val="004245E2"/>
    <w:rsid w:val="00425D1C"/>
    <w:rsid w:val="004315DD"/>
    <w:rsid w:val="004418C5"/>
    <w:rsid w:val="0044766B"/>
    <w:rsid w:val="00450C04"/>
    <w:rsid w:val="004514C5"/>
    <w:rsid w:val="004569A7"/>
    <w:rsid w:val="00465171"/>
    <w:rsid w:val="00465845"/>
    <w:rsid w:val="004678DD"/>
    <w:rsid w:val="00467DB0"/>
    <w:rsid w:val="00472335"/>
    <w:rsid w:val="00475450"/>
    <w:rsid w:val="00475C34"/>
    <w:rsid w:val="004830CE"/>
    <w:rsid w:val="0048369F"/>
    <w:rsid w:val="004848A2"/>
    <w:rsid w:val="0048580D"/>
    <w:rsid w:val="00485D4A"/>
    <w:rsid w:val="00487CAE"/>
    <w:rsid w:val="00497562"/>
    <w:rsid w:val="004A21A2"/>
    <w:rsid w:val="004A2827"/>
    <w:rsid w:val="004B1773"/>
    <w:rsid w:val="004B4169"/>
    <w:rsid w:val="004B6F82"/>
    <w:rsid w:val="004C0AAF"/>
    <w:rsid w:val="004C15D1"/>
    <w:rsid w:val="004C20A2"/>
    <w:rsid w:val="004D2BFA"/>
    <w:rsid w:val="004E04BF"/>
    <w:rsid w:val="004E4314"/>
    <w:rsid w:val="004E7E18"/>
    <w:rsid w:val="00500D1F"/>
    <w:rsid w:val="00502D19"/>
    <w:rsid w:val="00502EF6"/>
    <w:rsid w:val="00503E7F"/>
    <w:rsid w:val="0050418F"/>
    <w:rsid w:val="005046A5"/>
    <w:rsid w:val="005057A1"/>
    <w:rsid w:val="005059F3"/>
    <w:rsid w:val="00505ED4"/>
    <w:rsid w:val="005066C9"/>
    <w:rsid w:val="005144AA"/>
    <w:rsid w:val="005209CC"/>
    <w:rsid w:val="00526545"/>
    <w:rsid w:val="00527807"/>
    <w:rsid w:val="005341DB"/>
    <w:rsid w:val="00534CB6"/>
    <w:rsid w:val="005403AC"/>
    <w:rsid w:val="005409AE"/>
    <w:rsid w:val="00540D33"/>
    <w:rsid w:val="00540F3C"/>
    <w:rsid w:val="00544C0C"/>
    <w:rsid w:val="00545038"/>
    <w:rsid w:val="00546C48"/>
    <w:rsid w:val="00554089"/>
    <w:rsid w:val="00557F5F"/>
    <w:rsid w:val="00564B20"/>
    <w:rsid w:val="00565A80"/>
    <w:rsid w:val="00566EDE"/>
    <w:rsid w:val="005707B3"/>
    <w:rsid w:val="005727C3"/>
    <w:rsid w:val="00577407"/>
    <w:rsid w:val="00580044"/>
    <w:rsid w:val="005817D1"/>
    <w:rsid w:val="005864BA"/>
    <w:rsid w:val="0058714C"/>
    <w:rsid w:val="00594633"/>
    <w:rsid w:val="00596F76"/>
    <w:rsid w:val="005978F9"/>
    <w:rsid w:val="005A0133"/>
    <w:rsid w:val="005A157A"/>
    <w:rsid w:val="005A16AF"/>
    <w:rsid w:val="005A18F8"/>
    <w:rsid w:val="005A352C"/>
    <w:rsid w:val="005A3B54"/>
    <w:rsid w:val="005A3F6F"/>
    <w:rsid w:val="005B28C2"/>
    <w:rsid w:val="005B2D1A"/>
    <w:rsid w:val="005B5D51"/>
    <w:rsid w:val="005C135C"/>
    <w:rsid w:val="005C1E60"/>
    <w:rsid w:val="005C1FA6"/>
    <w:rsid w:val="005C32D3"/>
    <w:rsid w:val="005D2896"/>
    <w:rsid w:val="005D4147"/>
    <w:rsid w:val="005E1CE3"/>
    <w:rsid w:val="005E26F2"/>
    <w:rsid w:val="005E2C7E"/>
    <w:rsid w:val="005E32A0"/>
    <w:rsid w:val="005E3E09"/>
    <w:rsid w:val="005F1948"/>
    <w:rsid w:val="005F43FA"/>
    <w:rsid w:val="0060124B"/>
    <w:rsid w:val="0060180E"/>
    <w:rsid w:val="00603612"/>
    <w:rsid w:val="00606C03"/>
    <w:rsid w:val="00607EB5"/>
    <w:rsid w:val="00611AF4"/>
    <w:rsid w:val="00616125"/>
    <w:rsid w:val="006170C6"/>
    <w:rsid w:val="00631074"/>
    <w:rsid w:val="00631F2A"/>
    <w:rsid w:val="006413E3"/>
    <w:rsid w:val="006524B2"/>
    <w:rsid w:val="0065644C"/>
    <w:rsid w:val="00660946"/>
    <w:rsid w:val="00663DEF"/>
    <w:rsid w:val="00664061"/>
    <w:rsid w:val="006647C4"/>
    <w:rsid w:val="006820D1"/>
    <w:rsid w:val="00682617"/>
    <w:rsid w:val="006840AE"/>
    <w:rsid w:val="006856B9"/>
    <w:rsid w:val="006873EF"/>
    <w:rsid w:val="00690382"/>
    <w:rsid w:val="0069127D"/>
    <w:rsid w:val="00695516"/>
    <w:rsid w:val="006959FE"/>
    <w:rsid w:val="00696737"/>
    <w:rsid w:val="006A149D"/>
    <w:rsid w:val="006A2E6E"/>
    <w:rsid w:val="006A4D02"/>
    <w:rsid w:val="006A62E1"/>
    <w:rsid w:val="006B24AB"/>
    <w:rsid w:val="006B490C"/>
    <w:rsid w:val="006B5E89"/>
    <w:rsid w:val="006B69B3"/>
    <w:rsid w:val="006B77C9"/>
    <w:rsid w:val="006D0FDD"/>
    <w:rsid w:val="006D502A"/>
    <w:rsid w:val="006D6029"/>
    <w:rsid w:val="006E006D"/>
    <w:rsid w:val="006E3884"/>
    <w:rsid w:val="006E79EB"/>
    <w:rsid w:val="006F2138"/>
    <w:rsid w:val="006F567C"/>
    <w:rsid w:val="006F62D6"/>
    <w:rsid w:val="006F6385"/>
    <w:rsid w:val="006F68BD"/>
    <w:rsid w:val="00720BA1"/>
    <w:rsid w:val="00723C27"/>
    <w:rsid w:val="00725F5D"/>
    <w:rsid w:val="00726020"/>
    <w:rsid w:val="00726899"/>
    <w:rsid w:val="007335D4"/>
    <w:rsid w:val="007408F8"/>
    <w:rsid w:val="0074312A"/>
    <w:rsid w:val="007445EE"/>
    <w:rsid w:val="0074631F"/>
    <w:rsid w:val="00754BCF"/>
    <w:rsid w:val="00755E2A"/>
    <w:rsid w:val="00757ACB"/>
    <w:rsid w:val="00762159"/>
    <w:rsid w:val="00765D32"/>
    <w:rsid w:val="00770554"/>
    <w:rsid w:val="00771E6A"/>
    <w:rsid w:val="007738DA"/>
    <w:rsid w:val="007777DA"/>
    <w:rsid w:val="00784FCE"/>
    <w:rsid w:val="00790F32"/>
    <w:rsid w:val="007952DD"/>
    <w:rsid w:val="007A6CD8"/>
    <w:rsid w:val="007C0600"/>
    <w:rsid w:val="007D0685"/>
    <w:rsid w:val="007D104B"/>
    <w:rsid w:val="007D3929"/>
    <w:rsid w:val="007D3B2B"/>
    <w:rsid w:val="007D4D8F"/>
    <w:rsid w:val="007E557A"/>
    <w:rsid w:val="007E6A58"/>
    <w:rsid w:val="007F055C"/>
    <w:rsid w:val="007F1063"/>
    <w:rsid w:val="007F2C38"/>
    <w:rsid w:val="00801012"/>
    <w:rsid w:val="00803F6D"/>
    <w:rsid w:val="00813CB8"/>
    <w:rsid w:val="0081420F"/>
    <w:rsid w:val="00815438"/>
    <w:rsid w:val="00821186"/>
    <w:rsid w:val="008218C0"/>
    <w:rsid w:val="0082582E"/>
    <w:rsid w:val="00835A5F"/>
    <w:rsid w:val="00843934"/>
    <w:rsid w:val="008469E9"/>
    <w:rsid w:val="00850C3F"/>
    <w:rsid w:val="00852655"/>
    <w:rsid w:val="00855382"/>
    <w:rsid w:val="00855CF3"/>
    <w:rsid w:val="0085798D"/>
    <w:rsid w:val="00864415"/>
    <w:rsid w:val="008668F2"/>
    <w:rsid w:val="00867271"/>
    <w:rsid w:val="008814BE"/>
    <w:rsid w:val="00886649"/>
    <w:rsid w:val="008A044C"/>
    <w:rsid w:val="008A157A"/>
    <w:rsid w:val="008A2142"/>
    <w:rsid w:val="008B1782"/>
    <w:rsid w:val="008B2526"/>
    <w:rsid w:val="008B73E3"/>
    <w:rsid w:val="008C0E91"/>
    <w:rsid w:val="008C1127"/>
    <w:rsid w:val="008C1388"/>
    <w:rsid w:val="008D0DDC"/>
    <w:rsid w:val="008D1268"/>
    <w:rsid w:val="008D4895"/>
    <w:rsid w:val="008D6174"/>
    <w:rsid w:val="008E024B"/>
    <w:rsid w:val="008E31C9"/>
    <w:rsid w:val="008F5857"/>
    <w:rsid w:val="008F6F21"/>
    <w:rsid w:val="00902171"/>
    <w:rsid w:val="00902CFB"/>
    <w:rsid w:val="00906CCC"/>
    <w:rsid w:val="009071CC"/>
    <w:rsid w:val="00911B39"/>
    <w:rsid w:val="00912AA7"/>
    <w:rsid w:val="00913728"/>
    <w:rsid w:val="0091433E"/>
    <w:rsid w:val="00917022"/>
    <w:rsid w:val="00921389"/>
    <w:rsid w:val="00923F33"/>
    <w:rsid w:val="0093046F"/>
    <w:rsid w:val="009422AC"/>
    <w:rsid w:val="0094236C"/>
    <w:rsid w:val="009457A7"/>
    <w:rsid w:val="00946409"/>
    <w:rsid w:val="009466A0"/>
    <w:rsid w:val="00951C1A"/>
    <w:rsid w:val="00952BEA"/>
    <w:rsid w:val="00953259"/>
    <w:rsid w:val="00956061"/>
    <w:rsid w:val="009651A8"/>
    <w:rsid w:val="009653EB"/>
    <w:rsid w:val="00966B58"/>
    <w:rsid w:val="00973D0C"/>
    <w:rsid w:val="00977A1F"/>
    <w:rsid w:val="00980296"/>
    <w:rsid w:val="00982399"/>
    <w:rsid w:val="00991676"/>
    <w:rsid w:val="00991FA1"/>
    <w:rsid w:val="00993425"/>
    <w:rsid w:val="00993B6E"/>
    <w:rsid w:val="00994D28"/>
    <w:rsid w:val="00995443"/>
    <w:rsid w:val="009A1005"/>
    <w:rsid w:val="009A6788"/>
    <w:rsid w:val="009B0744"/>
    <w:rsid w:val="009B1261"/>
    <w:rsid w:val="009B231D"/>
    <w:rsid w:val="009B5580"/>
    <w:rsid w:val="009C0BBA"/>
    <w:rsid w:val="009C1D86"/>
    <w:rsid w:val="009C35C0"/>
    <w:rsid w:val="009C5F86"/>
    <w:rsid w:val="009D6985"/>
    <w:rsid w:val="009E009E"/>
    <w:rsid w:val="009E19C1"/>
    <w:rsid w:val="009E22D4"/>
    <w:rsid w:val="009E635F"/>
    <w:rsid w:val="009F385C"/>
    <w:rsid w:val="00A05FDA"/>
    <w:rsid w:val="00A06C72"/>
    <w:rsid w:val="00A10A05"/>
    <w:rsid w:val="00A118AE"/>
    <w:rsid w:val="00A12215"/>
    <w:rsid w:val="00A123C2"/>
    <w:rsid w:val="00A2150A"/>
    <w:rsid w:val="00A24232"/>
    <w:rsid w:val="00A25966"/>
    <w:rsid w:val="00A316E8"/>
    <w:rsid w:val="00A31BE9"/>
    <w:rsid w:val="00A3349B"/>
    <w:rsid w:val="00A42182"/>
    <w:rsid w:val="00A507E5"/>
    <w:rsid w:val="00A6392A"/>
    <w:rsid w:val="00A70843"/>
    <w:rsid w:val="00A71B8B"/>
    <w:rsid w:val="00A75550"/>
    <w:rsid w:val="00A77384"/>
    <w:rsid w:val="00A91F16"/>
    <w:rsid w:val="00A93B20"/>
    <w:rsid w:val="00A944D3"/>
    <w:rsid w:val="00A96432"/>
    <w:rsid w:val="00A9772A"/>
    <w:rsid w:val="00AA3556"/>
    <w:rsid w:val="00AA4C8A"/>
    <w:rsid w:val="00AA7736"/>
    <w:rsid w:val="00AB050D"/>
    <w:rsid w:val="00AB06D1"/>
    <w:rsid w:val="00AB1525"/>
    <w:rsid w:val="00AB4F7D"/>
    <w:rsid w:val="00AB6487"/>
    <w:rsid w:val="00AB6AE9"/>
    <w:rsid w:val="00AD0F49"/>
    <w:rsid w:val="00AD2C91"/>
    <w:rsid w:val="00AD2DB7"/>
    <w:rsid w:val="00AD6A50"/>
    <w:rsid w:val="00AE0995"/>
    <w:rsid w:val="00AE44A2"/>
    <w:rsid w:val="00AE4530"/>
    <w:rsid w:val="00AE50AE"/>
    <w:rsid w:val="00AF195A"/>
    <w:rsid w:val="00AF2744"/>
    <w:rsid w:val="00AF4FF3"/>
    <w:rsid w:val="00AF77AD"/>
    <w:rsid w:val="00AF7FB4"/>
    <w:rsid w:val="00B01443"/>
    <w:rsid w:val="00B075C4"/>
    <w:rsid w:val="00B16CE3"/>
    <w:rsid w:val="00B178B2"/>
    <w:rsid w:val="00B2004A"/>
    <w:rsid w:val="00B2009F"/>
    <w:rsid w:val="00B26615"/>
    <w:rsid w:val="00B306C8"/>
    <w:rsid w:val="00B3072D"/>
    <w:rsid w:val="00B34F32"/>
    <w:rsid w:val="00B3735E"/>
    <w:rsid w:val="00B418E1"/>
    <w:rsid w:val="00B46BDA"/>
    <w:rsid w:val="00B52E72"/>
    <w:rsid w:val="00B544F6"/>
    <w:rsid w:val="00B54839"/>
    <w:rsid w:val="00B566BF"/>
    <w:rsid w:val="00B60A02"/>
    <w:rsid w:val="00B77D1A"/>
    <w:rsid w:val="00B806CB"/>
    <w:rsid w:val="00B82E77"/>
    <w:rsid w:val="00B850BE"/>
    <w:rsid w:val="00B85312"/>
    <w:rsid w:val="00B85949"/>
    <w:rsid w:val="00B86100"/>
    <w:rsid w:val="00B86D07"/>
    <w:rsid w:val="00B9174F"/>
    <w:rsid w:val="00B929DD"/>
    <w:rsid w:val="00B92D18"/>
    <w:rsid w:val="00BA4A2A"/>
    <w:rsid w:val="00BB0456"/>
    <w:rsid w:val="00BB5ECF"/>
    <w:rsid w:val="00BC062D"/>
    <w:rsid w:val="00BC0996"/>
    <w:rsid w:val="00BC12F9"/>
    <w:rsid w:val="00BC1366"/>
    <w:rsid w:val="00BC3FF8"/>
    <w:rsid w:val="00BC46A4"/>
    <w:rsid w:val="00BC47C0"/>
    <w:rsid w:val="00BC7664"/>
    <w:rsid w:val="00BD0E85"/>
    <w:rsid w:val="00BD236E"/>
    <w:rsid w:val="00BD3DEA"/>
    <w:rsid w:val="00BD74DA"/>
    <w:rsid w:val="00BE2040"/>
    <w:rsid w:val="00BE39B7"/>
    <w:rsid w:val="00BF0E28"/>
    <w:rsid w:val="00BF1FFC"/>
    <w:rsid w:val="00BF4091"/>
    <w:rsid w:val="00BF48AA"/>
    <w:rsid w:val="00BF7827"/>
    <w:rsid w:val="00C033D6"/>
    <w:rsid w:val="00C068F1"/>
    <w:rsid w:val="00C13260"/>
    <w:rsid w:val="00C166CB"/>
    <w:rsid w:val="00C2670F"/>
    <w:rsid w:val="00C31CCD"/>
    <w:rsid w:val="00C322A6"/>
    <w:rsid w:val="00C33DA3"/>
    <w:rsid w:val="00C3560F"/>
    <w:rsid w:val="00C42220"/>
    <w:rsid w:val="00C46820"/>
    <w:rsid w:val="00C53F8C"/>
    <w:rsid w:val="00C544FD"/>
    <w:rsid w:val="00C54764"/>
    <w:rsid w:val="00C54BE8"/>
    <w:rsid w:val="00C56F94"/>
    <w:rsid w:val="00C66F54"/>
    <w:rsid w:val="00C7315D"/>
    <w:rsid w:val="00C77144"/>
    <w:rsid w:val="00C83BA5"/>
    <w:rsid w:val="00C866C0"/>
    <w:rsid w:val="00C97074"/>
    <w:rsid w:val="00CA058C"/>
    <w:rsid w:val="00CA0875"/>
    <w:rsid w:val="00CA2DBB"/>
    <w:rsid w:val="00CA3C23"/>
    <w:rsid w:val="00CB116C"/>
    <w:rsid w:val="00CB21A4"/>
    <w:rsid w:val="00CB383F"/>
    <w:rsid w:val="00CB6CBF"/>
    <w:rsid w:val="00CB793C"/>
    <w:rsid w:val="00CC4B98"/>
    <w:rsid w:val="00CC4D08"/>
    <w:rsid w:val="00CD1376"/>
    <w:rsid w:val="00CE0170"/>
    <w:rsid w:val="00CE2116"/>
    <w:rsid w:val="00CE2213"/>
    <w:rsid w:val="00CE5AB2"/>
    <w:rsid w:val="00CF2553"/>
    <w:rsid w:val="00CF2E99"/>
    <w:rsid w:val="00D01374"/>
    <w:rsid w:val="00D01541"/>
    <w:rsid w:val="00D02223"/>
    <w:rsid w:val="00D0449A"/>
    <w:rsid w:val="00D1683C"/>
    <w:rsid w:val="00D208C9"/>
    <w:rsid w:val="00D20B2D"/>
    <w:rsid w:val="00D26169"/>
    <w:rsid w:val="00D41389"/>
    <w:rsid w:val="00D43E3B"/>
    <w:rsid w:val="00D4424F"/>
    <w:rsid w:val="00D46783"/>
    <w:rsid w:val="00D50909"/>
    <w:rsid w:val="00D52C5E"/>
    <w:rsid w:val="00D561BD"/>
    <w:rsid w:val="00D61EE7"/>
    <w:rsid w:val="00D677CC"/>
    <w:rsid w:val="00D74576"/>
    <w:rsid w:val="00D74B0C"/>
    <w:rsid w:val="00D76E1B"/>
    <w:rsid w:val="00D8283E"/>
    <w:rsid w:val="00D87A33"/>
    <w:rsid w:val="00D91E25"/>
    <w:rsid w:val="00D97B72"/>
    <w:rsid w:val="00DA4B43"/>
    <w:rsid w:val="00DA65A9"/>
    <w:rsid w:val="00DA75F3"/>
    <w:rsid w:val="00DB3C1B"/>
    <w:rsid w:val="00DB522C"/>
    <w:rsid w:val="00DB5ABD"/>
    <w:rsid w:val="00DB6983"/>
    <w:rsid w:val="00DB76BD"/>
    <w:rsid w:val="00DC5961"/>
    <w:rsid w:val="00DC7AFD"/>
    <w:rsid w:val="00DD0288"/>
    <w:rsid w:val="00DD11C8"/>
    <w:rsid w:val="00DD1E48"/>
    <w:rsid w:val="00DD5105"/>
    <w:rsid w:val="00DD6376"/>
    <w:rsid w:val="00DE292F"/>
    <w:rsid w:val="00DE2D8E"/>
    <w:rsid w:val="00DE3519"/>
    <w:rsid w:val="00DF2E0E"/>
    <w:rsid w:val="00DF3D22"/>
    <w:rsid w:val="00DF7E14"/>
    <w:rsid w:val="00E01ADA"/>
    <w:rsid w:val="00E06B5A"/>
    <w:rsid w:val="00E103DC"/>
    <w:rsid w:val="00E1069D"/>
    <w:rsid w:val="00E211B9"/>
    <w:rsid w:val="00E2712E"/>
    <w:rsid w:val="00E3338D"/>
    <w:rsid w:val="00E33891"/>
    <w:rsid w:val="00E35C93"/>
    <w:rsid w:val="00E360C8"/>
    <w:rsid w:val="00E4005E"/>
    <w:rsid w:val="00E42DAD"/>
    <w:rsid w:val="00E43484"/>
    <w:rsid w:val="00E43FC8"/>
    <w:rsid w:val="00E462F3"/>
    <w:rsid w:val="00E548F8"/>
    <w:rsid w:val="00E57042"/>
    <w:rsid w:val="00E61906"/>
    <w:rsid w:val="00E61C1B"/>
    <w:rsid w:val="00E8329A"/>
    <w:rsid w:val="00E8688D"/>
    <w:rsid w:val="00E902BA"/>
    <w:rsid w:val="00E96008"/>
    <w:rsid w:val="00EA0760"/>
    <w:rsid w:val="00EA32F3"/>
    <w:rsid w:val="00EA36CD"/>
    <w:rsid w:val="00EA6FA6"/>
    <w:rsid w:val="00EA72B7"/>
    <w:rsid w:val="00EB0966"/>
    <w:rsid w:val="00EB1862"/>
    <w:rsid w:val="00EB49CA"/>
    <w:rsid w:val="00EB4C67"/>
    <w:rsid w:val="00EB6DD3"/>
    <w:rsid w:val="00EB732B"/>
    <w:rsid w:val="00EB7719"/>
    <w:rsid w:val="00EC26B7"/>
    <w:rsid w:val="00EC5D47"/>
    <w:rsid w:val="00EC60B5"/>
    <w:rsid w:val="00EC6986"/>
    <w:rsid w:val="00ED14E9"/>
    <w:rsid w:val="00ED194E"/>
    <w:rsid w:val="00ED32D3"/>
    <w:rsid w:val="00ED378C"/>
    <w:rsid w:val="00ED58B6"/>
    <w:rsid w:val="00EE1DEE"/>
    <w:rsid w:val="00EE6777"/>
    <w:rsid w:val="00EF1D29"/>
    <w:rsid w:val="00F01520"/>
    <w:rsid w:val="00F021C4"/>
    <w:rsid w:val="00F02B57"/>
    <w:rsid w:val="00F03D30"/>
    <w:rsid w:val="00F047CE"/>
    <w:rsid w:val="00F12E8D"/>
    <w:rsid w:val="00F17DAF"/>
    <w:rsid w:val="00F234FB"/>
    <w:rsid w:val="00F24F7D"/>
    <w:rsid w:val="00F3282F"/>
    <w:rsid w:val="00F353DB"/>
    <w:rsid w:val="00F3632D"/>
    <w:rsid w:val="00F41C92"/>
    <w:rsid w:val="00F42D02"/>
    <w:rsid w:val="00F456BE"/>
    <w:rsid w:val="00F46E54"/>
    <w:rsid w:val="00F4777A"/>
    <w:rsid w:val="00F47BB9"/>
    <w:rsid w:val="00F539A6"/>
    <w:rsid w:val="00F53B3A"/>
    <w:rsid w:val="00F54396"/>
    <w:rsid w:val="00F566A6"/>
    <w:rsid w:val="00F56776"/>
    <w:rsid w:val="00F574DF"/>
    <w:rsid w:val="00F60913"/>
    <w:rsid w:val="00F6169E"/>
    <w:rsid w:val="00F64CF3"/>
    <w:rsid w:val="00F65277"/>
    <w:rsid w:val="00F730E4"/>
    <w:rsid w:val="00F74D27"/>
    <w:rsid w:val="00F753D3"/>
    <w:rsid w:val="00F80D67"/>
    <w:rsid w:val="00F82980"/>
    <w:rsid w:val="00F87DAE"/>
    <w:rsid w:val="00F91D1E"/>
    <w:rsid w:val="00F9228E"/>
    <w:rsid w:val="00F932EA"/>
    <w:rsid w:val="00F93D8D"/>
    <w:rsid w:val="00F940BE"/>
    <w:rsid w:val="00F944BC"/>
    <w:rsid w:val="00FA2988"/>
    <w:rsid w:val="00FA42CB"/>
    <w:rsid w:val="00FB1199"/>
    <w:rsid w:val="00FB4DC3"/>
    <w:rsid w:val="00FC5D30"/>
    <w:rsid w:val="00FC6128"/>
    <w:rsid w:val="00FC7789"/>
    <w:rsid w:val="00FD31AA"/>
    <w:rsid w:val="00FD38EB"/>
    <w:rsid w:val="00FD3CA9"/>
    <w:rsid w:val="00FD714E"/>
    <w:rsid w:val="00FE14C3"/>
    <w:rsid w:val="00FE48C2"/>
    <w:rsid w:val="00FE601B"/>
    <w:rsid w:val="00FE61E7"/>
    <w:rsid w:val="00FF05BA"/>
    <w:rsid w:val="00FF15C9"/>
    <w:rsid w:val="00FF1C79"/>
    <w:rsid w:val="00FF2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4B49E-D847-4AA9-9AAF-4216F310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7C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4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5D414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Antrats">
    <w:name w:val="header"/>
    <w:aliases w:val="Char,Diagrama Diagrama Diagrama, Char"/>
    <w:basedOn w:val="prastasis"/>
    <w:link w:val="AntratsDiagrama"/>
    <w:uiPriority w:val="99"/>
    <w:unhideWhenUsed/>
    <w:rsid w:val="001A74E1"/>
    <w:pPr>
      <w:tabs>
        <w:tab w:val="center" w:pos="4819"/>
        <w:tab w:val="right" w:pos="9638"/>
      </w:tabs>
      <w:spacing w:after="0" w:line="240" w:lineRule="auto"/>
    </w:pPr>
  </w:style>
  <w:style w:type="character" w:customStyle="1" w:styleId="AntratsDiagrama">
    <w:name w:val="Antraštės Diagrama"/>
    <w:aliases w:val="Char Diagrama,Diagrama Diagrama Diagrama Diagrama, Char Diagrama"/>
    <w:basedOn w:val="Numatytasispastraiposriftas"/>
    <w:link w:val="Antrats"/>
    <w:uiPriority w:val="99"/>
    <w:rsid w:val="001A74E1"/>
  </w:style>
  <w:style w:type="paragraph" w:styleId="Porat">
    <w:name w:val="footer"/>
    <w:basedOn w:val="prastasis"/>
    <w:link w:val="PoratDiagrama"/>
    <w:uiPriority w:val="99"/>
    <w:unhideWhenUsed/>
    <w:rsid w:val="001A74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74E1"/>
  </w:style>
  <w:style w:type="paragraph" w:styleId="prastasiniatinklio">
    <w:name w:val="Normal (Web)"/>
    <w:basedOn w:val="prastasis"/>
    <w:uiPriority w:val="99"/>
    <w:unhideWhenUsed/>
    <w:rsid w:val="00664061"/>
    <w:pPr>
      <w:spacing w:before="100" w:beforeAutospacing="1" w:after="100" w:afterAutospacing="1" w:line="240" w:lineRule="auto"/>
    </w:pPr>
    <w:rPr>
      <w:rFonts w:cs="Times New Roman"/>
      <w:color w:val="000000"/>
      <w:szCs w:val="24"/>
      <w:lang w:eastAsia="lt-LT"/>
    </w:rPr>
  </w:style>
  <w:style w:type="character" w:styleId="Puslapionumeris">
    <w:name w:val="page number"/>
    <w:basedOn w:val="Numatytasispastraiposriftas"/>
    <w:rsid w:val="008B1782"/>
  </w:style>
  <w:style w:type="character" w:styleId="Grietas">
    <w:name w:val="Strong"/>
    <w:basedOn w:val="Numatytasispastraiposriftas"/>
    <w:uiPriority w:val="22"/>
    <w:qFormat/>
    <w:rsid w:val="008B1782"/>
    <w:rPr>
      <w:b/>
      <w:bCs/>
    </w:rPr>
  </w:style>
  <w:style w:type="paragraph" w:styleId="Debesliotekstas">
    <w:name w:val="Balloon Text"/>
    <w:basedOn w:val="prastasis"/>
    <w:link w:val="DebesliotekstasDiagrama"/>
    <w:uiPriority w:val="99"/>
    <w:semiHidden/>
    <w:unhideWhenUsed/>
    <w:rsid w:val="00CC4D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4D08"/>
    <w:rPr>
      <w:rFonts w:ascii="Segoe UI" w:hAnsi="Segoe UI" w:cs="Segoe UI"/>
      <w:sz w:val="18"/>
      <w:szCs w:val="18"/>
    </w:rPr>
  </w:style>
  <w:style w:type="paragraph" w:styleId="Sraopastraipa">
    <w:name w:val="List Paragraph"/>
    <w:basedOn w:val="prastasis"/>
    <w:uiPriority w:val="34"/>
    <w:qFormat/>
    <w:rsid w:val="00D1683C"/>
    <w:pPr>
      <w:ind w:left="720"/>
      <w:contextualSpacing/>
    </w:pPr>
  </w:style>
  <w:style w:type="character" w:styleId="Komentaronuoroda">
    <w:name w:val="annotation reference"/>
    <w:basedOn w:val="Numatytasispastraiposriftas"/>
    <w:uiPriority w:val="99"/>
    <w:unhideWhenUsed/>
    <w:rsid w:val="00FF25D9"/>
    <w:rPr>
      <w:sz w:val="16"/>
      <w:szCs w:val="16"/>
    </w:rPr>
  </w:style>
  <w:style w:type="paragraph" w:styleId="Komentarotekstas">
    <w:name w:val="annotation text"/>
    <w:basedOn w:val="prastasis"/>
    <w:link w:val="KomentarotekstasDiagrama"/>
    <w:uiPriority w:val="99"/>
    <w:unhideWhenUsed/>
    <w:rsid w:val="00FF25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F25D9"/>
    <w:rPr>
      <w:sz w:val="20"/>
      <w:szCs w:val="20"/>
    </w:rPr>
  </w:style>
  <w:style w:type="paragraph" w:styleId="Komentarotema">
    <w:name w:val="annotation subject"/>
    <w:basedOn w:val="Komentarotekstas"/>
    <w:next w:val="Komentarotekstas"/>
    <w:link w:val="KomentarotemaDiagrama"/>
    <w:uiPriority w:val="99"/>
    <w:semiHidden/>
    <w:unhideWhenUsed/>
    <w:rsid w:val="00FF25D9"/>
    <w:rPr>
      <w:b/>
      <w:bCs/>
    </w:rPr>
  </w:style>
  <w:style w:type="character" w:customStyle="1" w:styleId="KomentarotemaDiagrama">
    <w:name w:val="Komentaro tema Diagrama"/>
    <w:basedOn w:val="KomentarotekstasDiagrama"/>
    <w:link w:val="Komentarotema"/>
    <w:uiPriority w:val="99"/>
    <w:semiHidden/>
    <w:rsid w:val="00FF25D9"/>
    <w:rPr>
      <w:b/>
      <w:bCs/>
      <w:sz w:val="20"/>
      <w:szCs w:val="20"/>
    </w:rPr>
  </w:style>
  <w:style w:type="paragraph" w:styleId="Pataisymai">
    <w:name w:val="Revision"/>
    <w:hidden/>
    <w:uiPriority w:val="99"/>
    <w:semiHidden/>
    <w:rsid w:val="00D02223"/>
    <w:pPr>
      <w:spacing w:after="0" w:line="240" w:lineRule="auto"/>
    </w:pPr>
  </w:style>
  <w:style w:type="paragraph" w:styleId="Paprastasistekstas">
    <w:name w:val="Plain Text"/>
    <w:basedOn w:val="prastasis"/>
    <w:link w:val="PaprastasistekstasDiagrama"/>
    <w:uiPriority w:val="99"/>
    <w:semiHidden/>
    <w:unhideWhenUsed/>
    <w:rsid w:val="005864BA"/>
    <w:pPr>
      <w:spacing w:after="0" w:line="240" w:lineRule="auto"/>
    </w:pPr>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5864BA"/>
    <w:rPr>
      <w:rFonts w:ascii="Calibri" w:hAnsi="Calibri"/>
      <w:sz w:val="22"/>
      <w:szCs w:val="21"/>
    </w:rPr>
  </w:style>
  <w:style w:type="paragraph" w:customStyle="1" w:styleId="Standard">
    <w:name w:val="Standard"/>
    <w:rsid w:val="00F87DAE"/>
    <w:pPr>
      <w:autoSpaceDN w:val="0"/>
      <w:spacing w:after="0" w:line="240" w:lineRule="auto"/>
      <w:textAlignment w:val="baseline"/>
    </w:pPr>
    <w:rPr>
      <w:rFonts w:ascii="Calibri" w:eastAsia="Calibri" w:hAnsi="Calibri" w:cs="Times New Roman"/>
      <w:sz w:val="20"/>
      <w:szCs w:val="20"/>
      <w:lang w:eastAsia="lt-LT"/>
    </w:rPr>
  </w:style>
  <w:style w:type="paragraph" w:customStyle="1" w:styleId="Default">
    <w:name w:val="Default"/>
    <w:rsid w:val="00F87DAE"/>
    <w:pPr>
      <w:autoSpaceDE w:val="0"/>
      <w:autoSpaceDN w:val="0"/>
      <w:adjustRightInd w:val="0"/>
      <w:spacing w:after="0" w:line="240" w:lineRule="auto"/>
    </w:pPr>
    <w:rPr>
      <w:rFonts w:eastAsia="Times New Roman" w:cs="Times New Roman"/>
      <w:color w:val="000000"/>
      <w:szCs w:val="24"/>
    </w:rPr>
  </w:style>
  <w:style w:type="paragraph" w:customStyle="1" w:styleId="NoSpacing1">
    <w:name w:val="No Spacing1"/>
    <w:uiPriority w:val="1"/>
    <w:qFormat/>
    <w:rsid w:val="00502D19"/>
    <w:pPr>
      <w:spacing w:after="0" w:line="240" w:lineRule="auto"/>
    </w:pPr>
    <w:rPr>
      <w:rFonts w:ascii="Calibri" w:eastAsia="Calibri" w:hAnsi="Calibri" w:cs="Times New Roman"/>
      <w:sz w:val="22"/>
    </w:rPr>
  </w:style>
  <w:style w:type="numbering" w:customStyle="1" w:styleId="WWNum2">
    <w:name w:val="WWNum2"/>
    <w:basedOn w:val="Sraonra"/>
    <w:rsid w:val="00E360C8"/>
    <w:pPr>
      <w:numPr>
        <w:numId w:val="16"/>
      </w:numPr>
    </w:pPr>
  </w:style>
  <w:style w:type="numbering" w:customStyle="1" w:styleId="WWNum21">
    <w:name w:val="WWNum21"/>
    <w:basedOn w:val="Sraonra"/>
    <w:rsid w:val="003F5F10"/>
  </w:style>
  <w:style w:type="numbering" w:customStyle="1" w:styleId="WWNum22">
    <w:name w:val="WWNum22"/>
    <w:basedOn w:val="Sraonra"/>
    <w:rsid w:val="003F5F10"/>
  </w:style>
  <w:style w:type="numbering" w:customStyle="1" w:styleId="WWNum23">
    <w:name w:val="WWNum23"/>
    <w:basedOn w:val="Sraonra"/>
    <w:rsid w:val="00B86D07"/>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643979">
      <w:bodyDiv w:val="1"/>
      <w:marLeft w:val="0"/>
      <w:marRight w:val="0"/>
      <w:marTop w:val="0"/>
      <w:marBottom w:val="0"/>
      <w:divBdr>
        <w:top w:val="none" w:sz="0" w:space="0" w:color="auto"/>
        <w:left w:val="none" w:sz="0" w:space="0" w:color="auto"/>
        <w:bottom w:val="none" w:sz="0" w:space="0" w:color="auto"/>
        <w:right w:val="none" w:sz="0" w:space="0" w:color="auto"/>
      </w:divBdr>
    </w:div>
    <w:div w:id="1035538647">
      <w:bodyDiv w:val="1"/>
      <w:marLeft w:val="0"/>
      <w:marRight w:val="0"/>
      <w:marTop w:val="0"/>
      <w:marBottom w:val="0"/>
      <w:divBdr>
        <w:top w:val="none" w:sz="0" w:space="0" w:color="auto"/>
        <w:left w:val="none" w:sz="0" w:space="0" w:color="auto"/>
        <w:bottom w:val="none" w:sz="0" w:space="0" w:color="auto"/>
        <w:right w:val="none" w:sz="0" w:space="0" w:color="auto"/>
      </w:divBdr>
      <w:divsChild>
        <w:div w:id="1304506997">
          <w:marLeft w:val="0"/>
          <w:marRight w:val="0"/>
          <w:marTop w:val="0"/>
          <w:marBottom w:val="0"/>
          <w:divBdr>
            <w:top w:val="none" w:sz="0" w:space="0" w:color="auto"/>
            <w:left w:val="none" w:sz="0" w:space="0" w:color="auto"/>
            <w:bottom w:val="none" w:sz="0" w:space="0" w:color="auto"/>
            <w:right w:val="none" w:sz="0" w:space="0" w:color="auto"/>
          </w:divBdr>
        </w:div>
      </w:divsChild>
    </w:div>
    <w:div w:id="1255747691">
      <w:bodyDiv w:val="1"/>
      <w:marLeft w:val="0"/>
      <w:marRight w:val="0"/>
      <w:marTop w:val="0"/>
      <w:marBottom w:val="0"/>
      <w:divBdr>
        <w:top w:val="none" w:sz="0" w:space="0" w:color="auto"/>
        <w:left w:val="none" w:sz="0" w:space="0" w:color="auto"/>
        <w:bottom w:val="none" w:sz="0" w:space="0" w:color="auto"/>
        <w:right w:val="none" w:sz="0" w:space="0" w:color="auto"/>
      </w:divBdr>
    </w:div>
    <w:div w:id="1279870562">
      <w:bodyDiv w:val="1"/>
      <w:marLeft w:val="0"/>
      <w:marRight w:val="0"/>
      <w:marTop w:val="0"/>
      <w:marBottom w:val="0"/>
      <w:divBdr>
        <w:top w:val="none" w:sz="0" w:space="0" w:color="auto"/>
        <w:left w:val="none" w:sz="0" w:space="0" w:color="auto"/>
        <w:bottom w:val="none" w:sz="0" w:space="0" w:color="auto"/>
        <w:right w:val="none" w:sz="0" w:space="0" w:color="auto"/>
      </w:divBdr>
    </w:div>
    <w:div w:id="20273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5138E-568A-4346-82A0-86F19D41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Pages>
  <Words>8812</Words>
  <Characters>5023</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13808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2020-04-20T12:52:00Z</dcterms:created>
  <dc:creator>Jūratė Peciukonytė</dc:creator>
  <cp:lastModifiedBy>Kristina Deviatnikovaitė</cp:lastModifiedBy>
  <cp:lastPrinted>2018-03-29T06:10:00Z</cp:lastPrinted>
  <dcterms:modified xsi:type="dcterms:W3CDTF">2020-05-12T11:38:00Z</dcterms:modified>
  <cp:revision>27</cp:revision>
</cp:coreProperties>
</file>