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8FD27" w14:textId="77777777" w:rsidR="006103F1" w:rsidRPr="00451612" w:rsidRDefault="006103F1" w:rsidP="00451612">
      <w:pPr>
        <w:keepNext/>
        <w:spacing w:after="0" w:line="240" w:lineRule="auto"/>
        <w:jc w:val="center"/>
        <w:rPr>
          <w:rFonts w:eastAsia="Times New Roman" w:cs="Times New Roman"/>
          <w:szCs w:val="24"/>
          <w:lang w:eastAsia="lt-LT"/>
        </w:rPr>
      </w:pPr>
      <w:r w:rsidRPr="00451612">
        <w:rPr>
          <w:rFonts w:eastAsia="Times New Roman" w:cs="Times New Roman"/>
          <w:b/>
          <w:bCs/>
          <w:caps/>
          <w:szCs w:val="24"/>
          <w:lang w:eastAsia="lt-LT"/>
        </w:rPr>
        <w:t>Lietuvos Respublikos ĮSTATYMO „DĖL UŽSIENIEČIŲ TEISINĖS PADĖTIES“ NR. IX-2206 PAKEITIMO ĮSTATYMO</w:t>
      </w:r>
      <w:r w:rsidR="00FC0308" w:rsidRPr="00451612">
        <w:rPr>
          <w:rFonts w:eastAsia="Times New Roman" w:cs="Times New Roman"/>
          <w:b/>
          <w:bCs/>
          <w:caps/>
          <w:szCs w:val="24"/>
          <w:lang w:eastAsia="lt-LT"/>
        </w:rPr>
        <w:t xml:space="preserve"> PROJEKTO</w:t>
      </w:r>
      <w:r w:rsidR="00FC0308" w:rsidRPr="00451612">
        <w:rPr>
          <w:rFonts w:eastAsia="Times New Roman" w:cs="Times New Roman"/>
          <w:b/>
          <w:bCs/>
          <w:szCs w:val="24"/>
          <w:lang w:eastAsia="lt-LT"/>
        </w:rPr>
        <w:t xml:space="preserve"> </w:t>
      </w:r>
      <w:r w:rsidR="00FC0308" w:rsidRPr="00451612">
        <w:rPr>
          <w:rFonts w:eastAsia="Times New Roman" w:cs="Times New Roman"/>
          <w:b/>
          <w:bCs/>
          <w:caps/>
          <w:szCs w:val="24"/>
          <w:lang w:eastAsia="lt-LT"/>
        </w:rPr>
        <w:t>IR JĮ LYDINČIŲ ĮSTATYMŲ PROJEKTŲ</w:t>
      </w:r>
    </w:p>
    <w:p w14:paraId="5F749A68" w14:textId="77777777" w:rsidR="006103F1" w:rsidRPr="00451612" w:rsidRDefault="006103F1" w:rsidP="00451612">
      <w:pPr>
        <w:spacing w:after="0" w:line="240" w:lineRule="auto"/>
        <w:jc w:val="center"/>
        <w:rPr>
          <w:rFonts w:eastAsia="Times New Roman" w:cs="Times New Roman"/>
          <w:szCs w:val="24"/>
          <w:lang w:eastAsia="lt-LT"/>
        </w:rPr>
      </w:pPr>
      <w:r w:rsidRPr="00451612">
        <w:rPr>
          <w:rFonts w:eastAsia="Times New Roman" w:cs="Times New Roman"/>
          <w:b/>
          <w:bCs/>
          <w:szCs w:val="24"/>
          <w:lang w:eastAsia="lt-LT"/>
        </w:rPr>
        <w:t>DERINIMO PAŽYMA</w:t>
      </w:r>
    </w:p>
    <w:p w14:paraId="17546E70" w14:textId="77777777" w:rsidR="006103F1" w:rsidRPr="00451612" w:rsidRDefault="006103F1" w:rsidP="00451612">
      <w:pPr>
        <w:spacing w:after="0" w:line="240" w:lineRule="auto"/>
        <w:jc w:val="center"/>
        <w:rPr>
          <w:rFonts w:eastAsia="Times New Roman" w:cs="Times New Roman"/>
          <w:b/>
          <w:bCs/>
          <w:szCs w:val="24"/>
          <w:lang w:eastAsia="lt-LT"/>
        </w:rPr>
      </w:pPr>
      <w:r w:rsidRPr="00451612">
        <w:rPr>
          <w:rFonts w:eastAsia="Times New Roman" w:cs="Times New Roman"/>
          <w:b/>
          <w:bCs/>
          <w:szCs w:val="24"/>
          <w:lang w:eastAsia="lt-LT"/>
        </w:rPr>
        <w:t> </w:t>
      </w:r>
    </w:p>
    <w:tbl>
      <w:tblPr>
        <w:tblStyle w:val="Lentelstinklelis"/>
        <w:tblW w:w="0" w:type="auto"/>
        <w:tblLayout w:type="fixed"/>
        <w:tblLook w:val="04A0" w:firstRow="1" w:lastRow="0" w:firstColumn="1" w:lastColumn="0" w:noHBand="0" w:noVBand="1"/>
      </w:tblPr>
      <w:tblGrid>
        <w:gridCol w:w="1696"/>
        <w:gridCol w:w="5245"/>
        <w:gridCol w:w="7513"/>
      </w:tblGrid>
      <w:tr w:rsidR="009B3898" w:rsidRPr="00451612" w14:paraId="5C3E8D78" w14:textId="77777777" w:rsidTr="008D0A8E">
        <w:tc>
          <w:tcPr>
            <w:tcW w:w="1696" w:type="dxa"/>
          </w:tcPr>
          <w:p w14:paraId="1D1D6C52" w14:textId="13075E86" w:rsidR="009B3898" w:rsidRPr="00451612" w:rsidRDefault="009B3898" w:rsidP="00E42A4D">
            <w:pPr>
              <w:jc w:val="center"/>
              <w:rPr>
                <w:rFonts w:cs="Times New Roman"/>
                <w:szCs w:val="24"/>
              </w:rPr>
            </w:pPr>
            <w:r w:rsidRPr="00451612">
              <w:rPr>
                <w:rFonts w:eastAsia="Times New Roman" w:cs="Times New Roman"/>
                <w:b/>
                <w:bCs/>
                <w:szCs w:val="24"/>
                <w:lang w:eastAsia="lt-LT"/>
              </w:rPr>
              <w:t>Institucijos pavadinimas</w:t>
            </w:r>
            <w:r w:rsidR="00E42A4D">
              <w:rPr>
                <w:rFonts w:eastAsia="Times New Roman" w:cs="Times New Roman"/>
                <w:b/>
                <w:bCs/>
                <w:szCs w:val="24"/>
                <w:lang w:eastAsia="lt-LT"/>
              </w:rPr>
              <w:t xml:space="preserve">, </w:t>
            </w:r>
            <w:r w:rsidRPr="00451612">
              <w:rPr>
                <w:rFonts w:eastAsia="Times New Roman" w:cs="Times New Roman"/>
                <w:b/>
                <w:bCs/>
                <w:szCs w:val="24"/>
                <w:lang w:eastAsia="lt-LT"/>
              </w:rPr>
              <w:t>rašto data, numeris</w:t>
            </w:r>
          </w:p>
        </w:tc>
        <w:tc>
          <w:tcPr>
            <w:tcW w:w="5245" w:type="dxa"/>
            <w:vAlign w:val="center"/>
          </w:tcPr>
          <w:p w14:paraId="0CD15105" w14:textId="3E8C000F" w:rsidR="009B3898" w:rsidRPr="00451612" w:rsidRDefault="009B3898" w:rsidP="00B10F40">
            <w:pPr>
              <w:jc w:val="center"/>
              <w:rPr>
                <w:rFonts w:cs="Times New Roman"/>
                <w:szCs w:val="24"/>
              </w:rPr>
            </w:pPr>
            <w:r w:rsidRPr="00451612">
              <w:rPr>
                <w:rFonts w:eastAsia="Times New Roman" w:cs="Times New Roman"/>
                <w:b/>
                <w:bCs/>
                <w:szCs w:val="24"/>
                <w:lang w:eastAsia="lt-LT"/>
              </w:rPr>
              <w:t>Pastab</w:t>
            </w:r>
            <w:r w:rsidR="00B10F40">
              <w:rPr>
                <w:rFonts w:eastAsia="Times New Roman" w:cs="Times New Roman"/>
                <w:b/>
                <w:bCs/>
                <w:szCs w:val="24"/>
                <w:lang w:eastAsia="lt-LT"/>
              </w:rPr>
              <w:t>os</w:t>
            </w:r>
            <w:r w:rsidRPr="00451612">
              <w:rPr>
                <w:rFonts w:eastAsia="Times New Roman" w:cs="Times New Roman"/>
                <w:b/>
                <w:bCs/>
                <w:szCs w:val="24"/>
                <w:lang w:eastAsia="lt-LT"/>
              </w:rPr>
              <w:t xml:space="preserve"> ir pasiūlym</w:t>
            </w:r>
            <w:r w:rsidR="00B10F40">
              <w:rPr>
                <w:rFonts w:eastAsia="Times New Roman" w:cs="Times New Roman"/>
                <w:b/>
                <w:bCs/>
                <w:szCs w:val="24"/>
                <w:lang w:eastAsia="lt-LT"/>
              </w:rPr>
              <w:t>ai</w:t>
            </w:r>
          </w:p>
        </w:tc>
        <w:tc>
          <w:tcPr>
            <w:tcW w:w="7513" w:type="dxa"/>
            <w:vAlign w:val="center"/>
          </w:tcPr>
          <w:p w14:paraId="551DEE61" w14:textId="4B39BA53" w:rsidR="009B3898" w:rsidRPr="00451612" w:rsidRDefault="004304C9" w:rsidP="00451612">
            <w:pPr>
              <w:jc w:val="center"/>
              <w:rPr>
                <w:rFonts w:cs="Times New Roman"/>
                <w:szCs w:val="24"/>
              </w:rPr>
            </w:pPr>
            <w:r>
              <w:rPr>
                <w:rFonts w:eastAsia="Times New Roman" w:cs="Times New Roman"/>
                <w:b/>
                <w:bCs/>
                <w:szCs w:val="24"/>
                <w:lang w:eastAsia="lt-LT"/>
              </w:rPr>
              <w:t>Pastabų ir pasiūlymų įvertinimas</w:t>
            </w:r>
          </w:p>
        </w:tc>
      </w:tr>
      <w:tr w:rsidR="009B3898" w:rsidRPr="00451612" w14:paraId="52BE7726" w14:textId="77777777" w:rsidTr="008D0A8E">
        <w:tc>
          <w:tcPr>
            <w:tcW w:w="1696" w:type="dxa"/>
          </w:tcPr>
          <w:p w14:paraId="66C62090" w14:textId="02313376" w:rsidR="009B3898" w:rsidRPr="00451612" w:rsidRDefault="00E42A4D" w:rsidP="00451612">
            <w:pPr>
              <w:jc w:val="both"/>
              <w:rPr>
                <w:rFonts w:cs="Times New Roman"/>
                <w:szCs w:val="24"/>
              </w:rPr>
            </w:pPr>
            <w:r>
              <w:rPr>
                <w:rFonts w:cs="Times New Roman"/>
                <w:szCs w:val="24"/>
              </w:rPr>
              <w:t>Vyriausybės kanceliarijos</w:t>
            </w:r>
            <w:r w:rsidR="009B3898" w:rsidRPr="00451612">
              <w:rPr>
                <w:rFonts w:cs="Times New Roman"/>
                <w:szCs w:val="24"/>
              </w:rPr>
              <w:t xml:space="preserve"> Teisės grupės</w:t>
            </w:r>
            <w:r w:rsidR="009C4F71">
              <w:rPr>
                <w:rFonts w:cs="Times New Roman"/>
                <w:szCs w:val="24"/>
              </w:rPr>
              <w:t xml:space="preserve"> 2018-06-15</w:t>
            </w:r>
            <w:r w:rsidR="009B3898" w:rsidRPr="00451612">
              <w:rPr>
                <w:rFonts w:cs="Times New Roman"/>
                <w:szCs w:val="24"/>
              </w:rPr>
              <w:t xml:space="preserve"> išvada</w:t>
            </w:r>
            <w:r w:rsidR="009C4F71">
              <w:rPr>
                <w:rFonts w:cs="Times New Roman"/>
                <w:szCs w:val="24"/>
              </w:rPr>
              <w:t xml:space="preserve"> Nr. NV-1561</w:t>
            </w:r>
          </w:p>
          <w:p w14:paraId="59DC2AB3" w14:textId="77777777" w:rsidR="009B3898" w:rsidRPr="00451612" w:rsidRDefault="009B3898" w:rsidP="00451612">
            <w:pPr>
              <w:jc w:val="both"/>
              <w:rPr>
                <w:rFonts w:cs="Times New Roman"/>
                <w:szCs w:val="24"/>
              </w:rPr>
            </w:pPr>
          </w:p>
          <w:p w14:paraId="6E5EEE90" w14:textId="77777777" w:rsidR="009B3898" w:rsidRPr="00451612" w:rsidRDefault="009B3898" w:rsidP="00451612">
            <w:pPr>
              <w:pStyle w:val="Sraopastraipa"/>
              <w:tabs>
                <w:tab w:val="left" w:pos="0"/>
                <w:tab w:val="left" w:pos="959"/>
                <w:tab w:val="left" w:pos="1276"/>
                <w:tab w:val="left" w:pos="2877"/>
                <w:tab w:val="left" w:pos="3836"/>
                <w:tab w:val="left" w:pos="4795"/>
                <w:tab w:val="left" w:pos="5754"/>
                <w:tab w:val="left" w:pos="6713"/>
                <w:tab w:val="left" w:pos="7672"/>
                <w:tab w:val="left" w:pos="8631"/>
                <w:tab w:val="left" w:pos="9590"/>
              </w:tabs>
              <w:ind w:left="0"/>
              <w:jc w:val="both"/>
            </w:pPr>
            <w:r w:rsidRPr="00451612">
              <w:rPr>
                <w:b/>
                <w:i/>
                <w:snapToGrid w:val="0"/>
              </w:rPr>
              <w:t>Dėl UTPĮ projekto</w:t>
            </w:r>
            <w:r w:rsidRPr="00451612">
              <w:rPr>
                <w:snapToGrid w:val="0"/>
              </w:rPr>
              <w:t>:</w:t>
            </w:r>
          </w:p>
          <w:p w14:paraId="4AF30CD6" w14:textId="77777777" w:rsidR="009B3898" w:rsidRPr="00451612" w:rsidRDefault="009B3898" w:rsidP="00451612">
            <w:pPr>
              <w:jc w:val="both"/>
              <w:rPr>
                <w:rFonts w:cs="Times New Roman"/>
                <w:szCs w:val="24"/>
              </w:rPr>
            </w:pPr>
          </w:p>
        </w:tc>
        <w:tc>
          <w:tcPr>
            <w:tcW w:w="5245" w:type="dxa"/>
          </w:tcPr>
          <w:p w14:paraId="351E2759" w14:textId="470ACA71" w:rsidR="009B3898" w:rsidRPr="00451612" w:rsidRDefault="009B3898" w:rsidP="000C718B">
            <w:pPr>
              <w:jc w:val="both"/>
            </w:pPr>
            <w:r w:rsidRPr="00451612">
              <w:rPr>
                <w:rFonts w:cs="Times New Roman"/>
                <w:szCs w:val="24"/>
              </w:rPr>
              <w:t xml:space="preserve">1. Įstatymų projektų aiškinamajame rašte nurodyta, kad Įstatymų projektų tikslas konsoliduoti migracijos valdymo funkcijas, atsisakyti policijai nebūdingų funkcijų, t. y. UTPĮ ir kartu teikiamais kitais Įstatymų projektais siekiama perskirstyti funkcijas tarp vykdomosios valdžios institucijų. </w:t>
            </w:r>
            <w:r w:rsidRPr="00451612">
              <w:rPr>
                <w:rFonts w:cs="Times New Roman"/>
                <w:szCs w:val="24"/>
                <w:lang w:eastAsia="lt-LT"/>
              </w:rPr>
              <w:t>Siekiant užtikrinti tinkamą Konstitucijos 94 straipsnio 3 punkte įtvirtintų Vyriausybės įgaliojimų koordinuoti ministerijų ir kitų Vyriausybės įstaigų veiklą įgyvendinimą, taip pat Vyriausybės įstatymo 22 straipsnio 8 ir 9 punktų realizavimą</w:t>
            </w:r>
            <w:r w:rsidR="000C718B">
              <w:rPr>
                <w:rFonts w:cs="Times New Roman"/>
                <w:szCs w:val="24"/>
                <w:lang w:eastAsia="lt-LT"/>
              </w:rPr>
              <w:t>,</w:t>
            </w:r>
            <w:r w:rsidRPr="00451612">
              <w:rPr>
                <w:rFonts w:cs="Times New Roman"/>
                <w:szCs w:val="24"/>
                <w:lang w:eastAsia="lt-LT"/>
              </w:rPr>
              <w:t xml:space="preserve"> paprastai (t. y. išskyrus išimtinius, pagrįstus atvejus) įstatymuose neturėtų būti dėstomos Vyriausybės įstaigų, ministerijų, įstaigų prie ministerijų veiklos funkcijos (Biudžetinių įstaigų įstatymo 6 straipsnyje įtvirtinta, kad būtent įstatuose (nuostatuose) turėtų būti nurodomi juridinio asmens veiklos tikslai, biudžetinės įstaigos veiklos tikslai ir funkcijos), todėl UTPĮ projekte neturėtų būti nurodomi konkretūs Vyriausybei atskaitingi subjektai, atliksiantys tam tikras funkcijas, o vietoj to vartojama „Vyriausybės įgaliotos institucijos“ formuluotė arba apibrėžiama tos institucijos veiklos paskirtis. </w:t>
            </w:r>
            <w:r w:rsidRPr="00451612">
              <w:rPr>
                <w:rFonts w:cs="Times New Roman"/>
                <w:szCs w:val="24"/>
              </w:rPr>
              <w:t>Tokiu būdu būtų užtikrinta ir teisės aktų hierarchija ir ekonomiškumo principą atitinkanti teisėkūra</w:t>
            </w:r>
            <w:r w:rsidRPr="00451612">
              <w:rPr>
                <w:rFonts w:cs="Times New Roman"/>
                <w:szCs w:val="24"/>
                <w:lang w:eastAsia="lt-LT"/>
              </w:rPr>
              <w:t>,</w:t>
            </w:r>
            <w:r w:rsidRPr="00451612">
              <w:rPr>
                <w:rFonts w:cs="Times New Roman"/>
                <w:szCs w:val="24"/>
              </w:rPr>
              <w:t xml:space="preserve"> atsisakant situacijos, kai tam tikros funkcijos turinys gali būti keičiamas ar funkcija gali būti perduodama kitai institucijai, tik atitinkamai </w:t>
            </w:r>
            <w:r w:rsidRPr="00451612">
              <w:rPr>
                <w:rFonts w:cs="Times New Roman"/>
                <w:szCs w:val="24"/>
              </w:rPr>
              <w:lastRenderedPageBreak/>
              <w:t xml:space="preserve">koreguojant įstatymus. Be to, vienas dažniausių Lietuvos Respublikos įstatymo „Dėl užsieniečių teisinės padėties“ (toliau – įstatymas) keitimą sąlygojančių veiksnių ir yra funkcijų keitimas ir jų perskirstymas tarp institucijų, todėl siekiant to išvengti siūlytina nenurodyti konkrečių </w:t>
            </w:r>
            <w:r w:rsidRPr="00451612">
              <w:rPr>
                <w:rFonts w:cs="Times New Roman"/>
                <w:szCs w:val="24"/>
                <w:lang w:eastAsia="lt-LT"/>
              </w:rPr>
              <w:t>Vyriausybei atskaitingų institucijų</w:t>
            </w:r>
            <w:r w:rsidRPr="00451612">
              <w:rPr>
                <w:rFonts w:cs="Times New Roman"/>
                <w:szCs w:val="24"/>
              </w:rPr>
              <w:t>. Siūlome šiuo aspektu peržiūrėti ir kitus kartu teikiamus Įstatymų projektus.</w:t>
            </w:r>
          </w:p>
        </w:tc>
        <w:tc>
          <w:tcPr>
            <w:tcW w:w="7513" w:type="dxa"/>
          </w:tcPr>
          <w:p w14:paraId="60D84BF5" w14:textId="01F53F32" w:rsidR="009B3898" w:rsidRPr="00451612" w:rsidRDefault="009B3898" w:rsidP="00451612">
            <w:pPr>
              <w:jc w:val="both"/>
              <w:rPr>
                <w:rFonts w:cs="Times New Roman"/>
                <w:b/>
                <w:szCs w:val="24"/>
              </w:rPr>
            </w:pPr>
            <w:r>
              <w:rPr>
                <w:rFonts w:cs="Times New Roman"/>
                <w:b/>
                <w:szCs w:val="24"/>
              </w:rPr>
              <w:lastRenderedPageBreak/>
              <w:t>Neatsižvelgta.</w:t>
            </w:r>
          </w:p>
          <w:p w14:paraId="64E6F2E8" w14:textId="7EBF4270" w:rsidR="009B3898" w:rsidRPr="00451612" w:rsidRDefault="009B3898" w:rsidP="00451612">
            <w:pPr>
              <w:jc w:val="both"/>
              <w:rPr>
                <w:rFonts w:cs="Times New Roman"/>
                <w:szCs w:val="24"/>
              </w:rPr>
            </w:pPr>
            <w:r w:rsidRPr="004E4309">
              <w:rPr>
                <w:rFonts w:cs="Times New Roman"/>
                <w:szCs w:val="24"/>
              </w:rPr>
              <w:t>Dėl konkrečių įstaigų neįvardijimo ir įstaigų funkcijų atsisakymo</w:t>
            </w:r>
            <w:r w:rsidRPr="00451612">
              <w:rPr>
                <w:rFonts w:cs="Times New Roman"/>
                <w:b/>
                <w:szCs w:val="24"/>
              </w:rPr>
              <w:t xml:space="preserve"> </w:t>
            </w:r>
            <w:r w:rsidRPr="004E4309">
              <w:rPr>
                <w:rFonts w:cs="Times New Roman"/>
                <w:szCs w:val="24"/>
              </w:rPr>
              <w:t>–</w:t>
            </w:r>
            <w:r>
              <w:rPr>
                <w:rFonts w:cs="Times New Roman"/>
                <w:b/>
                <w:szCs w:val="24"/>
              </w:rPr>
              <w:t xml:space="preserve"> </w:t>
            </w:r>
            <w:r w:rsidRPr="00451612">
              <w:rPr>
                <w:rFonts w:cs="Times New Roman"/>
                <w:szCs w:val="24"/>
              </w:rPr>
              <w:t>UTPĮ įvardytas ne tik Migracijos departamentas, bet ir kitos konkrečios įstaigos, pvz., Valstybinė mokesčių inspekcija, Valstybinė darbo inspekcija, Lietuvos darbo birža (Užimtumo tarnyba), kalėjimų departamentas prie Teisingumo ministerijos, Valstybinio socialinio draudimo fondo valdyba, Valstybės sienos apsaugos tarnyba prie Vidaus reikalų ministerijos ir t.</w:t>
            </w:r>
            <w:r w:rsidR="000C718B">
              <w:rPr>
                <w:rFonts w:cs="Times New Roman"/>
                <w:szCs w:val="24"/>
              </w:rPr>
              <w:t xml:space="preserve"> </w:t>
            </w:r>
            <w:r w:rsidRPr="00451612">
              <w:rPr>
                <w:rFonts w:cs="Times New Roman"/>
                <w:szCs w:val="24"/>
              </w:rPr>
              <w:t xml:space="preserve">t. Todėl siekiant atsižvelgti į teikiamą </w:t>
            </w:r>
            <w:r w:rsidR="000C718B">
              <w:rPr>
                <w:rFonts w:cs="Times New Roman"/>
                <w:szCs w:val="24"/>
              </w:rPr>
              <w:t>pa</w:t>
            </w:r>
            <w:r w:rsidRPr="00451612">
              <w:rPr>
                <w:rFonts w:cs="Times New Roman"/>
                <w:szCs w:val="24"/>
              </w:rPr>
              <w:t xml:space="preserve">siūlymą, reikėtų iš esmės keisti visą UTPĮ, jį išdėstant nauja redakcija, kas sudarytų kliūtis migracijos reformai. </w:t>
            </w:r>
            <w:r>
              <w:rPr>
                <w:rFonts w:cs="Times New Roman"/>
                <w:szCs w:val="24"/>
              </w:rPr>
              <w:t>D</w:t>
            </w:r>
            <w:r w:rsidRPr="00451612">
              <w:rPr>
                <w:rFonts w:cs="Times New Roman"/>
                <w:szCs w:val="24"/>
              </w:rPr>
              <w:t xml:space="preserve">ėl konkrečių įstaigų funkcijų atsisakymo UTPĮ pažymėtina, kad įstaigų funkcijų nustatymas UTPĮ atitinka Viešojo administravimo įstatymo 4-1 straipsnio 1 dalies 1 punkto nuostatas, pagal kurias </w:t>
            </w:r>
            <w:r w:rsidRPr="00451612">
              <w:rPr>
                <w:rFonts w:cs="Times New Roman"/>
                <w:b/>
                <w:szCs w:val="24"/>
              </w:rPr>
              <w:t>valstybės institucijų viešojo administravimo įgaliojimai</w:t>
            </w:r>
            <w:r w:rsidRPr="00451612">
              <w:rPr>
                <w:rFonts w:cs="Times New Roman"/>
                <w:szCs w:val="24"/>
              </w:rPr>
              <w:t xml:space="preserve"> gali būti nustatomi </w:t>
            </w:r>
            <w:proofErr w:type="spellStart"/>
            <w:r w:rsidRPr="00451612">
              <w:rPr>
                <w:rFonts w:cs="Times New Roman"/>
                <w:szCs w:val="24"/>
              </w:rPr>
              <w:t>inter</w:t>
            </w:r>
            <w:proofErr w:type="spellEnd"/>
            <w:r w:rsidRPr="00451612">
              <w:rPr>
                <w:rFonts w:cs="Times New Roman"/>
                <w:szCs w:val="24"/>
              </w:rPr>
              <w:t xml:space="preserve"> alia </w:t>
            </w:r>
            <w:r w:rsidRPr="00451612">
              <w:rPr>
                <w:rFonts w:cs="Times New Roman"/>
                <w:b/>
                <w:szCs w:val="24"/>
              </w:rPr>
              <w:t xml:space="preserve">įstatymuose. </w:t>
            </w:r>
            <w:r w:rsidRPr="00451612">
              <w:rPr>
                <w:rFonts w:cs="Times New Roman"/>
                <w:szCs w:val="24"/>
              </w:rPr>
              <w:t xml:space="preserve">Įstaigų funkcijų nustatymas UTPĮ atitinka ir </w:t>
            </w:r>
            <w:r w:rsidRPr="00451612">
              <w:rPr>
                <w:rFonts w:cs="Times New Roman"/>
                <w:b/>
                <w:szCs w:val="24"/>
              </w:rPr>
              <w:t>teisėkūros aiškumo</w:t>
            </w:r>
            <w:r w:rsidRPr="00451612">
              <w:rPr>
                <w:rFonts w:cs="Times New Roman"/>
                <w:szCs w:val="24"/>
              </w:rPr>
              <w:t xml:space="preserve"> principą, įtvirtintą Teisėkūros pagrindų įstatyme</w:t>
            </w:r>
            <w:r w:rsidRPr="0035553E">
              <w:rPr>
                <w:rFonts w:cs="Times New Roman"/>
                <w:szCs w:val="24"/>
              </w:rPr>
              <w:t>,</w:t>
            </w:r>
            <w:r w:rsidRPr="00451612">
              <w:rPr>
                <w:rFonts w:cs="Times New Roman"/>
                <w:b/>
                <w:szCs w:val="24"/>
              </w:rPr>
              <w:t xml:space="preserve"> </w:t>
            </w:r>
            <w:r w:rsidRPr="00451612">
              <w:rPr>
                <w:rFonts w:cs="Times New Roman"/>
                <w:szCs w:val="24"/>
              </w:rPr>
              <w:t>be to, įstaigų funkcijų</w:t>
            </w:r>
            <w:r w:rsidRPr="00451612">
              <w:rPr>
                <w:rFonts w:cs="Times New Roman"/>
                <w:b/>
                <w:szCs w:val="24"/>
              </w:rPr>
              <w:t xml:space="preserve"> </w:t>
            </w:r>
            <w:r w:rsidRPr="00451612">
              <w:rPr>
                <w:rFonts w:cs="Times New Roman"/>
                <w:szCs w:val="24"/>
              </w:rPr>
              <w:t>atsisakymas UTPĮ</w:t>
            </w:r>
            <w:r w:rsidRPr="00451612">
              <w:rPr>
                <w:rFonts w:cs="Times New Roman"/>
                <w:b/>
                <w:szCs w:val="24"/>
              </w:rPr>
              <w:t xml:space="preserve"> </w:t>
            </w:r>
            <w:r w:rsidRPr="00451612">
              <w:rPr>
                <w:rFonts w:cs="Times New Roman"/>
                <w:szCs w:val="24"/>
              </w:rPr>
              <w:t xml:space="preserve">pareikalautų esminės UTPĮ peržiūros ir naujos redakcijos, kas vėlgi sudarytų </w:t>
            </w:r>
            <w:r w:rsidR="000C718B" w:rsidRPr="00451612">
              <w:rPr>
                <w:rFonts w:cs="Times New Roman"/>
                <w:szCs w:val="24"/>
              </w:rPr>
              <w:t>kliūt</w:t>
            </w:r>
            <w:r w:rsidR="000C718B">
              <w:rPr>
                <w:rFonts w:cs="Times New Roman"/>
                <w:szCs w:val="24"/>
              </w:rPr>
              <w:t>i</w:t>
            </w:r>
            <w:r w:rsidR="000C718B" w:rsidRPr="00451612">
              <w:rPr>
                <w:rFonts w:cs="Times New Roman"/>
                <w:szCs w:val="24"/>
              </w:rPr>
              <w:t xml:space="preserve">s </w:t>
            </w:r>
            <w:r w:rsidRPr="00451612">
              <w:rPr>
                <w:rFonts w:cs="Times New Roman"/>
                <w:szCs w:val="24"/>
              </w:rPr>
              <w:t xml:space="preserve">migracijos reformai vykdyti. </w:t>
            </w:r>
          </w:p>
          <w:p w14:paraId="6FEA9969" w14:textId="0A64BA34" w:rsidR="009B3898" w:rsidRPr="00451612" w:rsidRDefault="009B3898" w:rsidP="006742F8">
            <w:pPr>
              <w:jc w:val="both"/>
              <w:rPr>
                <w:rFonts w:cs="Times New Roman"/>
                <w:szCs w:val="24"/>
              </w:rPr>
            </w:pPr>
            <w:r w:rsidRPr="00451612">
              <w:rPr>
                <w:rFonts w:cs="Times New Roman"/>
                <w:szCs w:val="24"/>
              </w:rPr>
              <w:t>Pastaboje teigiama, jog „</w:t>
            </w:r>
            <w:r w:rsidRPr="00451612">
              <w:rPr>
                <w:rFonts w:cs="Times New Roman"/>
                <w:b/>
                <w:szCs w:val="24"/>
              </w:rPr>
              <w:t>vienas dažniausių Lietuvos Respublikos įstatymo „Dėl užsieniečių teisinės padėties“ (toliau – įstatymas) keitimą sąlygojančių veiksnių ir yra funkcijų keitimas ir jų perskirstymas tarp institucijų</w:t>
            </w:r>
            <w:r w:rsidRPr="00451612">
              <w:rPr>
                <w:rFonts w:cs="Times New Roman"/>
                <w:szCs w:val="24"/>
              </w:rPr>
              <w:t>“, tačiau UTPĮ dažniausiai keičiamas dėl kitos priežasties, t. y., dėl to, kad į nacionalinę teisę perkeliamos ES direktyvos arba nustatomos kitokios imigracijos sąlygos ar tikslinamos kitokios įstatymo nuostatos. Funkcijų perskirstymas atliekamas labai retai.</w:t>
            </w:r>
          </w:p>
        </w:tc>
      </w:tr>
      <w:tr w:rsidR="009B3898" w:rsidRPr="00451612" w14:paraId="532E9443" w14:textId="77777777" w:rsidTr="008D0A8E">
        <w:tc>
          <w:tcPr>
            <w:tcW w:w="1696" w:type="dxa"/>
          </w:tcPr>
          <w:p w14:paraId="09EFDD91" w14:textId="77777777" w:rsidR="009B3898" w:rsidRPr="00451612" w:rsidRDefault="009B3898" w:rsidP="00451612">
            <w:pPr>
              <w:pStyle w:val="Sraopastraipa"/>
              <w:tabs>
                <w:tab w:val="left" w:pos="0"/>
                <w:tab w:val="left" w:pos="959"/>
                <w:tab w:val="left" w:pos="1276"/>
                <w:tab w:val="left" w:pos="2877"/>
                <w:tab w:val="left" w:pos="3836"/>
                <w:tab w:val="left" w:pos="4795"/>
                <w:tab w:val="left" w:pos="5754"/>
                <w:tab w:val="left" w:pos="6713"/>
                <w:tab w:val="left" w:pos="7672"/>
                <w:tab w:val="left" w:pos="8631"/>
                <w:tab w:val="left" w:pos="9590"/>
              </w:tabs>
              <w:ind w:left="0"/>
              <w:jc w:val="both"/>
            </w:pPr>
            <w:r w:rsidRPr="00451612">
              <w:rPr>
                <w:b/>
                <w:i/>
                <w:snapToGrid w:val="0"/>
              </w:rPr>
              <w:t>Dėl UTPĮ projekto</w:t>
            </w:r>
            <w:r w:rsidRPr="00451612">
              <w:rPr>
                <w:snapToGrid w:val="0"/>
              </w:rPr>
              <w:t>:</w:t>
            </w:r>
          </w:p>
          <w:p w14:paraId="5213C397" w14:textId="77777777" w:rsidR="009B3898" w:rsidRPr="00451612" w:rsidRDefault="009B3898" w:rsidP="00451612">
            <w:pPr>
              <w:rPr>
                <w:rFonts w:cs="Times New Roman"/>
                <w:szCs w:val="24"/>
              </w:rPr>
            </w:pPr>
          </w:p>
        </w:tc>
        <w:tc>
          <w:tcPr>
            <w:tcW w:w="5245" w:type="dxa"/>
          </w:tcPr>
          <w:p w14:paraId="5B434F5F" w14:textId="77777777" w:rsidR="009B3898" w:rsidRPr="00451612" w:rsidRDefault="009B3898" w:rsidP="00451612">
            <w:pPr>
              <w:jc w:val="both"/>
              <w:rPr>
                <w:rFonts w:cs="Times New Roman"/>
                <w:szCs w:val="24"/>
              </w:rPr>
            </w:pPr>
            <w:r w:rsidRPr="00451612">
              <w:rPr>
                <w:rFonts w:cs="Times New Roman"/>
                <w:szCs w:val="24"/>
                <w:lang w:eastAsia="lt-LT"/>
              </w:rPr>
              <w:t xml:space="preserve">3. Kartu su UTPĮ projektu teikiamas ANK projektas, kurio 4 straipsniu keičiamas Administracinių nusižengimų kodekso (toliau – ANK) 589 straipsnis, numatant įgaliojimus MD pareigūnams pradėti administracinių nusižengimų teiseną, atlikti administracinių nusižengimų tyrimą ir surašyti administracinių nusižengimų protokolus. ANK 595 straipsnyje numatytas baigtinis sąrašas administracinių nusižengimų teisenos </w:t>
            </w:r>
            <w:r w:rsidRPr="00451612">
              <w:rPr>
                <w:rFonts w:cs="Times New Roman"/>
                <w:i/>
                <w:szCs w:val="24"/>
                <w:lang w:eastAsia="lt-LT"/>
              </w:rPr>
              <w:t>užtikrinimo prievartos priemonių, kurias gali taikyti administracinius nusižengimus tiriantys pareigūnai</w:t>
            </w:r>
            <w:r w:rsidRPr="00451612">
              <w:rPr>
                <w:rFonts w:cs="Times New Roman"/>
                <w:szCs w:val="24"/>
                <w:lang w:eastAsia="lt-LT"/>
              </w:rPr>
              <w:t>, siekdami užkirsti kelią administraciniams nusižengimams, taip pat siekdami užtikrinti, kad būtų išsamiai tiriami administraciniai nusižengimai ir nagrinėjamos administracinių nusižengimų bylos bei vykdomi administracinių nusižengimų bylose priimami sprendimai. Atkreiptinas dėmesys, kad UTPĮ projekto 57 straipsniu keičiamo įstatymo 141 straipsnio 2 dalyje numatytas</w:t>
            </w:r>
            <w:r w:rsidRPr="00451612">
              <w:rPr>
                <w:rFonts w:cs="Times New Roman"/>
                <w:i/>
                <w:szCs w:val="24"/>
                <w:lang w:eastAsia="lt-LT"/>
              </w:rPr>
              <w:t xml:space="preserve"> platesnis įgaliojimų</w:t>
            </w:r>
            <w:r w:rsidRPr="00451612">
              <w:rPr>
                <w:rFonts w:cs="Times New Roman"/>
                <w:szCs w:val="24"/>
                <w:lang w:eastAsia="lt-LT"/>
              </w:rPr>
              <w:t xml:space="preserve">, susijusių su valstybės prievartos naudojimu, sąrašas nei yra būtina užtikrinti administracinių nusižengimų teiseną. UTPĮ projekto 57 straipsniu keičiamo įstatymo 141 straipsnio 2 dalies 1 punkte nustatyta teisė be išankstinio perspėjimo lankytis atitinkamose patalpose ir atlikti jų apžiūrą. Šie įgaliojimai pagal turinį yra panašūs į Baudžiamojo proceso kodekso (toliau – BPK) 145 straipsnyje numatytą procesinę prievartos priemonę </w:t>
            </w:r>
            <w:r w:rsidRPr="00451612">
              <w:rPr>
                <w:rFonts w:cs="Times New Roman"/>
                <w:szCs w:val="24"/>
                <w:lang w:eastAsia="lt-LT"/>
              </w:rPr>
              <w:lastRenderedPageBreak/>
              <w:t xml:space="preserve">– kratą. Vadovaujantis BPK 145 straipsnio 3 dalimi, kratai daryti yra reikalinga teismo sankcija. </w:t>
            </w:r>
          </w:p>
          <w:p w14:paraId="4048CF58" w14:textId="0170AFFD" w:rsidR="009B3898" w:rsidRPr="00451612" w:rsidRDefault="009B3898">
            <w:pPr>
              <w:pStyle w:val="Sraopastraipa"/>
              <w:ind w:left="34" w:hanging="34"/>
              <w:jc w:val="both"/>
            </w:pPr>
            <w:r w:rsidRPr="00451612">
              <w:tab/>
            </w:r>
            <w:r w:rsidRPr="00451612">
              <w:rPr>
                <w:lang w:eastAsia="lt-LT"/>
              </w:rPr>
              <w:t xml:space="preserve">Taip pat ir dėl UTPĮ projekto 57 straipsniu keičiamo įstatymo 141 straipsnio 2 dalies 2 punkto nuostatos reikalingumas svarstytinas </w:t>
            </w:r>
            <w:r w:rsidR="00203860">
              <w:rPr>
                <w:lang w:eastAsia="lt-LT"/>
              </w:rPr>
              <w:t>kartu</w:t>
            </w:r>
            <w:r w:rsidR="00203860" w:rsidRPr="00451612">
              <w:rPr>
                <w:lang w:eastAsia="lt-LT"/>
              </w:rPr>
              <w:t xml:space="preserve"> </w:t>
            </w:r>
            <w:r w:rsidRPr="00451612">
              <w:rPr>
                <w:lang w:eastAsia="lt-LT"/>
              </w:rPr>
              <w:t>su ANK 593 ir 594 straipsnių nuostatomis: UTPĮ projekte siūloma nustatyti, kad MD valstybės tarnautojai „</w:t>
            </w:r>
            <w:r w:rsidRPr="00451612">
              <w:t xml:space="preserve">turi teisę reikalauti ir gauti iš užsieniečio, jo sutuoktinio, įmonės arba kitų asmenų duomenis, dokumentus (jų nuorašus, išrašus), paaiškinimus, įrodymus, kviesti pokalbio užsienietį, įmonės atstovą, užsieniečio sutuoktinį arba kitą asmenį į Migracijos departamento tarnybines patalpas, fotografuoti, daryti vaizdo ir garso įrašus, taip pat tvarkyti šiuos duomenis“, kai pagal ANK nuostatas pareigūnai </w:t>
            </w:r>
            <w:r w:rsidRPr="00451612">
              <w:rPr>
                <w:lang w:eastAsia="lt-LT"/>
              </w:rPr>
              <w:t xml:space="preserve">gali apklausti asmenis, įtariamus administracinių nusižengimų padarymu, nukentėjusiuosius, liudytojus arba paimti iš šių asmenų rašytinius </w:t>
            </w:r>
            <w:proofErr w:type="spellStart"/>
            <w:r w:rsidRPr="00451612">
              <w:rPr>
                <w:lang w:eastAsia="lt-LT"/>
              </w:rPr>
              <w:t>parodymus</w:t>
            </w:r>
            <w:proofErr w:type="spellEnd"/>
            <w:r w:rsidRPr="00451612">
              <w:rPr>
                <w:lang w:eastAsia="lt-LT"/>
              </w:rPr>
              <w:t xml:space="preserve">, </w:t>
            </w:r>
            <w:r w:rsidRPr="00451612">
              <w:t xml:space="preserve">išreikalauti bylai turinčius reikšmės daiktus ir dokumentus; be to, tyrimo veiksmų metu gali būti fotografuojama, filmuojama, daromas garso ir vaizdo įrašas, daromi pėdsakų atspaudai ir </w:t>
            </w:r>
            <w:proofErr w:type="spellStart"/>
            <w:r w:rsidRPr="00451612">
              <w:t>išliejos</w:t>
            </w:r>
            <w:proofErr w:type="spellEnd"/>
            <w:r w:rsidRPr="00451612">
              <w:t>, sudaromi planai ir schemos ir naudojami kitokie fiksavimo būdai.</w:t>
            </w:r>
            <w:r w:rsidRPr="00451612">
              <w:rPr>
                <w:lang w:eastAsia="lt-LT"/>
              </w:rPr>
              <w:t xml:space="preserve"> Be to, siejant MD valstybės tarnautojų įgaliojimus su tam tikra valstybės prievarta, būtina nustatyti ir prievartos priemonių panaudojimo sąlygas, tvarką ir pagrindus, jie turi būti </w:t>
            </w:r>
            <w:r w:rsidRPr="00451612">
              <w:t xml:space="preserve">specialiai parengti ir reguliariai tikrinami, ar jie sugeba veikti </w:t>
            </w:r>
            <w:r w:rsidR="00203860" w:rsidRPr="00451612">
              <w:t>situacijo</w:t>
            </w:r>
            <w:r w:rsidR="00203860">
              <w:t>se</w:t>
            </w:r>
            <w:r w:rsidRPr="00451612">
              <w:t xml:space="preserve">, </w:t>
            </w:r>
            <w:r w:rsidR="00B14F3F" w:rsidRPr="00451612">
              <w:t>susijusio</w:t>
            </w:r>
            <w:r w:rsidR="00B14F3F">
              <w:t>se</w:t>
            </w:r>
            <w:r w:rsidR="00B14F3F" w:rsidRPr="00451612">
              <w:t xml:space="preserve"> </w:t>
            </w:r>
            <w:r w:rsidRPr="00451612">
              <w:t>su prievartos panaudojimu (</w:t>
            </w:r>
            <w:r w:rsidRPr="00451612">
              <w:rPr>
                <w:lang w:eastAsia="lt-LT"/>
              </w:rPr>
              <w:t>kaip ir dėl kitų pareigūnų).</w:t>
            </w:r>
          </w:p>
        </w:tc>
        <w:tc>
          <w:tcPr>
            <w:tcW w:w="7513" w:type="dxa"/>
          </w:tcPr>
          <w:p w14:paraId="44474905" w14:textId="50B69BA3" w:rsidR="009B3898" w:rsidRPr="00451612" w:rsidRDefault="009B3898" w:rsidP="00451612">
            <w:pPr>
              <w:jc w:val="both"/>
              <w:rPr>
                <w:rFonts w:cs="Times New Roman"/>
                <w:b/>
                <w:szCs w:val="24"/>
              </w:rPr>
            </w:pPr>
            <w:r w:rsidRPr="00451612">
              <w:rPr>
                <w:rFonts w:cs="Times New Roman"/>
                <w:b/>
                <w:szCs w:val="24"/>
              </w:rPr>
              <w:lastRenderedPageBreak/>
              <w:t>Neatsižvelgta.</w:t>
            </w:r>
          </w:p>
          <w:p w14:paraId="7DC92DCA" w14:textId="77777777" w:rsidR="009B3898" w:rsidRDefault="009B3898" w:rsidP="00451612">
            <w:pPr>
              <w:jc w:val="both"/>
              <w:rPr>
                <w:rFonts w:cs="Times New Roman"/>
                <w:color w:val="000000"/>
                <w:szCs w:val="24"/>
              </w:rPr>
            </w:pPr>
            <w:r w:rsidRPr="00451612">
              <w:rPr>
                <w:rFonts w:cs="Times New Roman"/>
                <w:szCs w:val="24"/>
              </w:rPr>
              <w:t xml:space="preserve">UTPĮ 141 straipsnis skirtas ne </w:t>
            </w:r>
            <w:r w:rsidRPr="00451612">
              <w:rPr>
                <w:rFonts w:cs="Times New Roman"/>
                <w:szCs w:val="24"/>
                <w:u w:val="single"/>
              </w:rPr>
              <w:t>administracinių nusižengimų teisenai užtikrinti</w:t>
            </w:r>
            <w:r w:rsidRPr="00451612">
              <w:rPr>
                <w:rFonts w:cs="Times New Roman"/>
                <w:szCs w:val="24"/>
              </w:rPr>
              <w:t xml:space="preserve"> (ANK 593 straipsnio 1 dalies 2 punktas numato teisę atlikti </w:t>
            </w:r>
            <w:r w:rsidRPr="00451612">
              <w:rPr>
                <w:rFonts w:cs="Times New Roman"/>
                <w:i/>
                <w:szCs w:val="24"/>
              </w:rPr>
              <w:t>patalpų apžiūrą</w:t>
            </w:r>
            <w:r w:rsidRPr="00451612">
              <w:rPr>
                <w:rFonts w:cs="Times New Roman"/>
                <w:szCs w:val="24"/>
              </w:rPr>
              <w:t xml:space="preserve">, tačiau tokia teisė suteikiama tik </w:t>
            </w:r>
            <w:r w:rsidRPr="00451612">
              <w:rPr>
                <w:rFonts w:cs="Times New Roman"/>
                <w:b/>
                <w:i/>
                <w:szCs w:val="24"/>
              </w:rPr>
              <w:t>administracinius nusižengimus tiriantiems</w:t>
            </w:r>
            <w:r w:rsidRPr="00451612">
              <w:rPr>
                <w:rFonts w:cs="Times New Roman"/>
                <w:szCs w:val="24"/>
              </w:rPr>
              <w:t xml:space="preserve"> pareigūnams, t. y., kai </w:t>
            </w:r>
            <w:r w:rsidRPr="00451612">
              <w:rPr>
                <w:rFonts w:cs="Times New Roman"/>
                <w:i/>
                <w:szCs w:val="24"/>
              </w:rPr>
              <w:t>administracinių nusižengimų teisena jau yra pradėta</w:t>
            </w:r>
            <w:r w:rsidRPr="00451612">
              <w:rPr>
                <w:rFonts w:cs="Times New Roman"/>
                <w:szCs w:val="24"/>
              </w:rPr>
              <w:t xml:space="preserve">), bet tiems atvejams, kai MD vykdo jai UTPĮ priskirtas funkcijas, pvz., nagrinėja prašymus išduoti leidimą gyventi ir privalo įsitikinti, kad įmonė nėra fiktyvi. Neturint šios teisės nebus galima tinkamai vykdyti MD priskirtų funkcijų, taigi ir užtikrinti užsieniečių buvimo Lietuvos Respublikoje kontrolės, kuri neatsiejamai susijusiu su valstybės, visuomenės saugumu ir viešosios tvarkos užtikrinimu. Pažymėtina, kad pagal konstitucinę doktriną asmenų teisės ir laisvės nėra absoliučios ir jos gali būti varžomos, </w:t>
            </w:r>
            <w:r w:rsidRPr="00451612">
              <w:rPr>
                <w:rFonts w:cs="Times New Roman"/>
                <w:b/>
                <w:i/>
                <w:szCs w:val="24"/>
              </w:rPr>
              <w:t xml:space="preserve">kai tai daroma įstatymu ir </w:t>
            </w:r>
            <w:r w:rsidRPr="00451612">
              <w:rPr>
                <w:rFonts w:cs="Times New Roman"/>
                <w:b/>
                <w:i/>
                <w:color w:val="000000"/>
                <w:szCs w:val="24"/>
              </w:rPr>
              <w:t>ribojimai yra būtini demokratinėje visuomenėje siekiant apsaugoti kitų asmenų teises bei laisves ir Konstitucijoje įtvirtintas vertybes, taip pat konstituciškai svarbius tikslus, o ribojimais nėra paneigiama žmogaus teisių prigimtis ir esmė, yra laikomasi konstitucinio proporcingumo principo</w:t>
            </w:r>
            <w:r w:rsidRPr="00451612">
              <w:rPr>
                <w:rFonts w:cs="Times New Roman"/>
                <w:color w:val="000000"/>
                <w:szCs w:val="24"/>
              </w:rPr>
              <w:t xml:space="preserve">. Šias sąlygas, UTPĮ projekto 141 straipsnio 2 dalies 1 punktas atitinka. Be to, pastebėtina, kad teisė lankytis patalpose ir jas apžiūrėti įtvirtinta ir ūkio subjektų veiklos kontrolę vykdančioms valstybės institucijoms, pvz., Sprogmenų apyvartos kontrolės įstatymas, Civilinių pirotechnikos priemonių apyvartos kontrolės įstatymas, kurie numato įgaliotų pareigūnų teisę apžiūrėti patalpas ir daryti jose patikrinimus be teismo sankcijų. </w:t>
            </w:r>
          </w:p>
          <w:p w14:paraId="2EEAB6BA" w14:textId="65A5F59B" w:rsidR="009B3898" w:rsidRPr="00451612" w:rsidRDefault="009B3898" w:rsidP="006742F8">
            <w:pPr>
              <w:jc w:val="both"/>
              <w:rPr>
                <w:rFonts w:cs="Times New Roman"/>
                <w:szCs w:val="24"/>
              </w:rPr>
            </w:pPr>
            <w:r>
              <w:rPr>
                <w:rFonts w:cs="Times New Roman"/>
                <w:color w:val="000000"/>
                <w:szCs w:val="24"/>
              </w:rPr>
              <w:t xml:space="preserve">Migracijos departamente pareigas eis ne statutiniai, bet karjeros valstybės tarnautojai, todėl jų atliekamos funkcijos nebus susijusios su fizinės prievartos ar specialiųjų priemonių panaudojimu, tad nėra pagrindo nustatyti prievartos panaudojimo sąlygas, tvarką ar vykdyti Migracijos departamento karjeros valstybės tarnautojų specialų rengimą (mokymą) kaip panaudoti </w:t>
            </w:r>
            <w:r>
              <w:rPr>
                <w:rFonts w:cs="Times New Roman"/>
                <w:color w:val="000000"/>
                <w:szCs w:val="24"/>
              </w:rPr>
              <w:lastRenderedPageBreak/>
              <w:t xml:space="preserve">prievartos priemones. Siekiant patikrinti, ar įmonės (jos filialo ar atstovybės) patalpose nėra laikomi neteisėtai Lietuvoje esantys ar gyvenantys užsieniečiai ir (ar) įmonė nėra fiktyvi, Migracijos departamento valstybės tarnautojai į įmonių patalpas (esant pasipriešinimui, teisėtų reikalavimų nevykdymui) galės patekti su Valstybės sienos apsaugos tarnybos pareigūnų pagalba, kurie pagal keičiamą Valstybės sienos ir jos apsaugos įstatymą turės teisę irgi patekti į minėtas patalpas ir panaudoti prievartos priemones. </w:t>
            </w:r>
          </w:p>
        </w:tc>
      </w:tr>
      <w:tr w:rsidR="009B3898" w:rsidRPr="00451612" w14:paraId="5EDDE2BE" w14:textId="77777777" w:rsidTr="008D0A8E">
        <w:tc>
          <w:tcPr>
            <w:tcW w:w="1696" w:type="dxa"/>
          </w:tcPr>
          <w:p w14:paraId="4DD06CBD" w14:textId="77777777" w:rsidR="009B3898" w:rsidRPr="00451612" w:rsidRDefault="009B3898" w:rsidP="00451612">
            <w:pPr>
              <w:pStyle w:val="Sraopastraipa"/>
              <w:tabs>
                <w:tab w:val="left" w:pos="0"/>
                <w:tab w:val="left" w:pos="959"/>
                <w:tab w:val="left" w:pos="1276"/>
                <w:tab w:val="left" w:pos="2877"/>
                <w:tab w:val="left" w:pos="3836"/>
                <w:tab w:val="left" w:pos="4795"/>
                <w:tab w:val="left" w:pos="5754"/>
                <w:tab w:val="left" w:pos="6713"/>
                <w:tab w:val="left" w:pos="7672"/>
                <w:tab w:val="left" w:pos="8631"/>
                <w:tab w:val="left" w:pos="9590"/>
              </w:tabs>
              <w:ind w:left="0"/>
              <w:jc w:val="both"/>
            </w:pPr>
            <w:r w:rsidRPr="00451612">
              <w:rPr>
                <w:b/>
                <w:i/>
                <w:snapToGrid w:val="0"/>
              </w:rPr>
              <w:lastRenderedPageBreak/>
              <w:t>Dėl UTPĮ projekto</w:t>
            </w:r>
            <w:r w:rsidRPr="00451612">
              <w:rPr>
                <w:snapToGrid w:val="0"/>
              </w:rPr>
              <w:t>:</w:t>
            </w:r>
          </w:p>
          <w:p w14:paraId="4FE87AEE" w14:textId="77777777" w:rsidR="009B3898" w:rsidRPr="00451612" w:rsidRDefault="009B3898" w:rsidP="00451612">
            <w:pPr>
              <w:rPr>
                <w:rFonts w:cs="Times New Roman"/>
                <w:szCs w:val="24"/>
              </w:rPr>
            </w:pPr>
          </w:p>
        </w:tc>
        <w:tc>
          <w:tcPr>
            <w:tcW w:w="5245" w:type="dxa"/>
          </w:tcPr>
          <w:p w14:paraId="24C0E85C" w14:textId="2284780D" w:rsidR="009B3898" w:rsidRPr="00451612" w:rsidRDefault="009B3898">
            <w:pPr>
              <w:jc w:val="both"/>
              <w:rPr>
                <w:rFonts w:cs="Times New Roman"/>
                <w:szCs w:val="24"/>
              </w:rPr>
            </w:pPr>
            <w:r w:rsidRPr="00451612">
              <w:rPr>
                <w:rFonts w:cs="Times New Roman"/>
                <w:szCs w:val="24"/>
              </w:rPr>
              <w:t xml:space="preserve">20. Lietuvos Respublikos Vyriausybės </w:t>
            </w:r>
            <w:r w:rsidRPr="00451612">
              <w:rPr>
                <w:rFonts w:cs="Times New Roman"/>
                <w:color w:val="000000"/>
                <w:szCs w:val="24"/>
              </w:rPr>
              <w:t>2015 m. lapkričio 11 d. nutarimo Nr. 1163 „Dėl</w:t>
            </w:r>
            <w:r w:rsidRPr="00451612">
              <w:rPr>
                <w:rFonts w:cs="Times New Roman"/>
                <w:szCs w:val="24"/>
              </w:rPr>
              <w:t xml:space="preserve"> Lietuvos Respublikos įstatymo „Dėl užsieniečių teisinės padėties“ Nr. IX-2206  4, 21, 28, 29, 31, 34, 36, 51, 55, 74, 99, 99-1, 100, 104, 105-1, 105-2, 105-4, 141 straipsnių pakeitimo ir Įstatymo papildymo 3-1 </w:t>
            </w:r>
            <w:r w:rsidRPr="00451612">
              <w:rPr>
                <w:rFonts w:cs="Times New Roman"/>
                <w:szCs w:val="24"/>
              </w:rPr>
              <w:lastRenderedPageBreak/>
              <w:t xml:space="preserve">straipsniu įstatymo projekto Nr. XIIP-3475(2)“  </w:t>
            </w:r>
            <w:r w:rsidRPr="00451612">
              <w:rPr>
                <w:rFonts w:cs="Times New Roman"/>
                <w:szCs w:val="24"/>
                <w:lang w:eastAsia="lt-LT"/>
              </w:rPr>
              <w:t xml:space="preserve">4 punkte nurodyta, kad Seime svarstomame įstatymo projekte Nr. XIIP-3475(2) siūlomam teisiniam reglamentavimui, pagal kurį </w:t>
            </w:r>
            <w:r w:rsidRPr="00451612">
              <w:rPr>
                <w:rFonts w:cs="Times New Roman"/>
                <w:i/>
                <w:szCs w:val="24"/>
                <w:lang w:eastAsia="lt-LT"/>
              </w:rPr>
              <w:t>būtų</w:t>
            </w:r>
            <w:r w:rsidRPr="00451612">
              <w:rPr>
                <w:rFonts w:cs="Times New Roman"/>
                <w:szCs w:val="24"/>
                <w:lang w:eastAsia="lt-LT"/>
              </w:rPr>
              <w:t xml:space="preserve"> </w:t>
            </w:r>
            <w:r w:rsidRPr="00451612">
              <w:rPr>
                <w:rFonts w:cs="Times New Roman"/>
                <w:i/>
                <w:szCs w:val="24"/>
                <w:lang w:eastAsia="lt-LT"/>
              </w:rPr>
              <w:t>sukurtas MD teritorinių padalinių tinklas</w:t>
            </w:r>
            <w:r w:rsidRPr="00451612">
              <w:rPr>
                <w:rFonts w:cs="Times New Roman"/>
                <w:szCs w:val="24"/>
                <w:lang w:eastAsia="lt-LT"/>
              </w:rPr>
              <w:t xml:space="preserve">, kaip ir dabar siūloma UTPĮ projektu, taikyti prireiktų papildomų lėšų, </w:t>
            </w:r>
            <w:r w:rsidRPr="00451612">
              <w:rPr>
                <w:rFonts w:cs="Times New Roman"/>
                <w:i/>
                <w:szCs w:val="24"/>
                <w:lang w:eastAsia="lt-LT"/>
              </w:rPr>
              <w:t>jis ekonomiškai nepagrįstas, neracionalus ir neproporcingas</w:t>
            </w:r>
            <w:r w:rsidRPr="00451612">
              <w:rPr>
                <w:rFonts w:cs="Times New Roman"/>
                <w:szCs w:val="24"/>
                <w:lang w:eastAsia="lt-LT"/>
              </w:rPr>
              <w:t xml:space="preserve">. Vyriausybė išanalizavo migracijos tarnybų, kurios šiuo metu yra teritorinių policijos įstaigų padaliniai, perdavimo MD galimybę. Tačiau šio sprendimo atsisakyta, nes jis labai brangus ir ekonomiškai nepagrįstas – reikėtų įsteigti daugiau pareigybių, skirtų migracijos srities funkcijoms atlikti, rasti patalpas teritoriniams migracijos padaliniams (šiuo metu tai policijos įstaigų patalpos, kurios ir toliau būtų naudojamos policijos reikmėms); šios įstaigos turėtų būti aprūpintos transportu, kitomis materialinėmis techninėmis priemonėmis; turėtų būti sukurta speciali infrastruktūra (perkelta speciali įranga (pvz., biometrinių duomenų registravimo), parengtos ir įdiegtos techninės ir programinės priemonės dirbti su atitinkamais registrais ir informacinėmis sistemomis ir </w:t>
            </w:r>
            <w:r w:rsidRPr="00451612">
              <w:rPr>
                <w:rFonts w:cs="Times New Roman"/>
                <w:szCs w:val="24"/>
                <w:lang w:eastAsia="lt-LT"/>
              </w:rPr>
              <w:t>kita). Preliminariais skaičiavimais, atliktais 2010</w:t>
            </w:r>
            <w:r w:rsidR="00B201B2">
              <w:rPr>
                <w:rFonts w:cs="Times New Roman"/>
                <w:szCs w:val="24"/>
                <w:lang w:eastAsia="lt-LT"/>
              </w:rPr>
              <w:t> </w:t>
            </w:r>
            <w:r w:rsidR="00B201B2" w:rsidRPr="00451612">
              <w:rPr>
                <w:rFonts w:cs="Times New Roman"/>
                <w:szCs w:val="24"/>
                <w:lang w:eastAsia="lt-LT"/>
              </w:rPr>
              <w:t>m</w:t>
            </w:r>
            <w:r w:rsidR="00B201B2">
              <w:rPr>
                <w:rFonts w:cs="Times New Roman"/>
                <w:szCs w:val="24"/>
                <w:lang w:eastAsia="lt-LT"/>
              </w:rPr>
              <w:t>.</w:t>
            </w:r>
            <w:r w:rsidRPr="00451612">
              <w:rPr>
                <w:rFonts w:cs="Times New Roman"/>
                <w:szCs w:val="24"/>
                <w:lang w:eastAsia="lt-LT"/>
              </w:rPr>
              <w:t xml:space="preserve">, </w:t>
            </w:r>
            <w:r w:rsidRPr="00451612">
              <w:rPr>
                <w:rFonts w:cs="Times New Roman"/>
                <w:szCs w:val="24"/>
                <w:lang w:eastAsia="lt-LT"/>
              </w:rPr>
              <w:t>teritorinių policijos migracijos padalinių perdavimas MD galėtų kainuoti iki 1,6 mln. eurų. Atsižvelgiant į tai, Įstatymų projektų a</w:t>
            </w:r>
            <w:r w:rsidRPr="00451612">
              <w:rPr>
                <w:rFonts w:cs="Times New Roman"/>
                <w:szCs w:val="24"/>
              </w:rPr>
              <w:t xml:space="preserve">iškinamojo rašto teiginys, kad MD teritoriniai padaliniai bus steigiami dabartinių policijos migracijos tarnybų pagrindu, todėl </w:t>
            </w:r>
            <w:r w:rsidRPr="00451612">
              <w:rPr>
                <w:rFonts w:cs="Times New Roman"/>
                <w:i/>
                <w:szCs w:val="24"/>
              </w:rPr>
              <w:t xml:space="preserve">migracijos funkcijų perskirstymas pareikalaus minimalių lėšų </w:t>
            </w:r>
            <w:r w:rsidRPr="00451612">
              <w:rPr>
                <w:rFonts w:cs="Times New Roman"/>
                <w:szCs w:val="24"/>
              </w:rPr>
              <w:t xml:space="preserve">(apie 5000 eurų iškaboms pakeisti ir registrų bei informacinių sistemų funkcionalumui pertvarkyti) kelia abejonių. Siūlome pateikti argumentus, kodėl pateikiama tokia skirtinga informacija dėl MD teritorinių padalinių steigimo. Taip pat manome, kad išlieka aktualus </w:t>
            </w:r>
            <w:r w:rsidRPr="00451612">
              <w:rPr>
                <w:rFonts w:cs="Times New Roman"/>
                <w:szCs w:val="24"/>
              </w:rPr>
              <w:lastRenderedPageBreak/>
              <w:t>klausimas dėl policijos migracijos tarnybų pareigūnų statuso, jų teisėtų lūkesčių užtikrinimo, kaip nurodyta Teisingumo ministerijos 2018 gegužės 14 d. išvados Nr. (1.36.)2T-329 24 pastaboje.</w:t>
            </w:r>
          </w:p>
        </w:tc>
        <w:tc>
          <w:tcPr>
            <w:tcW w:w="7513" w:type="dxa"/>
          </w:tcPr>
          <w:p w14:paraId="6B2DD455" w14:textId="2A3303CB" w:rsidR="009B3898" w:rsidRDefault="009B3898" w:rsidP="00313CFF">
            <w:pPr>
              <w:jc w:val="both"/>
              <w:rPr>
                <w:rFonts w:cs="Times New Roman"/>
                <w:b/>
                <w:szCs w:val="24"/>
              </w:rPr>
            </w:pPr>
            <w:r>
              <w:rPr>
                <w:rFonts w:cs="Times New Roman"/>
                <w:b/>
                <w:szCs w:val="24"/>
              </w:rPr>
              <w:lastRenderedPageBreak/>
              <w:t>Atsižvelgta iš dalies.</w:t>
            </w:r>
          </w:p>
          <w:p w14:paraId="4F0F7366" w14:textId="7A4C8ABA" w:rsidR="009B3898" w:rsidRDefault="009B3898" w:rsidP="00313CFF">
            <w:pPr>
              <w:jc w:val="both"/>
            </w:pPr>
            <w:r w:rsidRPr="00451612">
              <w:rPr>
                <w:rFonts w:cs="Times New Roman"/>
                <w:b/>
                <w:szCs w:val="24"/>
              </w:rPr>
              <w:t xml:space="preserve">Dėl pareigūnų – </w:t>
            </w:r>
            <w:r w:rsidRPr="00451612">
              <w:rPr>
                <w:rFonts w:cs="Times New Roman"/>
                <w:szCs w:val="24"/>
              </w:rPr>
              <w:t>jiems bus sudarytos galimybės pereiti į VSAT (30 pareigybių), išlaikant pareigūno statusą, arba likti dirbti policijoje.</w:t>
            </w:r>
            <w:r w:rsidRPr="00601075">
              <w:t xml:space="preserve"> Panaikinus teritorinių policijos įstaigų migracijos padaliniuose pareigas einančių policijos pareigūnų (statutinių valstybės tarnautojų) pareigybes, šiems pareigūnams pagal Vidaus tarnybos statutą bus siūlomos lygiavertės </w:t>
            </w:r>
            <w:r w:rsidRPr="00601075">
              <w:t xml:space="preserve">ar žemesnės statutinės pareigos, į kurias perėjus minėtiems pareigūnams bus </w:t>
            </w:r>
            <w:r w:rsidRPr="00601075">
              <w:t>išsaugo</w:t>
            </w:r>
            <w:r w:rsidR="00C1190B">
              <w:t>to</w:t>
            </w:r>
            <w:r w:rsidRPr="00601075">
              <w:t>s su statutinių valstybės tarnautojų statusu susijusios socialinės garantijos. Policijos pareigūnams atsisakius jiems pasiūlytų lygiaverčių ar žemesnių statutinių pareigų, būtų sprendžiamas šių pareigūnų atleidimo iš vidaus tarnybos klausimas. Iš vidaus tarnybos atleisti policijos pareigūnai Valstybės tarnybos įstatymo nustatyta tvarka galės pretenduoti į karjeros valstybės tarnautojų pareigas Migracijos departamente</w:t>
            </w:r>
            <w:r>
              <w:t>. Nurodyta informacija papildytas aiškinamasis raštas.</w:t>
            </w:r>
          </w:p>
          <w:p w14:paraId="0DAC13F9" w14:textId="1BC653AB" w:rsidR="009B3898" w:rsidRPr="00451612" w:rsidRDefault="009B3898">
            <w:pPr>
              <w:jc w:val="both"/>
              <w:rPr>
                <w:rFonts w:cs="Times New Roman"/>
                <w:szCs w:val="24"/>
              </w:rPr>
            </w:pPr>
            <w:r w:rsidRPr="00451612">
              <w:rPr>
                <w:rFonts w:cs="Times New Roman"/>
                <w:b/>
                <w:szCs w:val="24"/>
              </w:rPr>
              <w:t xml:space="preserve">Dėl skirtingos informacijos: </w:t>
            </w:r>
            <w:r w:rsidRPr="00451612">
              <w:rPr>
                <w:rFonts w:cs="Times New Roman"/>
                <w:szCs w:val="24"/>
              </w:rPr>
              <w:t>nuo 201</w:t>
            </w:r>
            <w:r>
              <w:rPr>
                <w:rFonts w:cs="Times New Roman"/>
                <w:szCs w:val="24"/>
              </w:rPr>
              <w:t>5</w:t>
            </w:r>
            <w:r w:rsidRPr="00451612">
              <w:rPr>
                <w:rFonts w:cs="Times New Roman"/>
                <w:szCs w:val="24"/>
              </w:rPr>
              <w:t xml:space="preserve"> </w:t>
            </w:r>
            <w:r w:rsidR="00C1190B" w:rsidRPr="00451612">
              <w:rPr>
                <w:rFonts w:cs="Times New Roman"/>
                <w:szCs w:val="24"/>
              </w:rPr>
              <w:t>m</w:t>
            </w:r>
            <w:r w:rsidR="00C1190B">
              <w:rPr>
                <w:rFonts w:cs="Times New Roman"/>
                <w:szCs w:val="24"/>
              </w:rPr>
              <w:t>.</w:t>
            </w:r>
            <w:r w:rsidR="00C1190B" w:rsidRPr="00451612">
              <w:rPr>
                <w:rFonts w:cs="Times New Roman"/>
                <w:szCs w:val="24"/>
              </w:rPr>
              <w:t xml:space="preserve"> </w:t>
            </w:r>
            <w:r w:rsidRPr="00451612">
              <w:rPr>
                <w:rFonts w:cs="Times New Roman"/>
                <w:szCs w:val="24"/>
              </w:rPr>
              <w:t xml:space="preserve">migracijos </w:t>
            </w:r>
            <w:r w:rsidRPr="00451612">
              <w:rPr>
                <w:rFonts w:cs="Times New Roman"/>
                <w:szCs w:val="24"/>
              </w:rPr>
              <w:t>valdyme įvyko labai daug teisinių ir administracinių pokyčių, taip pat pradėti kitaip spręsti patalpų, biometrinės įrangos įsigijimo ir naudojimo klausimai, todėl situacija yra iš esmės pasikeitusi. Atitinkamai, ir skaičiavimai yra kitokie.</w:t>
            </w:r>
            <w:r>
              <w:rPr>
                <w:rFonts w:cs="Times New Roman"/>
                <w:szCs w:val="24"/>
              </w:rPr>
              <w:t xml:space="preserve"> Be to, ankstesnės Vyriausybės priimti sprendimai nesaisto esamos Vyriausybės sprendimų.</w:t>
            </w:r>
          </w:p>
        </w:tc>
      </w:tr>
      <w:tr w:rsidR="00A57CD3" w:rsidRPr="00451612" w14:paraId="2511A3BA" w14:textId="77777777" w:rsidTr="008D0A8E">
        <w:tc>
          <w:tcPr>
            <w:tcW w:w="1696" w:type="dxa"/>
          </w:tcPr>
          <w:p w14:paraId="0FB4C2D6" w14:textId="5223D122" w:rsidR="00A57CD3" w:rsidRPr="00451612" w:rsidRDefault="00A57CD3" w:rsidP="00451612">
            <w:pPr>
              <w:pStyle w:val="Sraopastraipa"/>
              <w:tabs>
                <w:tab w:val="left" w:pos="0"/>
                <w:tab w:val="left" w:pos="959"/>
                <w:tab w:val="left" w:pos="1276"/>
                <w:tab w:val="left" w:pos="2877"/>
                <w:tab w:val="left" w:pos="3836"/>
                <w:tab w:val="left" w:pos="4795"/>
                <w:tab w:val="left" w:pos="5754"/>
                <w:tab w:val="left" w:pos="6713"/>
                <w:tab w:val="left" w:pos="7672"/>
                <w:tab w:val="left" w:pos="8631"/>
                <w:tab w:val="left" w:pos="9590"/>
              </w:tabs>
              <w:ind w:left="0"/>
              <w:jc w:val="both"/>
              <w:rPr>
                <w:b/>
                <w:i/>
                <w:snapToGrid w:val="0"/>
              </w:rPr>
            </w:pPr>
            <w:r w:rsidRPr="00585E9D">
              <w:lastRenderedPageBreak/>
              <w:t>Užsienio reikalų ministerija, 2018-05-14 raštas Nr. (25.2.1)-3-2180</w:t>
            </w:r>
          </w:p>
        </w:tc>
        <w:tc>
          <w:tcPr>
            <w:tcW w:w="5245" w:type="dxa"/>
          </w:tcPr>
          <w:p w14:paraId="557C0498" w14:textId="77777777" w:rsidR="00A57CD3" w:rsidRPr="00585E9D" w:rsidRDefault="00A57CD3" w:rsidP="00A57CD3">
            <w:pPr>
              <w:jc w:val="both"/>
              <w:rPr>
                <w:rFonts w:eastAsia="Times New Roman" w:cs="Times New Roman"/>
                <w:color w:val="000000"/>
                <w:sz w:val="20"/>
                <w:szCs w:val="20"/>
                <w:lang w:eastAsia="lt-LT"/>
              </w:rPr>
            </w:pPr>
            <w:r w:rsidRPr="00585E9D">
              <w:rPr>
                <w:rFonts w:eastAsia="Times New Roman" w:cs="Times New Roman"/>
                <w:color w:val="000000"/>
                <w:szCs w:val="24"/>
                <w:lang w:eastAsia="lt-LT"/>
              </w:rPr>
              <w:t>2. Projektą siūlome papildyti nauju X straipsniu ir jį išdėstyti taip:</w:t>
            </w:r>
          </w:p>
          <w:p w14:paraId="11C924B9" w14:textId="77777777" w:rsidR="00A57CD3" w:rsidRPr="00585E9D" w:rsidRDefault="00A57CD3" w:rsidP="00A57CD3">
            <w:pPr>
              <w:jc w:val="both"/>
              <w:rPr>
                <w:rFonts w:eastAsia="Times New Roman" w:cs="Times New Roman"/>
                <w:color w:val="000000"/>
                <w:sz w:val="20"/>
                <w:szCs w:val="20"/>
                <w:lang w:eastAsia="lt-LT"/>
              </w:rPr>
            </w:pPr>
            <w:r w:rsidRPr="00585E9D">
              <w:rPr>
                <w:rFonts w:eastAsia="Times New Roman" w:cs="Times New Roman"/>
                <w:color w:val="000000"/>
                <w:szCs w:val="24"/>
                <w:lang w:eastAsia="lt-LT"/>
              </w:rPr>
              <w:t>„</w:t>
            </w:r>
            <w:r w:rsidRPr="00585E9D">
              <w:rPr>
                <w:rFonts w:eastAsia="Times New Roman" w:cs="Times New Roman"/>
                <w:b/>
                <w:bCs/>
                <w:color w:val="000000"/>
                <w:szCs w:val="24"/>
                <w:lang w:eastAsia="lt-LT"/>
              </w:rPr>
              <w:t>X straipsnis. 17 straipsnio pakeitimas</w:t>
            </w:r>
          </w:p>
          <w:p w14:paraId="6C927717" w14:textId="77777777" w:rsidR="00A57CD3" w:rsidRPr="00585E9D" w:rsidRDefault="00A57CD3" w:rsidP="00A57CD3">
            <w:pPr>
              <w:jc w:val="both"/>
              <w:rPr>
                <w:rFonts w:eastAsia="Times New Roman" w:cs="Times New Roman"/>
                <w:color w:val="000000"/>
                <w:sz w:val="20"/>
                <w:szCs w:val="20"/>
                <w:lang w:eastAsia="lt-LT"/>
              </w:rPr>
            </w:pPr>
            <w:r w:rsidRPr="00585E9D">
              <w:rPr>
                <w:rFonts w:eastAsia="Times New Roman" w:cs="Times New Roman"/>
                <w:color w:val="000000"/>
                <w:szCs w:val="24"/>
                <w:lang w:eastAsia="lt-LT"/>
              </w:rPr>
              <w:t>Papildyti 17 straipsnį 8 dalimi ir ją išdėstyti taip:</w:t>
            </w:r>
          </w:p>
          <w:p w14:paraId="24A34D02" w14:textId="49EF9BCD" w:rsidR="00A57CD3" w:rsidRPr="00451612" w:rsidRDefault="00A57CD3" w:rsidP="00A57CD3">
            <w:pPr>
              <w:jc w:val="both"/>
              <w:rPr>
                <w:rFonts w:cs="Times New Roman"/>
                <w:szCs w:val="24"/>
              </w:rPr>
            </w:pPr>
            <w:r w:rsidRPr="00585E9D">
              <w:rPr>
                <w:rFonts w:eastAsia="Times New Roman" w:cs="Times New Roman"/>
                <w:color w:val="000000"/>
                <w:szCs w:val="24"/>
                <w:lang w:eastAsia="lt-LT"/>
              </w:rPr>
              <w:t>8. Nacionalinės vizos išdavimui </w:t>
            </w:r>
            <w:proofErr w:type="spellStart"/>
            <w:r w:rsidRPr="00585E9D">
              <w:rPr>
                <w:rFonts w:eastAsia="Times New Roman" w:cs="Times New Roman"/>
                <w:i/>
                <w:iCs/>
                <w:color w:val="000000"/>
                <w:szCs w:val="24"/>
                <w:lang w:eastAsia="lt-LT"/>
              </w:rPr>
              <w:t>mutatis</w:t>
            </w:r>
            <w:proofErr w:type="spellEnd"/>
            <w:r w:rsidRPr="00585E9D">
              <w:rPr>
                <w:rFonts w:eastAsia="Times New Roman" w:cs="Times New Roman"/>
                <w:i/>
                <w:iCs/>
                <w:color w:val="000000"/>
                <w:szCs w:val="24"/>
                <w:lang w:eastAsia="lt-LT"/>
              </w:rPr>
              <w:t xml:space="preserve"> </w:t>
            </w:r>
            <w:proofErr w:type="spellStart"/>
            <w:r w:rsidRPr="00585E9D">
              <w:rPr>
                <w:rFonts w:eastAsia="Times New Roman" w:cs="Times New Roman"/>
                <w:i/>
                <w:iCs/>
                <w:color w:val="000000"/>
                <w:szCs w:val="24"/>
                <w:lang w:eastAsia="lt-LT"/>
              </w:rPr>
              <w:t>mutandis</w:t>
            </w:r>
            <w:proofErr w:type="spellEnd"/>
            <w:r w:rsidRPr="00585E9D">
              <w:rPr>
                <w:rFonts w:eastAsia="Times New Roman" w:cs="Times New Roman"/>
                <w:i/>
                <w:iCs/>
                <w:color w:val="000000"/>
                <w:szCs w:val="24"/>
                <w:lang w:eastAsia="lt-LT"/>
              </w:rPr>
              <w:t> </w:t>
            </w:r>
            <w:r w:rsidRPr="00585E9D">
              <w:rPr>
                <w:rFonts w:eastAsia="Times New Roman" w:cs="Times New Roman"/>
                <w:color w:val="000000"/>
                <w:szCs w:val="24"/>
                <w:lang w:eastAsia="lt-LT"/>
              </w:rPr>
              <w:t>taikomos procedūros ir sąlygos, nustatytos Vizų kodekso II ir III skyriuose.“</w:t>
            </w:r>
          </w:p>
        </w:tc>
        <w:tc>
          <w:tcPr>
            <w:tcW w:w="7513" w:type="dxa"/>
          </w:tcPr>
          <w:p w14:paraId="27CE0139" w14:textId="1736EB1F" w:rsidR="00A57CD3" w:rsidRDefault="00A57CD3" w:rsidP="00313CFF">
            <w:pPr>
              <w:jc w:val="both"/>
              <w:rPr>
                <w:rFonts w:cs="Times New Roman"/>
                <w:b/>
                <w:szCs w:val="24"/>
              </w:rPr>
            </w:pPr>
            <w:r w:rsidRPr="00585E9D">
              <w:rPr>
                <w:b/>
              </w:rPr>
              <w:t xml:space="preserve">Neatsižvelgta. </w:t>
            </w:r>
            <w:r w:rsidRPr="00585E9D">
              <w:t>Nacionalinės vizos išdavimo procedūra yra reglamentuojama Vizų išdavimo tvarkos apraše. Pagal įstatymo „Dėl užsieniečių teisinės padėties“ 21 str. 9 d. dokumentų vizai gauti pateikimo, konsultacijų vykdymo, vizos išdavimo ar atsisakymo ją išduoti, jos pratęsimo &lt;...&gt; tvarką nustato vidaus reikalų ministras kartu su užsienio reikalų ministru. Siūloma nuostata, įvertinus taikytinas procedūras, gali būti įtraukta į minėtą tvarkos aprašą.</w:t>
            </w:r>
          </w:p>
        </w:tc>
      </w:tr>
      <w:tr w:rsidR="00A57CD3" w:rsidRPr="00451612" w14:paraId="74C669FB" w14:textId="77777777" w:rsidTr="008D0A8E">
        <w:tc>
          <w:tcPr>
            <w:tcW w:w="1696" w:type="dxa"/>
          </w:tcPr>
          <w:p w14:paraId="084EF4AC" w14:textId="77777777" w:rsidR="00A57CD3" w:rsidRPr="00585E9D" w:rsidRDefault="00A57CD3" w:rsidP="00A57CD3">
            <w:pPr>
              <w:pStyle w:val="Sraopastraipa"/>
              <w:tabs>
                <w:tab w:val="left" w:pos="0"/>
                <w:tab w:val="left" w:pos="959"/>
                <w:tab w:val="left" w:pos="1276"/>
                <w:tab w:val="left" w:pos="2877"/>
                <w:tab w:val="left" w:pos="3836"/>
                <w:tab w:val="left" w:pos="4795"/>
                <w:tab w:val="left" w:pos="5754"/>
                <w:tab w:val="left" w:pos="6713"/>
                <w:tab w:val="left" w:pos="7672"/>
                <w:tab w:val="left" w:pos="8631"/>
                <w:tab w:val="left" w:pos="9590"/>
              </w:tabs>
              <w:ind w:left="0"/>
              <w:jc w:val="both"/>
            </w:pPr>
          </w:p>
        </w:tc>
        <w:tc>
          <w:tcPr>
            <w:tcW w:w="5245" w:type="dxa"/>
          </w:tcPr>
          <w:p w14:paraId="01CDBE56" w14:textId="77777777" w:rsidR="00A57CD3" w:rsidRPr="00585E9D" w:rsidRDefault="00A57CD3" w:rsidP="00A57CD3">
            <w:pPr>
              <w:jc w:val="both"/>
              <w:rPr>
                <w:szCs w:val="24"/>
              </w:rPr>
            </w:pPr>
            <w:r w:rsidRPr="00585E9D">
              <w:rPr>
                <w:szCs w:val="24"/>
              </w:rPr>
              <w:t>7. Projekto 47 straipsniu keičiamo Lietuvos Respublikos įstatymo „Dėl užsieniečių teisinės padėties“ 133 straipsnio 1 dalį papildyti žodžiais „užsieniečiui – fiktyvios įmonės dalyviui, vadovui arba perkeliamam įmonės viduje užsieniečiui, taip pat nelegaliai dirbusiam užsieniečiui“ ir ją išdėstyti taip:</w:t>
            </w:r>
          </w:p>
          <w:p w14:paraId="580D2F1E" w14:textId="4D0B9274" w:rsidR="00A57CD3" w:rsidRPr="00585E9D" w:rsidRDefault="00A57CD3" w:rsidP="00A57CD3">
            <w:pPr>
              <w:jc w:val="both"/>
              <w:rPr>
                <w:rFonts w:eastAsia="Times New Roman" w:cs="Times New Roman"/>
                <w:color w:val="000000"/>
                <w:szCs w:val="24"/>
                <w:lang w:eastAsia="lt-LT"/>
              </w:rPr>
            </w:pPr>
            <w:r w:rsidRPr="00585E9D">
              <w:t xml:space="preserve">„1. Užsieniečiui, kuriam buvo atsisakyta išduoti vizą ar ji buvo panaikinta, ar atšaukta Šengeno viza arba kuriam buvo atsisakyta išduoti leidimą gyventi ar jis buvo panaikintas, užsieniečiui, kuris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užsieniečiui, kuris neturi teisės gyventi Lietuvos Respublikoje ir nevykdo įsipareigojimų muitinei ar nesumokėjo Lietuvos Respublikos įstatymų nustatyta tvarka skirtos (skirtų) baudos (baudų), </w:t>
            </w:r>
            <w:r w:rsidRPr="00585E9D">
              <w:rPr>
                <w:b/>
                <w:szCs w:val="24"/>
              </w:rPr>
              <w:t xml:space="preserve">užsieniečiui – fiktyvios įmonės dalyviui, vadovui arba perkeliamam įmonės viduje užsieniečiui, taip pat nelegaliai dirbusiam </w:t>
            </w:r>
            <w:r w:rsidRPr="00585E9D">
              <w:rPr>
                <w:b/>
                <w:szCs w:val="24"/>
              </w:rPr>
              <w:lastRenderedPageBreak/>
              <w:t>užsieniečiui</w:t>
            </w:r>
            <w:r w:rsidRPr="00585E9D">
              <w:t xml:space="preserve"> gali būti uždrausta atvykti į Lietuvos Respubliką ne ilgesniam kaip 5 metų laikotarpiui.“</w:t>
            </w:r>
          </w:p>
        </w:tc>
        <w:tc>
          <w:tcPr>
            <w:tcW w:w="7513" w:type="dxa"/>
          </w:tcPr>
          <w:p w14:paraId="683FDD53" w14:textId="77777777" w:rsidR="00A57CD3" w:rsidRPr="00585E9D" w:rsidRDefault="00A57CD3" w:rsidP="00A57CD3">
            <w:pPr>
              <w:jc w:val="both"/>
            </w:pPr>
            <w:r w:rsidRPr="00585E9D">
              <w:rPr>
                <w:b/>
              </w:rPr>
              <w:lastRenderedPageBreak/>
              <w:t xml:space="preserve">Neatsižvelgta. </w:t>
            </w:r>
            <w:r w:rsidRPr="00585E9D">
              <w:t>Nurodyti užsieniečiai patenka į tų užsieniečių grupę, kuriems yra panaikinama viza, leidimas gyventi. Todėl sektorinio požiūrio (pagal veiklos sritis) įtraukimas į straipsnį nėra tikslingas.</w:t>
            </w:r>
          </w:p>
          <w:p w14:paraId="0CD57A6D" w14:textId="77777777" w:rsidR="00A57CD3" w:rsidRPr="00585E9D" w:rsidRDefault="00A57CD3" w:rsidP="00A57CD3">
            <w:pPr>
              <w:jc w:val="both"/>
              <w:rPr>
                <w:b/>
              </w:rPr>
            </w:pPr>
          </w:p>
        </w:tc>
      </w:tr>
      <w:tr w:rsidR="00A57CD3" w:rsidRPr="00451612" w14:paraId="16BC6F4E" w14:textId="77777777" w:rsidTr="008D0A8E">
        <w:tc>
          <w:tcPr>
            <w:tcW w:w="1696" w:type="dxa"/>
          </w:tcPr>
          <w:p w14:paraId="2AC5EC34" w14:textId="5606D395" w:rsidR="00A57CD3" w:rsidRPr="00585E9D" w:rsidRDefault="00A57CD3" w:rsidP="00A57CD3">
            <w:pPr>
              <w:pStyle w:val="Sraopastraipa"/>
              <w:tabs>
                <w:tab w:val="left" w:pos="0"/>
                <w:tab w:val="left" w:pos="959"/>
                <w:tab w:val="left" w:pos="1276"/>
                <w:tab w:val="left" w:pos="2877"/>
                <w:tab w:val="left" w:pos="3836"/>
                <w:tab w:val="left" w:pos="4795"/>
                <w:tab w:val="left" w:pos="5754"/>
                <w:tab w:val="left" w:pos="6713"/>
                <w:tab w:val="left" w:pos="7672"/>
                <w:tab w:val="left" w:pos="8631"/>
                <w:tab w:val="left" w:pos="9590"/>
              </w:tabs>
              <w:ind w:left="0"/>
              <w:jc w:val="both"/>
            </w:pPr>
            <w:r w:rsidRPr="00585E9D">
              <w:t>Lietuvos Respublikos valstybės saugumo departamentas, 2018-05-04 raštas Nr. 18-3171</w:t>
            </w:r>
          </w:p>
        </w:tc>
        <w:tc>
          <w:tcPr>
            <w:tcW w:w="5245" w:type="dxa"/>
          </w:tcPr>
          <w:p w14:paraId="23099B87" w14:textId="61E62891" w:rsidR="00A57CD3" w:rsidRPr="00585E9D" w:rsidRDefault="00A57CD3" w:rsidP="00A57CD3">
            <w:pPr>
              <w:jc w:val="both"/>
              <w:rPr>
                <w:rFonts w:cs="Times New Roman"/>
                <w:color w:val="000000"/>
              </w:rPr>
            </w:pPr>
            <w:r w:rsidRPr="00585E9D">
              <w:rPr>
                <w:rFonts w:cs="Times New Roman"/>
                <w:color w:val="000000"/>
              </w:rPr>
              <w:t xml:space="preserve">Projekto aiškinamajame rašte pažymima, kad vienas iš Projekto uždavinių – atsisakyti kvietimų laikinai atvykti į Lietuvos Respubliką tvirtinimo kaip neefektyvaus ir perteklinio. Tačiau, VSD vertinimu, kvietimų tvirtinimo procedūra šiuo metu yra kaip viena iš procedūrų, leidžiančių įvertinti kvietėją ir jo ryšius su į Lietuvos Respubliką siekiančiu atvykti užsieniečiu. Atsisakius šio mechanizmo, abejotina, ar konsulas turės galimybių įvertinti visas svarbias aplinkybes, susijusias su kvietėju (t. y. ar kvietėjas netarpininkauja kitiems asmenims, norintiems, kad užsienietis laikinai atvyktų į Lietuvos Respubliką, ar neteikia </w:t>
            </w:r>
            <w:r w:rsidRPr="00585E9D">
              <w:rPr>
                <w:rFonts w:cs="Times New Roman"/>
                <w:color w:val="000000"/>
              </w:rPr>
              <w:t xml:space="preserve">tikrovės </w:t>
            </w:r>
            <w:r w:rsidR="008D00BE" w:rsidRPr="00585E9D">
              <w:rPr>
                <w:rFonts w:cs="Times New Roman"/>
                <w:color w:val="000000"/>
              </w:rPr>
              <w:t>neatitinkanči</w:t>
            </w:r>
            <w:r w:rsidR="008D00BE">
              <w:rPr>
                <w:rFonts w:cs="Times New Roman"/>
                <w:color w:val="000000"/>
              </w:rPr>
              <w:t>ų</w:t>
            </w:r>
            <w:r w:rsidR="008D00BE" w:rsidRPr="00585E9D">
              <w:rPr>
                <w:rFonts w:cs="Times New Roman"/>
                <w:color w:val="000000"/>
              </w:rPr>
              <w:t xml:space="preserve"> duomen</w:t>
            </w:r>
            <w:r w:rsidR="008D00BE">
              <w:rPr>
                <w:rFonts w:cs="Times New Roman"/>
                <w:color w:val="000000"/>
              </w:rPr>
              <w:t>ų</w:t>
            </w:r>
            <w:r w:rsidR="008D00BE" w:rsidRPr="00585E9D">
              <w:rPr>
                <w:rFonts w:cs="Times New Roman"/>
                <w:color w:val="000000"/>
              </w:rPr>
              <w:t xml:space="preserve"> </w:t>
            </w:r>
            <w:r w:rsidRPr="00585E9D">
              <w:rPr>
                <w:rFonts w:cs="Times New Roman"/>
                <w:color w:val="000000"/>
              </w:rPr>
              <w:t>– šios aplinkybės šiuo metu yra pagrindas netvirtinti kvietimo). Tuo tarpu su kompetentingomis institucijomis (VSD, Valstybės sienos apsaugos tarnyba prie Vidaus reikalų ministerijos, Policijos departamentu prie Vidaus reikalų ministerijos) konsultuojamasi ne dėl visų užsieniečių prašymų išduoti vizas, o tik dėl užsieniečių, atvykstančių iš</w:t>
            </w:r>
            <w:r w:rsidR="008D00BE">
              <w:rPr>
                <w:rFonts w:cs="Times New Roman"/>
                <w:color w:val="000000"/>
              </w:rPr>
              <w:t xml:space="preserve"> /</w:t>
            </w:r>
            <w:r w:rsidRPr="00585E9D">
              <w:rPr>
                <w:rFonts w:cs="Times New Roman"/>
                <w:color w:val="000000"/>
              </w:rPr>
              <w:t xml:space="preserve"> į konkrečius valstybių sąrašus įtrauktų valstybių. Tokiu būdu, atsisakius kvietimų tvirtinimo</w:t>
            </w:r>
            <w:r>
              <w:rPr>
                <w:rFonts w:cs="Times New Roman"/>
                <w:color w:val="000000"/>
              </w:rPr>
              <w:t>,</w:t>
            </w:r>
            <w:r w:rsidRPr="00585E9D">
              <w:rPr>
                <w:rFonts w:cs="Times New Roman"/>
                <w:color w:val="000000"/>
              </w:rPr>
              <w:t xml:space="preserve"> didelės dalies kvietėjų nevertintų nė viena kompetentinga institucija.  Todėl prieš atsisakant kvietimų tvirtinimo procedūros būtina įvertinti, ar yra pakankamai mechanizmų, padėsiančių užtikrinti, kad užsieniečius </w:t>
            </w:r>
            <w:r w:rsidRPr="00585E9D">
              <w:rPr>
                <w:rFonts w:cs="Times New Roman"/>
                <w:color w:val="000000"/>
              </w:rPr>
              <w:t>kviečiantys asmenys nepiktnaudžiauja šia teise ir neužsiima formaliu teisėtos imigracijos organizavimu.</w:t>
            </w:r>
          </w:p>
          <w:p w14:paraId="06035977" w14:textId="77777777" w:rsidR="00A57CD3" w:rsidRPr="00585E9D" w:rsidRDefault="00A57CD3" w:rsidP="00A57CD3">
            <w:pPr>
              <w:jc w:val="both"/>
              <w:rPr>
                <w:szCs w:val="24"/>
              </w:rPr>
            </w:pPr>
          </w:p>
        </w:tc>
        <w:tc>
          <w:tcPr>
            <w:tcW w:w="7513" w:type="dxa"/>
          </w:tcPr>
          <w:p w14:paraId="4A6ABEF1" w14:textId="55AF2F2C" w:rsidR="00A57CD3" w:rsidRPr="00585E9D" w:rsidRDefault="00A57CD3" w:rsidP="00A57CD3">
            <w:pPr>
              <w:pStyle w:val="bodytext"/>
              <w:ind w:firstLine="0"/>
              <w:rPr>
                <w:rFonts w:ascii="Times New Roman" w:hAnsi="Times New Roman"/>
                <w:bCs/>
                <w:color w:val="000000"/>
                <w:sz w:val="24"/>
                <w:szCs w:val="24"/>
                <w:lang w:val="lt-LT"/>
              </w:rPr>
            </w:pPr>
            <w:r w:rsidRPr="00585E9D">
              <w:rPr>
                <w:rFonts w:ascii="Times New Roman" w:hAnsi="Times New Roman"/>
                <w:b/>
                <w:sz w:val="24"/>
                <w:szCs w:val="24"/>
                <w:lang w:val="lt-LT"/>
              </w:rPr>
              <w:t xml:space="preserve">Neatsižvelgta. </w:t>
            </w:r>
            <w:r w:rsidRPr="00585E9D">
              <w:rPr>
                <w:rFonts w:ascii="Times New Roman" w:hAnsi="Times New Roman"/>
                <w:sz w:val="24"/>
                <w:szCs w:val="24"/>
                <w:lang w:val="lt-LT"/>
              </w:rPr>
              <w:t>Policijos migracijos</w:t>
            </w:r>
            <w:r w:rsidRPr="00585E9D">
              <w:rPr>
                <w:sz w:val="24"/>
                <w:szCs w:val="24"/>
                <w:lang w:val="lt-LT"/>
              </w:rPr>
              <w:t xml:space="preserve"> padalinių atliekama kvietimo tvirtinimo procedūra yra sukurianti </w:t>
            </w:r>
            <w:r w:rsidRPr="00585E9D">
              <w:rPr>
                <w:sz w:val="24"/>
                <w:szCs w:val="24"/>
                <w:lang w:val="lt-LT"/>
              </w:rPr>
              <w:t xml:space="preserve">papildomą </w:t>
            </w:r>
            <w:r w:rsidR="008D00BE" w:rsidRPr="00585E9D">
              <w:rPr>
                <w:sz w:val="24"/>
                <w:szCs w:val="24"/>
                <w:lang w:val="lt-LT"/>
              </w:rPr>
              <w:t>na</w:t>
            </w:r>
            <w:r w:rsidR="008D00BE">
              <w:rPr>
                <w:sz w:val="24"/>
                <w:szCs w:val="24"/>
                <w:lang w:val="lt-LT"/>
              </w:rPr>
              <w:t>š</w:t>
            </w:r>
            <w:r w:rsidR="008D00BE" w:rsidRPr="00585E9D">
              <w:rPr>
                <w:sz w:val="24"/>
                <w:szCs w:val="24"/>
                <w:lang w:val="lt-LT"/>
              </w:rPr>
              <w:t>tą</w:t>
            </w:r>
            <w:r w:rsidRPr="00585E9D">
              <w:rPr>
                <w:sz w:val="24"/>
                <w:szCs w:val="24"/>
                <w:lang w:val="lt-LT"/>
              </w:rPr>
              <w:t>, bet ne pridėtinę vertę. K</w:t>
            </w:r>
            <w:r w:rsidRPr="00585E9D">
              <w:rPr>
                <w:rFonts w:ascii="Times New Roman" w:hAnsi="Times New Roman"/>
                <w:bCs/>
                <w:color w:val="000000"/>
                <w:sz w:val="24"/>
                <w:szCs w:val="24"/>
                <w:lang w:val="lt-LT"/>
              </w:rPr>
              <w:t xml:space="preserve">vietimą gali (bet neprivalo) pateikti fizinis ar juridinis </w:t>
            </w:r>
            <w:r w:rsidRPr="00585E9D">
              <w:rPr>
                <w:rFonts w:ascii="Times New Roman" w:hAnsi="Times New Roman"/>
                <w:bCs/>
                <w:color w:val="000000"/>
                <w:sz w:val="24"/>
                <w:szCs w:val="24"/>
                <w:lang w:val="lt-LT"/>
              </w:rPr>
              <w:t>asmuo, pas kurį atvyksta užsienietis. Užsienietis, kuris kreipiasi Šengeno vizos į konsulinę įstaigą, gali (bet neprivalo) pateikti migracij</w:t>
            </w:r>
            <w:bookmarkStart w:id="0" w:name="_GoBack"/>
            <w:bookmarkEnd w:id="0"/>
            <w:r w:rsidRPr="00585E9D">
              <w:rPr>
                <w:rFonts w:ascii="Times New Roman" w:hAnsi="Times New Roman"/>
                <w:bCs/>
                <w:color w:val="000000"/>
                <w:sz w:val="24"/>
                <w:szCs w:val="24"/>
                <w:lang w:val="lt-LT"/>
              </w:rPr>
              <w:t xml:space="preserve">os tarnybos tvirtinamą kvietimą (Šengeno vizai gauti užsienietis vykimo tikslui ir keliamoms sąlygos pagrįsti gali pateikti kitus dokumentus; </w:t>
            </w:r>
            <w:r w:rsidRPr="00585E9D">
              <w:rPr>
                <w:rFonts w:ascii="Times New Roman" w:hAnsi="Times New Roman"/>
                <w:sz w:val="24"/>
                <w:szCs w:val="24"/>
                <w:lang w:val="lt-LT"/>
              </w:rPr>
              <w:t>juridinis asmuo, tarpininkaudamas dėl užsieniečio atvykimo, kvietimą gali išdėstyti ant juridinio asmens blanko ir kt.)</w:t>
            </w:r>
            <w:r w:rsidRPr="00585E9D">
              <w:rPr>
                <w:rFonts w:ascii="Times New Roman" w:hAnsi="Times New Roman"/>
                <w:bCs/>
                <w:color w:val="000000"/>
                <w:sz w:val="24"/>
                <w:szCs w:val="24"/>
                <w:lang w:val="lt-LT"/>
              </w:rPr>
              <w:t xml:space="preserve">. </w:t>
            </w:r>
          </w:p>
          <w:p w14:paraId="7C2BEF9A" w14:textId="77777777" w:rsidR="00A57CD3" w:rsidRPr="00585E9D" w:rsidRDefault="00A57CD3" w:rsidP="00A57CD3">
            <w:pPr>
              <w:pStyle w:val="bodytext"/>
              <w:ind w:firstLine="0"/>
              <w:rPr>
                <w:rFonts w:ascii="Times New Roman" w:hAnsi="Times New Roman"/>
                <w:sz w:val="24"/>
                <w:szCs w:val="24"/>
                <w:lang w:val="lt-LT"/>
              </w:rPr>
            </w:pPr>
            <w:r w:rsidRPr="00585E9D">
              <w:rPr>
                <w:rFonts w:ascii="Times New Roman" w:hAnsi="Times New Roman"/>
                <w:bCs/>
                <w:color w:val="000000"/>
                <w:sz w:val="24"/>
                <w:szCs w:val="24"/>
                <w:lang w:val="lt-LT"/>
              </w:rPr>
              <w:t>Kvietimas patvirtina kvietėjo įsipareigojimą pasirūpinti, kad į Lietuvą atvykstantis užsienietis būtų tinkamai apgyvendintas jo buvimo turint vizą laikotarpiu ir kad prireikus būtų padengtos užsieniečio grįžimo išlaidos. Tačiau tvirtinant kvietimą nėra vertinama kvietėjo finansinė padėtis, netikslingi tvirtinančios kvietimą migracijos tarnybos veiksmai tikrinant, ar būstas, kur užsienietis bus apgyvendintas</w:t>
            </w:r>
            <w:r>
              <w:rPr>
                <w:rFonts w:ascii="Times New Roman" w:hAnsi="Times New Roman"/>
                <w:bCs/>
                <w:color w:val="000000"/>
                <w:sz w:val="24"/>
                <w:szCs w:val="24"/>
                <w:lang w:val="lt-LT"/>
              </w:rPr>
              <w:t>,</w:t>
            </w:r>
            <w:r w:rsidRPr="00585E9D">
              <w:rPr>
                <w:rFonts w:ascii="Times New Roman" w:hAnsi="Times New Roman"/>
                <w:bCs/>
                <w:color w:val="000000"/>
                <w:sz w:val="24"/>
                <w:szCs w:val="24"/>
                <w:lang w:val="lt-LT"/>
              </w:rPr>
              <w:t xml:space="preserve"> priklauso kvietėjui, ar yra rezervuotas viešbutis užsieniečiui apgyvendinti (pvz., kvietėjas gali užsienietį apgyvendinti ir nuomojamame bute; rezervuotą viešbutį atšaukti; </w:t>
            </w:r>
            <w:r w:rsidRPr="00585E9D">
              <w:rPr>
                <w:rFonts w:ascii="Times New Roman" w:hAnsi="Times New Roman"/>
                <w:color w:val="000000"/>
                <w:sz w:val="24"/>
                <w:szCs w:val="24"/>
                <w:lang w:val="lt-LT"/>
              </w:rPr>
              <w:t>kvietimas gali būti pateiktas likus 6 mėn. iki numatomo užsieniečio atvykimo</w:t>
            </w:r>
            <w:r w:rsidRPr="00585E9D">
              <w:rPr>
                <w:rFonts w:ascii="Times New Roman" w:hAnsi="Times New Roman"/>
                <w:bCs/>
                <w:color w:val="000000"/>
                <w:sz w:val="24"/>
                <w:szCs w:val="24"/>
                <w:lang w:val="lt-LT"/>
              </w:rPr>
              <w:t>)</w:t>
            </w:r>
            <w:r>
              <w:rPr>
                <w:rFonts w:ascii="Times New Roman" w:hAnsi="Times New Roman"/>
                <w:bCs/>
                <w:color w:val="000000"/>
                <w:sz w:val="24"/>
                <w:szCs w:val="24"/>
                <w:lang w:val="lt-LT"/>
              </w:rPr>
              <w:t>,</w:t>
            </w:r>
            <w:r w:rsidRPr="00585E9D">
              <w:rPr>
                <w:rFonts w:ascii="Times New Roman" w:hAnsi="Times New Roman"/>
                <w:bCs/>
                <w:color w:val="000000"/>
                <w:sz w:val="24"/>
                <w:szCs w:val="24"/>
                <w:lang w:val="lt-LT"/>
              </w:rPr>
              <w:t xml:space="preserve"> bei dubliuojantys funkcijas, nes d</w:t>
            </w:r>
            <w:r w:rsidRPr="00585E9D">
              <w:rPr>
                <w:rFonts w:ascii="Times New Roman" w:hAnsi="Times New Roman"/>
                <w:sz w:val="24"/>
                <w:szCs w:val="24"/>
                <w:lang w:val="lt-LT"/>
              </w:rPr>
              <w:t xml:space="preserve">okumentai, pagrindžiantys atvykimo tikslą, nurodantys apgyvendinimo vietą, patvirtinantys, kad asmuo turi pakankamai pragyvenimo lėšų tiek numatomo buvimo laikotarpio trukmei, tiek grįžimui namo, pagal Vizų kodekso reikalavimus pateikiami </w:t>
            </w:r>
            <w:r w:rsidRPr="00585E9D">
              <w:rPr>
                <w:sz w:val="24"/>
                <w:szCs w:val="24"/>
                <w:lang w:val="lt-LT"/>
              </w:rPr>
              <w:t xml:space="preserve">konsulinės </w:t>
            </w:r>
            <w:r w:rsidRPr="00585E9D">
              <w:rPr>
                <w:rFonts w:ascii="Times New Roman" w:hAnsi="Times New Roman"/>
                <w:sz w:val="24"/>
                <w:szCs w:val="24"/>
                <w:lang w:val="lt-LT"/>
              </w:rPr>
              <w:t>įstaigos pareigūnui, kuris priima sprendimą dėl vizos išdavimo, prireikus konsultuodamasis su institucijomis Lietuvoje. Pagal Vizų išdavimo aprašo tvarkos reikalavimus k</w:t>
            </w:r>
            <w:r w:rsidRPr="00585E9D">
              <w:rPr>
                <w:rFonts w:ascii="Times New Roman" w:hAnsi="Times New Roman"/>
                <w:color w:val="000000"/>
                <w:sz w:val="24"/>
                <w:szCs w:val="24"/>
                <w:lang w:val="lt-LT"/>
              </w:rPr>
              <w:t xml:space="preserve">vietėjas prašymą patvirtinti kvietimą užpildo ir pateikia elektroniniu būdu prisijungęs prie Viešųjų paslaugų teikimo informacinės sistemos. Tą jis galėtų daryti ir netarpininkaujant migracijos tarnyboms. </w:t>
            </w:r>
          </w:p>
          <w:p w14:paraId="498BE426" w14:textId="3C93CECC" w:rsidR="00A57CD3" w:rsidRPr="00585E9D" w:rsidRDefault="00A57CD3" w:rsidP="00A57CD3">
            <w:pPr>
              <w:jc w:val="both"/>
              <w:rPr>
                <w:b/>
              </w:rPr>
            </w:pPr>
            <w:r w:rsidRPr="00585E9D">
              <w:rPr>
                <w:bCs/>
                <w:color w:val="000000"/>
                <w:szCs w:val="24"/>
              </w:rPr>
              <w:t>Pažymėtina, kad įstatymo projektu siūloma įtvirtinti kvietėjo įsipareigojimą atlyginti valstybės išlaidas, jeigu tokios būtų patirtos dėl užsieniečio apgyvendinimo, išlaikymo, gydymo ar užsieniečio išsiuntimo iš Lietuvos Respublikos, įpareigojimo išvykti iš Lietuvos Respublikos ar jo grąžinimo į užsienio valstybę.</w:t>
            </w:r>
          </w:p>
        </w:tc>
      </w:tr>
    </w:tbl>
    <w:p w14:paraId="20535D41" w14:textId="77777777" w:rsidR="00B76EDE" w:rsidRPr="00451612" w:rsidRDefault="00B76EDE" w:rsidP="00451612">
      <w:pPr>
        <w:spacing w:after="0" w:line="240" w:lineRule="auto"/>
        <w:rPr>
          <w:rFonts w:cs="Times New Roman"/>
          <w:szCs w:val="24"/>
        </w:rPr>
      </w:pPr>
    </w:p>
    <w:sectPr w:rsidR="00B76EDE" w:rsidRPr="00451612" w:rsidSect="00885183">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0AE10" w14:textId="77777777" w:rsidR="00990A92" w:rsidRDefault="00990A92" w:rsidP="00585E9D">
      <w:pPr>
        <w:spacing w:after="0" w:line="240" w:lineRule="auto"/>
      </w:pPr>
      <w:r>
        <w:separator/>
      </w:r>
    </w:p>
  </w:endnote>
  <w:endnote w:type="continuationSeparator" w:id="0">
    <w:p w14:paraId="1B7E3A31" w14:textId="77777777" w:rsidR="00990A92" w:rsidRDefault="00990A92" w:rsidP="0058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F">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EBB5C" w14:textId="77777777" w:rsidR="00990A92" w:rsidRDefault="00990A92" w:rsidP="00585E9D">
      <w:pPr>
        <w:spacing w:after="0" w:line="240" w:lineRule="auto"/>
      </w:pPr>
      <w:r>
        <w:separator/>
      </w:r>
    </w:p>
  </w:footnote>
  <w:footnote w:type="continuationSeparator" w:id="0">
    <w:p w14:paraId="55243AF6" w14:textId="77777777" w:rsidR="00990A92" w:rsidRDefault="00990A92" w:rsidP="00585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960384"/>
      <w:docPartObj>
        <w:docPartGallery w:val="Page Numbers (Top of Page)"/>
        <w:docPartUnique/>
      </w:docPartObj>
    </w:sdtPr>
    <w:sdtEndPr/>
    <w:sdtContent>
      <w:p w14:paraId="3ED3D9B8" w14:textId="77777777" w:rsidR="00C92177" w:rsidRDefault="00C92177">
        <w:pPr>
          <w:pStyle w:val="Antrats"/>
          <w:jc w:val="center"/>
        </w:pPr>
        <w:r>
          <w:fldChar w:fldCharType="begin"/>
        </w:r>
        <w:r>
          <w:instrText>PAGE   \* MERGEFORMAT</w:instrText>
        </w:r>
        <w:r>
          <w:fldChar w:fldCharType="separate"/>
        </w:r>
        <w:r w:rsidR="00885B7C">
          <w:rPr>
            <w:noProof/>
          </w:rPr>
          <w:t>6</w:t>
        </w:r>
        <w:r>
          <w:fldChar w:fldCharType="end"/>
        </w:r>
      </w:p>
    </w:sdtContent>
  </w:sdt>
  <w:p w14:paraId="6054462D" w14:textId="77777777" w:rsidR="00C92177" w:rsidRDefault="00C921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AAA"/>
    <w:multiLevelType w:val="hybridMultilevel"/>
    <w:tmpl w:val="9070B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66E5F"/>
    <w:multiLevelType w:val="multilevel"/>
    <w:tmpl w:val="F15AAAB0"/>
    <w:lvl w:ilvl="0">
      <w:start w:val="1"/>
      <w:numFmt w:val="upperRoman"/>
      <w:lvlText w:val="%1."/>
      <w:lvlJc w:val="left"/>
      <w:pPr>
        <w:ind w:left="1080" w:hanging="72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F1"/>
    <w:rsid w:val="00000968"/>
    <w:rsid w:val="00000E10"/>
    <w:rsid w:val="0000305D"/>
    <w:rsid w:val="00011299"/>
    <w:rsid w:val="000120A6"/>
    <w:rsid w:val="00012A74"/>
    <w:rsid w:val="00015C54"/>
    <w:rsid w:val="000169C5"/>
    <w:rsid w:val="00020EF7"/>
    <w:rsid w:val="000215AF"/>
    <w:rsid w:val="00021A3C"/>
    <w:rsid w:val="00022807"/>
    <w:rsid w:val="00022A41"/>
    <w:rsid w:val="000241C7"/>
    <w:rsid w:val="000255C6"/>
    <w:rsid w:val="00037A7E"/>
    <w:rsid w:val="000407F9"/>
    <w:rsid w:val="00044CCD"/>
    <w:rsid w:val="000452CE"/>
    <w:rsid w:val="00054095"/>
    <w:rsid w:val="000553AC"/>
    <w:rsid w:val="000627CC"/>
    <w:rsid w:val="000740AE"/>
    <w:rsid w:val="00081FCA"/>
    <w:rsid w:val="00085083"/>
    <w:rsid w:val="00094FDF"/>
    <w:rsid w:val="00095FE3"/>
    <w:rsid w:val="000A3ADC"/>
    <w:rsid w:val="000A433C"/>
    <w:rsid w:val="000B31C0"/>
    <w:rsid w:val="000C183A"/>
    <w:rsid w:val="000C718B"/>
    <w:rsid w:val="000D17B0"/>
    <w:rsid w:val="000D1D77"/>
    <w:rsid w:val="000D4402"/>
    <w:rsid w:val="000E322D"/>
    <w:rsid w:val="000E7315"/>
    <w:rsid w:val="00102EA8"/>
    <w:rsid w:val="00121808"/>
    <w:rsid w:val="00127F18"/>
    <w:rsid w:val="00134A23"/>
    <w:rsid w:val="00144938"/>
    <w:rsid w:val="00145722"/>
    <w:rsid w:val="00146451"/>
    <w:rsid w:val="0016095C"/>
    <w:rsid w:val="0016562C"/>
    <w:rsid w:val="00165D38"/>
    <w:rsid w:val="00167377"/>
    <w:rsid w:val="00182D92"/>
    <w:rsid w:val="00185E04"/>
    <w:rsid w:val="001901A8"/>
    <w:rsid w:val="00190482"/>
    <w:rsid w:val="00190A11"/>
    <w:rsid w:val="001925B7"/>
    <w:rsid w:val="001A1869"/>
    <w:rsid w:val="001A3A10"/>
    <w:rsid w:val="001A5370"/>
    <w:rsid w:val="001A71A0"/>
    <w:rsid w:val="001B66FF"/>
    <w:rsid w:val="001C08E4"/>
    <w:rsid w:val="001C0AC7"/>
    <w:rsid w:val="001C37BF"/>
    <w:rsid w:val="001C70F3"/>
    <w:rsid w:val="001D0D88"/>
    <w:rsid w:val="001D68AB"/>
    <w:rsid w:val="001E3CB5"/>
    <w:rsid w:val="001F3288"/>
    <w:rsid w:val="001F5E80"/>
    <w:rsid w:val="00200781"/>
    <w:rsid w:val="002033C7"/>
    <w:rsid w:val="00203860"/>
    <w:rsid w:val="00204D41"/>
    <w:rsid w:val="00205F28"/>
    <w:rsid w:val="00206058"/>
    <w:rsid w:val="00207117"/>
    <w:rsid w:val="00207A97"/>
    <w:rsid w:val="0021474F"/>
    <w:rsid w:val="00217C7D"/>
    <w:rsid w:val="0022458D"/>
    <w:rsid w:val="00226D8F"/>
    <w:rsid w:val="00234162"/>
    <w:rsid w:val="00245774"/>
    <w:rsid w:val="00256CD0"/>
    <w:rsid w:val="00260013"/>
    <w:rsid w:val="00270762"/>
    <w:rsid w:val="00280581"/>
    <w:rsid w:val="0028197E"/>
    <w:rsid w:val="002829C5"/>
    <w:rsid w:val="00285ED2"/>
    <w:rsid w:val="002867C0"/>
    <w:rsid w:val="002A1785"/>
    <w:rsid w:val="002A3293"/>
    <w:rsid w:val="002B136C"/>
    <w:rsid w:val="002B2CF2"/>
    <w:rsid w:val="002B30A4"/>
    <w:rsid w:val="002B5354"/>
    <w:rsid w:val="002C6712"/>
    <w:rsid w:val="002C6D55"/>
    <w:rsid w:val="002D2B40"/>
    <w:rsid w:val="002D3248"/>
    <w:rsid w:val="002F34B6"/>
    <w:rsid w:val="002F46A7"/>
    <w:rsid w:val="002F5C7A"/>
    <w:rsid w:val="00302D92"/>
    <w:rsid w:val="00304E64"/>
    <w:rsid w:val="00313CFF"/>
    <w:rsid w:val="003235C9"/>
    <w:rsid w:val="003351A6"/>
    <w:rsid w:val="003356E6"/>
    <w:rsid w:val="00337961"/>
    <w:rsid w:val="003437F3"/>
    <w:rsid w:val="0034455D"/>
    <w:rsid w:val="00344B45"/>
    <w:rsid w:val="00353916"/>
    <w:rsid w:val="00353B8D"/>
    <w:rsid w:val="0035553E"/>
    <w:rsid w:val="00356865"/>
    <w:rsid w:val="00362A6B"/>
    <w:rsid w:val="003645CC"/>
    <w:rsid w:val="003654D8"/>
    <w:rsid w:val="00367D83"/>
    <w:rsid w:val="00375BA1"/>
    <w:rsid w:val="00377060"/>
    <w:rsid w:val="00377F47"/>
    <w:rsid w:val="00394320"/>
    <w:rsid w:val="0039534F"/>
    <w:rsid w:val="003A3945"/>
    <w:rsid w:val="003F0FD2"/>
    <w:rsid w:val="003F1B01"/>
    <w:rsid w:val="0040694C"/>
    <w:rsid w:val="00413D7B"/>
    <w:rsid w:val="00416C41"/>
    <w:rsid w:val="004200E2"/>
    <w:rsid w:val="00423E08"/>
    <w:rsid w:val="00424257"/>
    <w:rsid w:val="004304C9"/>
    <w:rsid w:val="0043177B"/>
    <w:rsid w:val="004358EB"/>
    <w:rsid w:val="00436954"/>
    <w:rsid w:val="00437D23"/>
    <w:rsid w:val="00451010"/>
    <w:rsid w:val="00451612"/>
    <w:rsid w:val="0046146F"/>
    <w:rsid w:val="00465BAB"/>
    <w:rsid w:val="0046727B"/>
    <w:rsid w:val="0047164D"/>
    <w:rsid w:val="00471A8D"/>
    <w:rsid w:val="00472E43"/>
    <w:rsid w:val="0047388A"/>
    <w:rsid w:val="00482131"/>
    <w:rsid w:val="00492531"/>
    <w:rsid w:val="004A0FB9"/>
    <w:rsid w:val="004A559B"/>
    <w:rsid w:val="004B1176"/>
    <w:rsid w:val="004B1711"/>
    <w:rsid w:val="004C0FE3"/>
    <w:rsid w:val="004C19C2"/>
    <w:rsid w:val="004C6A93"/>
    <w:rsid w:val="004E0BF4"/>
    <w:rsid w:val="004E1957"/>
    <w:rsid w:val="004E2FF3"/>
    <w:rsid w:val="004E4309"/>
    <w:rsid w:val="004E5008"/>
    <w:rsid w:val="004E5F1C"/>
    <w:rsid w:val="004E7C51"/>
    <w:rsid w:val="004F02ED"/>
    <w:rsid w:val="004F229C"/>
    <w:rsid w:val="004F3184"/>
    <w:rsid w:val="004F6D5B"/>
    <w:rsid w:val="00502B9A"/>
    <w:rsid w:val="00502BD8"/>
    <w:rsid w:val="005104D8"/>
    <w:rsid w:val="00510713"/>
    <w:rsid w:val="00510DD4"/>
    <w:rsid w:val="00512C32"/>
    <w:rsid w:val="00524A8E"/>
    <w:rsid w:val="005274AE"/>
    <w:rsid w:val="00527CB4"/>
    <w:rsid w:val="005337EA"/>
    <w:rsid w:val="00533BA9"/>
    <w:rsid w:val="00546BB7"/>
    <w:rsid w:val="00557A31"/>
    <w:rsid w:val="0056473A"/>
    <w:rsid w:val="00564DDA"/>
    <w:rsid w:val="005659B0"/>
    <w:rsid w:val="00573EDC"/>
    <w:rsid w:val="00575042"/>
    <w:rsid w:val="00581C44"/>
    <w:rsid w:val="00585E9D"/>
    <w:rsid w:val="00594F83"/>
    <w:rsid w:val="005A1439"/>
    <w:rsid w:val="005A262D"/>
    <w:rsid w:val="005A6D46"/>
    <w:rsid w:val="005B231C"/>
    <w:rsid w:val="005B59F1"/>
    <w:rsid w:val="005B6B2F"/>
    <w:rsid w:val="005C1730"/>
    <w:rsid w:val="005D19FB"/>
    <w:rsid w:val="005E12BA"/>
    <w:rsid w:val="005E2C53"/>
    <w:rsid w:val="005E4253"/>
    <w:rsid w:val="005F730A"/>
    <w:rsid w:val="006103F1"/>
    <w:rsid w:val="00626AB2"/>
    <w:rsid w:val="00632E13"/>
    <w:rsid w:val="00640B43"/>
    <w:rsid w:val="00652EE6"/>
    <w:rsid w:val="006621A3"/>
    <w:rsid w:val="006655E1"/>
    <w:rsid w:val="00667322"/>
    <w:rsid w:val="006742F8"/>
    <w:rsid w:val="00675CCF"/>
    <w:rsid w:val="0067693A"/>
    <w:rsid w:val="006854F6"/>
    <w:rsid w:val="00685D42"/>
    <w:rsid w:val="00696A85"/>
    <w:rsid w:val="00696E20"/>
    <w:rsid w:val="006B0A08"/>
    <w:rsid w:val="006B3715"/>
    <w:rsid w:val="006B64E0"/>
    <w:rsid w:val="006B6D51"/>
    <w:rsid w:val="006D166A"/>
    <w:rsid w:val="006D4500"/>
    <w:rsid w:val="006D7796"/>
    <w:rsid w:val="006E466C"/>
    <w:rsid w:val="006E6C87"/>
    <w:rsid w:val="006F46A2"/>
    <w:rsid w:val="006F558E"/>
    <w:rsid w:val="007078AA"/>
    <w:rsid w:val="0071111B"/>
    <w:rsid w:val="00713CC6"/>
    <w:rsid w:val="00716DDB"/>
    <w:rsid w:val="007277B2"/>
    <w:rsid w:val="00731871"/>
    <w:rsid w:val="00734808"/>
    <w:rsid w:val="00734A36"/>
    <w:rsid w:val="007360FB"/>
    <w:rsid w:val="00736B00"/>
    <w:rsid w:val="007412A4"/>
    <w:rsid w:val="00770F2F"/>
    <w:rsid w:val="00771351"/>
    <w:rsid w:val="00772F3E"/>
    <w:rsid w:val="007733D0"/>
    <w:rsid w:val="00781550"/>
    <w:rsid w:val="00783BAD"/>
    <w:rsid w:val="00785D75"/>
    <w:rsid w:val="00795221"/>
    <w:rsid w:val="007966A6"/>
    <w:rsid w:val="00797678"/>
    <w:rsid w:val="00797683"/>
    <w:rsid w:val="007A7489"/>
    <w:rsid w:val="007D5F73"/>
    <w:rsid w:val="007D67AF"/>
    <w:rsid w:val="007D7BC9"/>
    <w:rsid w:val="007E3B12"/>
    <w:rsid w:val="007E7C4A"/>
    <w:rsid w:val="007F2DC1"/>
    <w:rsid w:val="007F5BA6"/>
    <w:rsid w:val="007F725F"/>
    <w:rsid w:val="007F7B51"/>
    <w:rsid w:val="008044B8"/>
    <w:rsid w:val="00813448"/>
    <w:rsid w:val="00814C04"/>
    <w:rsid w:val="00816F96"/>
    <w:rsid w:val="00821A35"/>
    <w:rsid w:val="008307E6"/>
    <w:rsid w:val="008327CA"/>
    <w:rsid w:val="00835907"/>
    <w:rsid w:val="00844F9E"/>
    <w:rsid w:val="008466E7"/>
    <w:rsid w:val="008519EC"/>
    <w:rsid w:val="00853C64"/>
    <w:rsid w:val="008607CB"/>
    <w:rsid w:val="00860CB6"/>
    <w:rsid w:val="00861AA9"/>
    <w:rsid w:val="00867358"/>
    <w:rsid w:val="00885183"/>
    <w:rsid w:val="00885B7C"/>
    <w:rsid w:val="00885E32"/>
    <w:rsid w:val="008915F3"/>
    <w:rsid w:val="008938F0"/>
    <w:rsid w:val="0089798E"/>
    <w:rsid w:val="008B2BF0"/>
    <w:rsid w:val="008C1EC4"/>
    <w:rsid w:val="008C36E9"/>
    <w:rsid w:val="008C3A8A"/>
    <w:rsid w:val="008C7C11"/>
    <w:rsid w:val="008D00BE"/>
    <w:rsid w:val="008D0A8E"/>
    <w:rsid w:val="008D26E9"/>
    <w:rsid w:val="008D305F"/>
    <w:rsid w:val="008E28E2"/>
    <w:rsid w:val="008E6EC5"/>
    <w:rsid w:val="008E782B"/>
    <w:rsid w:val="008F1ED9"/>
    <w:rsid w:val="008F2C59"/>
    <w:rsid w:val="009021F0"/>
    <w:rsid w:val="00906086"/>
    <w:rsid w:val="00941DFA"/>
    <w:rsid w:val="00943C65"/>
    <w:rsid w:val="00943E9E"/>
    <w:rsid w:val="00946C58"/>
    <w:rsid w:val="00950443"/>
    <w:rsid w:val="009535A3"/>
    <w:rsid w:val="009551BC"/>
    <w:rsid w:val="009577F2"/>
    <w:rsid w:val="009608E0"/>
    <w:rsid w:val="00967A56"/>
    <w:rsid w:val="009725C3"/>
    <w:rsid w:val="009726C0"/>
    <w:rsid w:val="00973317"/>
    <w:rsid w:val="009733AC"/>
    <w:rsid w:val="00973DFB"/>
    <w:rsid w:val="00976299"/>
    <w:rsid w:val="00990A92"/>
    <w:rsid w:val="00992231"/>
    <w:rsid w:val="009B1C7F"/>
    <w:rsid w:val="009B3898"/>
    <w:rsid w:val="009C4D3A"/>
    <w:rsid w:val="009C4F71"/>
    <w:rsid w:val="009C689C"/>
    <w:rsid w:val="009D3140"/>
    <w:rsid w:val="009D7618"/>
    <w:rsid w:val="009E0E03"/>
    <w:rsid w:val="009E11D5"/>
    <w:rsid w:val="009E1885"/>
    <w:rsid w:val="009E655A"/>
    <w:rsid w:val="009E6F97"/>
    <w:rsid w:val="009F424B"/>
    <w:rsid w:val="009F4CCA"/>
    <w:rsid w:val="009F5398"/>
    <w:rsid w:val="009F7E5A"/>
    <w:rsid w:val="00A0044A"/>
    <w:rsid w:val="00A0274B"/>
    <w:rsid w:val="00A0534E"/>
    <w:rsid w:val="00A11703"/>
    <w:rsid w:val="00A150F9"/>
    <w:rsid w:val="00A256F4"/>
    <w:rsid w:val="00A32B9D"/>
    <w:rsid w:val="00A33E92"/>
    <w:rsid w:val="00A359ED"/>
    <w:rsid w:val="00A43756"/>
    <w:rsid w:val="00A44A98"/>
    <w:rsid w:val="00A515C8"/>
    <w:rsid w:val="00A538DE"/>
    <w:rsid w:val="00A57CD3"/>
    <w:rsid w:val="00A63474"/>
    <w:rsid w:val="00A65A57"/>
    <w:rsid w:val="00A73D17"/>
    <w:rsid w:val="00A805E4"/>
    <w:rsid w:val="00A83945"/>
    <w:rsid w:val="00A83A43"/>
    <w:rsid w:val="00A9261F"/>
    <w:rsid w:val="00A957F7"/>
    <w:rsid w:val="00A95C8E"/>
    <w:rsid w:val="00A96767"/>
    <w:rsid w:val="00A97D2A"/>
    <w:rsid w:val="00A97FC2"/>
    <w:rsid w:val="00AA7A56"/>
    <w:rsid w:val="00AB07F1"/>
    <w:rsid w:val="00AC1450"/>
    <w:rsid w:val="00AE2309"/>
    <w:rsid w:val="00AE4D81"/>
    <w:rsid w:val="00AF1042"/>
    <w:rsid w:val="00AF3342"/>
    <w:rsid w:val="00AF4049"/>
    <w:rsid w:val="00AF4D3C"/>
    <w:rsid w:val="00B02AC2"/>
    <w:rsid w:val="00B04B46"/>
    <w:rsid w:val="00B10F40"/>
    <w:rsid w:val="00B1115C"/>
    <w:rsid w:val="00B14F3F"/>
    <w:rsid w:val="00B201B2"/>
    <w:rsid w:val="00B21EA1"/>
    <w:rsid w:val="00B272E4"/>
    <w:rsid w:val="00B32A20"/>
    <w:rsid w:val="00B35960"/>
    <w:rsid w:val="00B3687E"/>
    <w:rsid w:val="00B43F2C"/>
    <w:rsid w:val="00B53921"/>
    <w:rsid w:val="00B6026C"/>
    <w:rsid w:val="00B64456"/>
    <w:rsid w:val="00B71314"/>
    <w:rsid w:val="00B76EDE"/>
    <w:rsid w:val="00B77678"/>
    <w:rsid w:val="00B86A13"/>
    <w:rsid w:val="00B95214"/>
    <w:rsid w:val="00B96681"/>
    <w:rsid w:val="00B97B6D"/>
    <w:rsid w:val="00BA0CF4"/>
    <w:rsid w:val="00BA39E6"/>
    <w:rsid w:val="00BA52AB"/>
    <w:rsid w:val="00BB46F2"/>
    <w:rsid w:val="00BC13E6"/>
    <w:rsid w:val="00BD1913"/>
    <w:rsid w:val="00BE119B"/>
    <w:rsid w:val="00BE2DEF"/>
    <w:rsid w:val="00BE3B2A"/>
    <w:rsid w:val="00BE5F3C"/>
    <w:rsid w:val="00C10A41"/>
    <w:rsid w:val="00C1190B"/>
    <w:rsid w:val="00C126B9"/>
    <w:rsid w:val="00C2511F"/>
    <w:rsid w:val="00C3354D"/>
    <w:rsid w:val="00C424F0"/>
    <w:rsid w:val="00C45DE9"/>
    <w:rsid w:val="00C462F0"/>
    <w:rsid w:val="00C46428"/>
    <w:rsid w:val="00C50C7E"/>
    <w:rsid w:val="00C536DA"/>
    <w:rsid w:val="00C65DA3"/>
    <w:rsid w:val="00C7244B"/>
    <w:rsid w:val="00C7338F"/>
    <w:rsid w:val="00C740B7"/>
    <w:rsid w:val="00C75363"/>
    <w:rsid w:val="00C90E74"/>
    <w:rsid w:val="00C92177"/>
    <w:rsid w:val="00C96A87"/>
    <w:rsid w:val="00CA6243"/>
    <w:rsid w:val="00CA7F23"/>
    <w:rsid w:val="00CC5090"/>
    <w:rsid w:val="00CC7CC2"/>
    <w:rsid w:val="00CD0146"/>
    <w:rsid w:val="00CD31E8"/>
    <w:rsid w:val="00CE5349"/>
    <w:rsid w:val="00CF357C"/>
    <w:rsid w:val="00CF3735"/>
    <w:rsid w:val="00CF405F"/>
    <w:rsid w:val="00CF7336"/>
    <w:rsid w:val="00D01B13"/>
    <w:rsid w:val="00D038B3"/>
    <w:rsid w:val="00D07FC7"/>
    <w:rsid w:val="00D116CA"/>
    <w:rsid w:val="00D12C27"/>
    <w:rsid w:val="00D2138F"/>
    <w:rsid w:val="00D231BB"/>
    <w:rsid w:val="00D3167C"/>
    <w:rsid w:val="00D33D0C"/>
    <w:rsid w:val="00D34044"/>
    <w:rsid w:val="00D4140E"/>
    <w:rsid w:val="00D41AA8"/>
    <w:rsid w:val="00D53F46"/>
    <w:rsid w:val="00D5788F"/>
    <w:rsid w:val="00D60BAE"/>
    <w:rsid w:val="00D669C6"/>
    <w:rsid w:val="00D74C64"/>
    <w:rsid w:val="00D751B4"/>
    <w:rsid w:val="00D77C00"/>
    <w:rsid w:val="00D80944"/>
    <w:rsid w:val="00D94F92"/>
    <w:rsid w:val="00D952F6"/>
    <w:rsid w:val="00DA1326"/>
    <w:rsid w:val="00DA2467"/>
    <w:rsid w:val="00DA4FEC"/>
    <w:rsid w:val="00DA61AC"/>
    <w:rsid w:val="00DB151C"/>
    <w:rsid w:val="00DB15DF"/>
    <w:rsid w:val="00DB3319"/>
    <w:rsid w:val="00DB5449"/>
    <w:rsid w:val="00DB6413"/>
    <w:rsid w:val="00DB7AF2"/>
    <w:rsid w:val="00DC4BC1"/>
    <w:rsid w:val="00DC67B3"/>
    <w:rsid w:val="00DC7459"/>
    <w:rsid w:val="00DD1924"/>
    <w:rsid w:val="00DF0BD3"/>
    <w:rsid w:val="00E14F97"/>
    <w:rsid w:val="00E15C6B"/>
    <w:rsid w:val="00E170E4"/>
    <w:rsid w:val="00E21AEC"/>
    <w:rsid w:val="00E229DA"/>
    <w:rsid w:val="00E33B28"/>
    <w:rsid w:val="00E3617D"/>
    <w:rsid w:val="00E37632"/>
    <w:rsid w:val="00E42A4D"/>
    <w:rsid w:val="00E6069C"/>
    <w:rsid w:val="00E610A1"/>
    <w:rsid w:val="00E66789"/>
    <w:rsid w:val="00E67717"/>
    <w:rsid w:val="00E7243C"/>
    <w:rsid w:val="00E7402C"/>
    <w:rsid w:val="00E9322D"/>
    <w:rsid w:val="00E95DED"/>
    <w:rsid w:val="00EA49FC"/>
    <w:rsid w:val="00EA7EDD"/>
    <w:rsid w:val="00EB49DE"/>
    <w:rsid w:val="00EB4C4D"/>
    <w:rsid w:val="00EB5DD5"/>
    <w:rsid w:val="00ED285B"/>
    <w:rsid w:val="00ED73E8"/>
    <w:rsid w:val="00EE0314"/>
    <w:rsid w:val="00EE6F94"/>
    <w:rsid w:val="00EF2635"/>
    <w:rsid w:val="00F01BAE"/>
    <w:rsid w:val="00F20012"/>
    <w:rsid w:val="00F2126F"/>
    <w:rsid w:val="00F24B16"/>
    <w:rsid w:val="00F25E51"/>
    <w:rsid w:val="00F26481"/>
    <w:rsid w:val="00F37F3E"/>
    <w:rsid w:val="00F50F80"/>
    <w:rsid w:val="00F52099"/>
    <w:rsid w:val="00F53EC2"/>
    <w:rsid w:val="00F56D06"/>
    <w:rsid w:val="00F66397"/>
    <w:rsid w:val="00F6648B"/>
    <w:rsid w:val="00F77BB3"/>
    <w:rsid w:val="00F81EB5"/>
    <w:rsid w:val="00F85792"/>
    <w:rsid w:val="00F936EF"/>
    <w:rsid w:val="00FA35B0"/>
    <w:rsid w:val="00FA3DD2"/>
    <w:rsid w:val="00FA4021"/>
    <w:rsid w:val="00FA4B6F"/>
    <w:rsid w:val="00FB359D"/>
    <w:rsid w:val="00FC02F7"/>
    <w:rsid w:val="00FC0308"/>
    <w:rsid w:val="00FC42F1"/>
    <w:rsid w:val="00FD1DF2"/>
    <w:rsid w:val="00FE230C"/>
    <w:rsid w:val="00FE2D3C"/>
    <w:rsid w:val="00FF1753"/>
    <w:rsid w:val="00FF2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D1B6"/>
  <w15:docId w15:val="{817C98A2-3FC8-4779-B14A-37C24B33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7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126F"/>
    <w:pPr>
      <w:spacing w:after="0" w:line="240" w:lineRule="auto"/>
      <w:ind w:left="720"/>
      <w:contextualSpacing/>
    </w:pPr>
    <w:rPr>
      <w:rFonts w:eastAsia="Times New Roman" w:cs="Times New Roman"/>
      <w:szCs w:val="24"/>
    </w:rPr>
  </w:style>
  <w:style w:type="paragraph" w:styleId="Pagrindiniotekstotrauka">
    <w:name w:val="Body Text Indent"/>
    <w:basedOn w:val="prastasis"/>
    <w:link w:val="PagrindiniotekstotraukaDiagrama"/>
    <w:uiPriority w:val="99"/>
    <w:rsid w:val="00E14F97"/>
    <w:pPr>
      <w:spacing w:after="0" w:line="240" w:lineRule="auto"/>
      <w:ind w:firstLine="709"/>
      <w:jc w:val="both"/>
    </w:pPr>
    <w:rPr>
      <w:rFonts w:eastAsia="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E14F97"/>
    <w:rPr>
      <w:rFonts w:eastAsia="Times New Roman" w:cs="Times New Roman"/>
      <w:szCs w:val="20"/>
      <w:lang w:eastAsia="lt-LT"/>
    </w:rPr>
  </w:style>
  <w:style w:type="character" w:styleId="Komentaronuoroda">
    <w:name w:val="annotation reference"/>
    <w:basedOn w:val="Numatytasispastraiposriftas"/>
    <w:uiPriority w:val="99"/>
    <w:unhideWhenUsed/>
    <w:rsid w:val="00CA6243"/>
    <w:rPr>
      <w:sz w:val="16"/>
      <w:szCs w:val="16"/>
    </w:rPr>
  </w:style>
  <w:style w:type="paragraph" w:styleId="Komentarotekstas">
    <w:name w:val="annotation text"/>
    <w:basedOn w:val="prastasis"/>
    <w:link w:val="KomentarotekstasDiagrama"/>
    <w:uiPriority w:val="99"/>
    <w:unhideWhenUsed/>
    <w:rsid w:val="00CA6243"/>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CA6243"/>
    <w:rPr>
      <w:rFonts w:eastAsia="Times New Roman" w:cs="Times New Roman"/>
      <w:sz w:val="20"/>
      <w:szCs w:val="20"/>
    </w:rPr>
  </w:style>
  <w:style w:type="paragraph" w:styleId="Debesliotekstas">
    <w:name w:val="Balloon Text"/>
    <w:basedOn w:val="prastasis"/>
    <w:link w:val="DebesliotekstasDiagrama"/>
    <w:uiPriority w:val="99"/>
    <w:semiHidden/>
    <w:unhideWhenUsed/>
    <w:rsid w:val="00CA62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24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D751B4"/>
    <w:pPr>
      <w:spacing w:after="160"/>
    </w:pPr>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D751B4"/>
    <w:rPr>
      <w:rFonts w:eastAsia="Times New Roman" w:cs="Times New Roman"/>
      <w:b/>
      <w:bCs/>
      <w:sz w:val="20"/>
      <w:szCs w:val="20"/>
    </w:rPr>
  </w:style>
  <w:style w:type="paragraph" w:styleId="prastasiniatinklio">
    <w:name w:val="Normal (Web)"/>
    <w:basedOn w:val="prastasis"/>
    <w:rsid w:val="00145722"/>
    <w:pPr>
      <w:spacing w:before="100" w:beforeAutospacing="1" w:after="100" w:afterAutospacing="1" w:line="240" w:lineRule="auto"/>
    </w:pPr>
    <w:rPr>
      <w:rFonts w:ascii="Arial" w:eastAsia="Times New Roman" w:hAnsi="Arial" w:cs="Arial"/>
      <w:color w:val="442305"/>
      <w:sz w:val="20"/>
      <w:szCs w:val="20"/>
      <w:lang w:eastAsia="lt-LT"/>
    </w:rPr>
  </w:style>
  <w:style w:type="paragraph" w:customStyle="1" w:styleId="bodytext">
    <w:name w:val="bodytext"/>
    <w:basedOn w:val="prastasis"/>
    <w:rsid w:val="00044CCD"/>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585E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E9D"/>
  </w:style>
  <w:style w:type="paragraph" w:styleId="Porat">
    <w:name w:val="footer"/>
    <w:basedOn w:val="prastasis"/>
    <w:link w:val="PoratDiagrama"/>
    <w:uiPriority w:val="99"/>
    <w:unhideWhenUsed/>
    <w:rsid w:val="00585E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5E9D"/>
  </w:style>
  <w:style w:type="paragraph" w:styleId="Betarp">
    <w:name w:val="No Spacing"/>
    <w:uiPriority w:val="1"/>
    <w:qFormat/>
    <w:rsid w:val="00F85792"/>
    <w:pPr>
      <w:spacing w:after="0" w:line="240" w:lineRule="auto"/>
    </w:pPr>
    <w:rPr>
      <w:rFonts w:asciiTheme="minorHAnsi" w:hAnsiTheme="minorHAnsi"/>
      <w:sz w:val="22"/>
    </w:rPr>
  </w:style>
  <w:style w:type="character" w:customStyle="1" w:styleId="bkg-highlight-red1">
    <w:name w:val="bkg-highlight-red1"/>
    <w:basedOn w:val="Numatytasispastraiposriftas"/>
    <w:rsid w:val="00424257"/>
    <w:rPr>
      <w:shd w:val="clear" w:color="auto" w:fill="FBCCA2"/>
    </w:rPr>
  </w:style>
  <w:style w:type="paragraph" w:customStyle="1" w:styleId="Standard">
    <w:name w:val="Standard"/>
    <w:rsid w:val="00A0274B"/>
    <w:pPr>
      <w:suppressAutoHyphens/>
      <w:autoSpaceDN w:val="0"/>
      <w:textAlignment w:val="baseline"/>
    </w:pPr>
    <w:rPr>
      <w:rFonts w:eastAsia="Calibri" w:cs="F"/>
    </w:rPr>
  </w:style>
  <w:style w:type="paragraph" w:customStyle="1" w:styleId="Textbody">
    <w:name w:val="Text body"/>
    <w:basedOn w:val="Standard"/>
    <w:rsid w:val="00A0274B"/>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84216">
      <w:bodyDiv w:val="1"/>
      <w:marLeft w:val="0"/>
      <w:marRight w:val="0"/>
      <w:marTop w:val="0"/>
      <w:marBottom w:val="0"/>
      <w:divBdr>
        <w:top w:val="none" w:sz="0" w:space="0" w:color="auto"/>
        <w:left w:val="none" w:sz="0" w:space="0" w:color="auto"/>
        <w:bottom w:val="none" w:sz="0" w:space="0" w:color="auto"/>
        <w:right w:val="none" w:sz="0" w:space="0" w:color="auto"/>
      </w:divBdr>
    </w:div>
    <w:div w:id="293609173">
      <w:bodyDiv w:val="1"/>
      <w:marLeft w:val="0"/>
      <w:marRight w:val="0"/>
      <w:marTop w:val="0"/>
      <w:marBottom w:val="0"/>
      <w:divBdr>
        <w:top w:val="none" w:sz="0" w:space="0" w:color="auto"/>
        <w:left w:val="none" w:sz="0" w:space="0" w:color="auto"/>
        <w:bottom w:val="none" w:sz="0" w:space="0" w:color="auto"/>
        <w:right w:val="none" w:sz="0" w:space="0" w:color="auto"/>
      </w:divBdr>
    </w:div>
    <w:div w:id="314453749">
      <w:bodyDiv w:val="1"/>
      <w:marLeft w:val="0"/>
      <w:marRight w:val="0"/>
      <w:marTop w:val="0"/>
      <w:marBottom w:val="0"/>
      <w:divBdr>
        <w:top w:val="none" w:sz="0" w:space="0" w:color="auto"/>
        <w:left w:val="none" w:sz="0" w:space="0" w:color="auto"/>
        <w:bottom w:val="none" w:sz="0" w:space="0" w:color="auto"/>
        <w:right w:val="none" w:sz="0" w:space="0" w:color="auto"/>
      </w:divBdr>
    </w:div>
    <w:div w:id="1367606830">
      <w:bodyDiv w:val="1"/>
      <w:marLeft w:val="0"/>
      <w:marRight w:val="0"/>
      <w:marTop w:val="0"/>
      <w:marBottom w:val="0"/>
      <w:divBdr>
        <w:top w:val="none" w:sz="0" w:space="0" w:color="auto"/>
        <w:left w:val="none" w:sz="0" w:space="0" w:color="auto"/>
        <w:bottom w:val="none" w:sz="0" w:space="0" w:color="auto"/>
        <w:right w:val="none" w:sz="0" w:space="0" w:color="auto"/>
      </w:divBdr>
      <w:divsChild>
        <w:div w:id="2120223573">
          <w:marLeft w:val="0"/>
          <w:marRight w:val="0"/>
          <w:marTop w:val="0"/>
          <w:marBottom w:val="0"/>
          <w:divBdr>
            <w:top w:val="none" w:sz="0" w:space="0" w:color="auto"/>
            <w:left w:val="none" w:sz="0" w:space="0" w:color="auto"/>
            <w:bottom w:val="none" w:sz="0" w:space="0" w:color="auto"/>
            <w:right w:val="none" w:sz="0" w:space="0" w:color="auto"/>
          </w:divBdr>
          <w:divsChild>
            <w:div w:id="468862627">
              <w:marLeft w:val="0"/>
              <w:marRight w:val="0"/>
              <w:marTop w:val="0"/>
              <w:marBottom w:val="0"/>
              <w:divBdr>
                <w:top w:val="none" w:sz="0" w:space="0" w:color="auto"/>
                <w:left w:val="none" w:sz="0" w:space="0" w:color="auto"/>
                <w:bottom w:val="none" w:sz="0" w:space="0" w:color="auto"/>
                <w:right w:val="none" w:sz="0" w:space="0" w:color="auto"/>
              </w:divBdr>
              <w:divsChild>
                <w:div w:id="1706129971">
                  <w:marLeft w:val="0"/>
                  <w:marRight w:val="0"/>
                  <w:marTop w:val="0"/>
                  <w:marBottom w:val="0"/>
                  <w:divBdr>
                    <w:top w:val="none" w:sz="0" w:space="0" w:color="auto"/>
                    <w:left w:val="none" w:sz="0" w:space="0" w:color="auto"/>
                    <w:bottom w:val="none" w:sz="0" w:space="0" w:color="auto"/>
                    <w:right w:val="none" w:sz="0" w:space="0" w:color="auto"/>
                  </w:divBdr>
                  <w:divsChild>
                    <w:div w:id="320082648">
                      <w:marLeft w:val="0"/>
                      <w:marRight w:val="0"/>
                      <w:marTop w:val="0"/>
                      <w:marBottom w:val="0"/>
                      <w:divBdr>
                        <w:top w:val="none" w:sz="0" w:space="0" w:color="auto"/>
                        <w:left w:val="none" w:sz="0" w:space="0" w:color="auto"/>
                        <w:bottom w:val="none" w:sz="0" w:space="0" w:color="auto"/>
                        <w:right w:val="none" w:sz="0" w:space="0" w:color="auto"/>
                      </w:divBdr>
                      <w:divsChild>
                        <w:div w:id="197159577">
                          <w:marLeft w:val="0"/>
                          <w:marRight w:val="0"/>
                          <w:marTop w:val="0"/>
                          <w:marBottom w:val="0"/>
                          <w:divBdr>
                            <w:top w:val="none" w:sz="0" w:space="0" w:color="auto"/>
                            <w:left w:val="none" w:sz="0" w:space="0" w:color="auto"/>
                            <w:bottom w:val="none" w:sz="0" w:space="0" w:color="auto"/>
                            <w:right w:val="none" w:sz="0" w:space="0" w:color="auto"/>
                          </w:divBdr>
                          <w:divsChild>
                            <w:div w:id="2059739951">
                              <w:marLeft w:val="0"/>
                              <w:marRight w:val="0"/>
                              <w:marTop w:val="0"/>
                              <w:marBottom w:val="0"/>
                              <w:divBdr>
                                <w:top w:val="none" w:sz="0" w:space="0" w:color="auto"/>
                                <w:left w:val="none" w:sz="0" w:space="0" w:color="auto"/>
                                <w:bottom w:val="none" w:sz="0" w:space="0" w:color="auto"/>
                                <w:right w:val="none" w:sz="0" w:space="0" w:color="auto"/>
                              </w:divBdr>
                            </w:div>
                            <w:div w:id="11870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5830">
      <w:bodyDiv w:val="1"/>
      <w:marLeft w:val="0"/>
      <w:marRight w:val="0"/>
      <w:marTop w:val="0"/>
      <w:marBottom w:val="0"/>
      <w:divBdr>
        <w:top w:val="none" w:sz="0" w:space="0" w:color="auto"/>
        <w:left w:val="none" w:sz="0" w:space="0" w:color="auto"/>
        <w:bottom w:val="none" w:sz="0" w:space="0" w:color="auto"/>
        <w:right w:val="none" w:sz="0" w:space="0" w:color="auto"/>
      </w:divBdr>
    </w:div>
    <w:div w:id="1623221496">
      <w:bodyDiv w:val="1"/>
      <w:marLeft w:val="0"/>
      <w:marRight w:val="0"/>
      <w:marTop w:val="0"/>
      <w:marBottom w:val="0"/>
      <w:divBdr>
        <w:top w:val="none" w:sz="0" w:space="0" w:color="auto"/>
        <w:left w:val="none" w:sz="0" w:space="0" w:color="auto"/>
        <w:bottom w:val="none" w:sz="0" w:space="0" w:color="auto"/>
        <w:right w:val="none" w:sz="0" w:space="0" w:color="auto"/>
      </w:divBdr>
      <w:divsChild>
        <w:div w:id="1123308135">
          <w:marLeft w:val="0"/>
          <w:marRight w:val="0"/>
          <w:marTop w:val="0"/>
          <w:marBottom w:val="0"/>
          <w:divBdr>
            <w:top w:val="none" w:sz="0" w:space="0" w:color="auto"/>
            <w:left w:val="none" w:sz="0" w:space="0" w:color="auto"/>
            <w:bottom w:val="none" w:sz="0" w:space="0" w:color="auto"/>
            <w:right w:val="none" w:sz="0" w:space="0" w:color="auto"/>
          </w:divBdr>
          <w:divsChild>
            <w:div w:id="146434641">
              <w:marLeft w:val="0"/>
              <w:marRight w:val="0"/>
              <w:marTop w:val="0"/>
              <w:marBottom w:val="0"/>
              <w:divBdr>
                <w:top w:val="none" w:sz="0" w:space="0" w:color="auto"/>
                <w:left w:val="none" w:sz="0" w:space="0" w:color="auto"/>
                <w:bottom w:val="none" w:sz="0" w:space="0" w:color="auto"/>
                <w:right w:val="none" w:sz="0" w:space="0" w:color="auto"/>
              </w:divBdr>
              <w:divsChild>
                <w:div w:id="662783421">
                  <w:marLeft w:val="0"/>
                  <w:marRight w:val="0"/>
                  <w:marTop w:val="0"/>
                  <w:marBottom w:val="0"/>
                  <w:divBdr>
                    <w:top w:val="none" w:sz="0" w:space="0" w:color="auto"/>
                    <w:left w:val="none" w:sz="0" w:space="0" w:color="auto"/>
                    <w:bottom w:val="none" w:sz="0" w:space="0" w:color="auto"/>
                    <w:right w:val="none" w:sz="0" w:space="0" w:color="auto"/>
                  </w:divBdr>
                  <w:divsChild>
                    <w:div w:id="411388327">
                      <w:marLeft w:val="0"/>
                      <w:marRight w:val="0"/>
                      <w:marTop w:val="0"/>
                      <w:marBottom w:val="0"/>
                      <w:divBdr>
                        <w:top w:val="none" w:sz="0" w:space="0" w:color="auto"/>
                        <w:left w:val="none" w:sz="0" w:space="0" w:color="auto"/>
                        <w:bottom w:val="none" w:sz="0" w:space="0" w:color="auto"/>
                        <w:right w:val="none" w:sz="0" w:space="0" w:color="auto"/>
                      </w:divBdr>
                      <w:divsChild>
                        <w:div w:id="1480538026">
                          <w:marLeft w:val="0"/>
                          <w:marRight w:val="0"/>
                          <w:marTop w:val="0"/>
                          <w:marBottom w:val="0"/>
                          <w:divBdr>
                            <w:top w:val="none" w:sz="0" w:space="0" w:color="auto"/>
                            <w:left w:val="none" w:sz="0" w:space="0" w:color="auto"/>
                            <w:bottom w:val="none" w:sz="0" w:space="0" w:color="auto"/>
                            <w:right w:val="none" w:sz="0" w:space="0" w:color="auto"/>
                          </w:divBdr>
                          <w:divsChild>
                            <w:div w:id="10026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56307">
      <w:bodyDiv w:val="1"/>
      <w:marLeft w:val="0"/>
      <w:marRight w:val="0"/>
      <w:marTop w:val="0"/>
      <w:marBottom w:val="0"/>
      <w:divBdr>
        <w:top w:val="none" w:sz="0" w:space="0" w:color="auto"/>
        <w:left w:val="none" w:sz="0" w:space="0" w:color="auto"/>
        <w:bottom w:val="none" w:sz="0" w:space="0" w:color="auto"/>
        <w:right w:val="none" w:sz="0" w:space="0" w:color="auto"/>
      </w:divBdr>
      <w:divsChild>
        <w:div w:id="1104567813">
          <w:marLeft w:val="0"/>
          <w:marRight w:val="0"/>
          <w:marTop w:val="0"/>
          <w:marBottom w:val="0"/>
          <w:divBdr>
            <w:top w:val="none" w:sz="0" w:space="0" w:color="auto"/>
            <w:left w:val="none" w:sz="0" w:space="0" w:color="auto"/>
            <w:bottom w:val="none" w:sz="0" w:space="0" w:color="auto"/>
            <w:right w:val="none" w:sz="0" w:space="0" w:color="auto"/>
          </w:divBdr>
        </w:div>
        <w:div w:id="110630421">
          <w:marLeft w:val="0"/>
          <w:marRight w:val="0"/>
          <w:marTop w:val="0"/>
          <w:marBottom w:val="0"/>
          <w:divBdr>
            <w:top w:val="none" w:sz="0" w:space="0" w:color="auto"/>
            <w:left w:val="none" w:sz="0" w:space="0" w:color="auto"/>
            <w:bottom w:val="none" w:sz="0" w:space="0" w:color="auto"/>
            <w:right w:val="none" w:sz="0" w:space="0" w:color="auto"/>
          </w:divBdr>
        </w:div>
        <w:div w:id="837423675">
          <w:marLeft w:val="0"/>
          <w:marRight w:val="0"/>
          <w:marTop w:val="0"/>
          <w:marBottom w:val="0"/>
          <w:divBdr>
            <w:top w:val="none" w:sz="0" w:space="0" w:color="auto"/>
            <w:left w:val="none" w:sz="0" w:space="0" w:color="auto"/>
            <w:bottom w:val="none" w:sz="0" w:space="0" w:color="auto"/>
            <w:right w:val="none" w:sz="0" w:space="0" w:color="auto"/>
          </w:divBdr>
        </w:div>
      </w:divsChild>
    </w:div>
    <w:div w:id="1714619822">
      <w:bodyDiv w:val="1"/>
      <w:marLeft w:val="0"/>
      <w:marRight w:val="0"/>
      <w:marTop w:val="0"/>
      <w:marBottom w:val="0"/>
      <w:divBdr>
        <w:top w:val="none" w:sz="0" w:space="0" w:color="auto"/>
        <w:left w:val="none" w:sz="0" w:space="0" w:color="auto"/>
        <w:bottom w:val="none" w:sz="0" w:space="0" w:color="auto"/>
        <w:right w:val="none" w:sz="0" w:space="0" w:color="auto"/>
      </w:divBdr>
    </w:div>
    <w:div w:id="1919513319">
      <w:bodyDiv w:val="1"/>
      <w:marLeft w:val="0"/>
      <w:marRight w:val="0"/>
      <w:marTop w:val="0"/>
      <w:marBottom w:val="0"/>
      <w:divBdr>
        <w:top w:val="none" w:sz="0" w:space="0" w:color="auto"/>
        <w:left w:val="none" w:sz="0" w:space="0" w:color="auto"/>
        <w:bottom w:val="none" w:sz="0" w:space="0" w:color="auto"/>
        <w:right w:val="none" w:sz="0" w:space="0" w:color="auto"/>
      </w:divBdr>
    </w:div>
    <w:div w:id="2138065104">
      <w:bodyDiv w:val="1"/>
      <w:marLeft w:val="0"/>
      <w:marRight w:val="0"/>
      <w:marTop w:val="0"/>
      <w:marBottom w:val="0"/>
      <w:divBdr>
        <w:top w:val="none" w:sz="0" w:space="0" w:color="auto"/>
        <w:left w:val="none" w:sz="0" w:space="0" w:color="auto"/>
        <w:bottom w:val="none" w:sz="0" w:space="0" w:color="auto"/>
        <w:right w:val="none" w:sz="0" w:space="0" w:color="auto"/>
      </w:divBdr>
      <w:divsChild>
        <w:div w:id="426316456">
          <w:marLeft w:val="0"/>
          <w:marRight w:val="0"/>
          <w:marTop w:val="0"/>
          <w:marBottom w:val="0"/>
          <w:divBdr>
            <w:top w:val="none" w:sz="0" w:space="0" w:color="auto"/>
            <w:left w:val="none" w:sz="0" w:space="0" w:color="auto"/>
            <w:bottom w:val="none" w:sz="0" w:space="0" w:color="auto"/>
            <w:right w:val="none" w:sz="0" w:space="0" w:color="auto"/>
          </w:divBdr>
        </w:div>
        <w:div w:id="1355115263">
          <w:marLeft w:val="0"/>
          <w:marRight w:val="0"/>
          <w:marTop w:val="0"/>
          <w:marBottom w:val="0"/>
          <w:divBdr>
            <w:top w:val="none" w:sz="0" w:space="0" w:color="auto"/>
            <w:left w:val="none" w:sz="0" w:space="0" w:color="auto"/>
            <w:bottom w:val="none" w:sz="0" w:space="0" w:color="auto"/>
            <w:right w:val="none" w:sz="0" w:space="0" w:color="auto"/>
          </w:divBdr>
        </w:div>
        <w:div w:id="175520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2251-C77D-4130-B10E-709BA8D3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11954</Words>
  <Characters>6815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2018-06-27T13:57:00Z</dcterms:created>
  <dc:creator>Janas Vidickas</dc:creator>
  <cp:lastModifiedBy>Dainius Cicėnas</cp:lastModifiedBy>
  <cp:lastPrinted>2018-05-28T10:08:00Z</cp:lastPrinted>
  <dcterms:modified xsi:type="dcterms:W3CDTF">2018-07-10T11:30:00Z</dcterms:modified>
  <cp:revision>59</cp:revision>
</cp:coreProperties>
</file>