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FB215F" w:rsidRDefault="001934A6" w:rsidP="0002176C">
      <w:pPr>
        <w:pStyle w:val="Preformatted"/>
        <w:jc w:val="center"/>
        <w:rPr>
          <w:rFonts w:ascii="Times New Roman" w:hAnsi="Times New Roman"/>
          <w:b/>
          <w:sz w:val="22"/>
          <w:szCs w:val="22"/>
        </w:rPr>
      </w:pPr>
      <w:r w:rsidRPr="00FB215F">
        <w:rPr>
          <w:rFonts w:ascii="Times New Roman" w:hAnsi="Times New Roman"/>
          <w:b/>
          <w:sz w:val="22"/>
          <w:szCs w:val="22"/>
        </w:rPr>
        <w:t>LIETUVOS RESPUBLIKOS VYRIAUSYBĖS KANCELIARIJ</w:t>
      </w:r>
      <w:r w:rsidR="00B14A97" w:rsidRPr="00FB215F">
        <w:rPr>
          <w:rFonts w:ascii="Times New Roman" w:hAnsi="Times New Roman"/>
          <w:b/>
          <w:sz w:val="22"/>
          <w:szCs w:val="22"/>
        </w:rPr>
        <w:t>OS</w:t>
      </w:r>
    </w:p>
    <w:p w:rsidR="001934A6" w:rsidRPr="00FB215F" w:rsidRDefault="005008B2" w:rsidP="0002176C">
      <w:pPr>
        <w:pStyle w:val="Preformatted"/>
        <w:jc w:val="center"/>
        <w:rPr>
          <w:rFonts w:ascii="Times New Roman" w:hAnsi="Times New Roman"/>
          <w:b/>
          <w:sz w:val="22"/>
          <w:szCs w:val="22"/>
        </w:rPr>
      </w:pPr>
      <w:r>
        <w:rPr>
          <w:rFonts w:ascii="Times New Roman" w:hAnsi="Times New Roman"/>
          <w:b/>
          <w:sz w:val="22"/>
          <w:szCs w:val="22"/>
        </w:rPr>
        <w:t xml:space="preserve">EKONOMIKOS </w:t>
      </w:r>
      <w:r w:rsidR="00616C14" w:rsidRPr="00FB215F">
        <w:rPr>
          <w:rFonts w:ascii="Times New Roman" w:hAnsi="Times New Roman"/>
          <w:b/>
          <w:sz w:val="22"/>
          <w:szCs w:val="22"/>
        </w:rPr>
        <w:t>POLITIKOS GRUPĖS</w:t>
      </w:r>
    </w:p>
    <w:p w:rsidR="00BB48B8" w:rsidRPr="00FB215F" w:rsidRDefault="00BB48B8" w:rsidP="0002176C">
      <w:pPr>
        <w:pStyle w:val="Preformatted"/>
        <w:jc w:val="center"/>
        <w:rPr>
          <w:rFonts w:ascii="Times New Roman" w:hAnsi="Times New Roman"/>
          <w:b/>
          <w:sz w:val="22"/>
          <w:szCs w:val="22"/>
        </w:rPr>
      </w:pPr>
      <w:r w:rsidRPr="00FB215F">
        <w:rPr>
          <w:rFonts w:ascii="Times New Roman" w:hAnsi="Times New Roman"/>
          <w:b/>
          <w:sz w:val="22"/>
          <w:szCs w:val="22"/>
        </w:rPr>
        <w:t>PAŽYMA</w:t>
      </w:r>
    </w:p>
    <w:p w:rsidR="00B14A97" w:rsidRPr="00FB215F" w:rsidRDefault="00626AC0" w:rsidP="00B14A97">
      <w:pPr>
        <w:pStyle w:val="Antraste"/>
        <w:rPr>
          <w:sz w:val="22"/>
          <w:szCs w:val="22"/>
          <w:lang w:eastAsia="lt-LT"/>
        </w:rPr>
      </w:pPr>
      <w:r w:rsidRPr="00626AC0">
        <w:rPr>
          <w:sz w:val="22"/>
          <w:szCs w:val="22"/>
        </w:rPr>
        <w:t>DĖL 2014-2020 METŲ IGNALINOS PROGRAMOS ĮGYVENDINIMO UŽ 201</w:t>
      </w:r>
      <w:r w:rsidR="005008B2">
        <w:rPr>
          <w:sz w:val="22"/>
          <w:szCs w:val="22"/>
        </w:rPr>
        <w:t>8</w:t>
      </w:r>
      <w:r w:rsidRPr="00626AC0">
        <w:rPr>
          <w:sz w:val="22"/>
          <w:szCs w:val="22"/>
        </w:rPr>
        <w:t xml:space="preserve"> </w:t>
      </w:r>
      <w:r w:rsidR="005008B2">
        <w:rPr>
          <w:sz w:val="22"/>
          <w:szCs w:val="22"/>
        </w:rPr>
        <w:t>METUS</w:t>
      </w:r>
      <w:r w:rsidRPr="00626AC0">
        <w:rPr>
          <w:sz w:val="22"/>
          <w:szCs w:val="22"/>
        </w:rPr>
        <w:t xml:space="preserve"> ATASKAITOS</w:t>
      </w:r>
    </w:p>
    <w:p w:rsidR="00D96629" w:rsidRPr="00FB215F" w:rsidRDefault="00D96629" w:rsidP="0002176C">
      <w:pPr>
        <w:pStyle w:val="Antraste"/>
        <w:rPr>
          <w:sz w:val="22"/>
          <w:szCs w:val="22"/>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FB215F" w:rsidTr="00F94D25">
        <w:tc>
          <w:tcPr>
            <w:tcW w:w="4536" w:type="dxa"/>
          </w:tcPr>
          <w:p w:rsidR="00F94D25" w:rsidRPr="00FB215F" w:rsidRDefault="0000660E" w:rsidP="00616C14">
            <w:pPr>
              <w:spacing w:before="60" w:after="60"/>
              <w:jc w:val="center"/>
              <w:rPr>
                <w:spacing w:val="-6"/>
                <w:sz w:val="22"/>
                <w:szCs w:val="22"/>
              </w:rPr>
            </w:pPr>
            <w:sdt>
              <w:sdtPr>
                <w:rPr>
                  <w:spacing w:val="-6"/>
                  <w:sz w:val="22"/>
                  <w:szCs w:val="22"/>
                </w:rPr>
                <w:tag w:val="registravimoData"/>
                <w:id w:val="-283805736"/>
                <w:placeholder>
                  <w:docPart w:val="5227F9497BEB4502967040EA23B522FC"/>
                </w:placeholder>
                <w:showingPlcHdr/>
              </w:sdtPr>
              <w:sdtEndPr/>
              <w:sdtContent>
                <w:r>
                  <w:t/>
                </w:r>
              </w:sdtContent>
            </w:sdt>
            <w:r w:rsidR="00F94D25" w:rsidRPr="00FB215F">
              <w:rPr>
                <w:spacing w:val="-6"/>
                <w:sz w:val="22"/>
                <w:szCs w:val="22"/>
              </w:rPr>
              <w:t xml:space="preserve"> Nr. </w:t>
            </w:r>
            <w:sdt>
              <w:sdtPr>
                <w:rPr>
                  <w:spacing w:val="-6"/>
                  <w:sz w:val="22"/>
                  <w:szCs w:val="22"/>
                </w:rPr>
                <w:tag w:val="registravimoNr"/>
                <w:id w:val="-314025492"/>
                <w:placeholder>
                  <w:docPart w:val="5227F9497BEB4502967040EA23B522FC"/>
                </w:placeholder>
              </w:sdtPr>
              <w:sdtEndPr>
                <w:rPr>
                  <w:color w:val="FF0000"/>
                </w:rPr>
              </w:sdtEndPr>
              <w:sdtContent>
                <w:r>
                  <w:t/>
                </w:r>
              </w:sdtContent>
            </w:sdt>
          </w:p>
        </w:tc>
      </w:tr>
    </w:tbl>
    <w:p w:rsidR="00D72E97" w:rsidRPr="00FB215F" w:rsidRDefault="008F31A4" w:rsidP="001934A6">
      <w:pPr>
        <w:spacing w:line="360" w:lineRule="auto"/>
        <w:jc w:val="center"/>
        <w:rPr>
          <w:sz w:val="22"/>
          <w:szCs w:val="22"/>
        </w:rPr>
      </w:pPr>
      <w:r w:rsidRPr="00FB215F">
        <w:rPr>
          <w:sz w:val="22"/>
          <w:szCs w:val="22"/>
        </w:rPr>
        <w:t>Vilnius</w:t>
      </w:r>
    </w:p>
    <w:p w:rsidR="00B743AB" w:rsidRPr="00FB215F" w:rsidRDefault="00B743AB" w:rsidP="00B743AB">
      <w:pPr>
        <w:spacing w:line="360" w:lineRule="auto"/>
        <w:rPr>
          <w:sz w:val="22"/>
          <w:szCs w:val="22"/>
        </w:rPr>
      </w:pPr>
      <w:r w:rsidRPr="00FB215F">
        <w:rPr>
          <w:b/>
          <w:sz w:val="22"/>
          <w:szCs w:val="22"/>
        </w:rPr>
        <w:t>Atask</w:t>
      </w:r>
      <w:r w:rsidR="008B09A8">
        <w:rPr>
          <w:b/>
          <w:sz w:val="22"/>
          <w:szCs w:val="22"/>
        </w:rPr>
        <w:t>a</w:t>
      </w:r>
      <w:r w:rsidRPr="00FB215F">
        <w:rPr>
          <w:b/>
          <w:sz w:val="22"/>
          <w:szCs w:val="22"/>
        </w:rPr>
        <w:t>itos teikėjas:</w:t>
      </w:r>
      <w:r w:rsidRPr="00FB215F">
        <w:rPr>
          <w:sz w:val="22"/>
          <w:szCs w:val="22"/>
        </w:rPr>
        <w:t xml:space="preserve"> </w:t>
      </w:r>
      <w:r w:rsidR="00626AC0">
        <w:rPr>
          <w:sz w:val="22"/>
          <w:szCs w:val="22"/>
        </w:rPr>
        <w:t>Energetikos</w:t>
      </w:r>
      <w:r w:rsidRPr="00FB215F">
        <w:rPr>
          <w:sz w:val="22"/>
          <w:szCs w:val="22"/>
        </w:rPr>
        <w:t xml:space="preserve"> ministerija</w:t>
      </w:r>
      <w:r w:rsidR="00532032" w:rsidRPr="00FB215F">
        <w:rPr>
          <w:sz w:val="22"/>
          <w:szCs w:val="22"/>
        </w:rPr>
        <w:t xml:space="preserve">. </w:t>
      </w:r>
    </w:p>
    <w:p w:rsidR="00B743AB" w:rsidRDefault="00B743AB" w:rsidP="00B743AB">
      <w:pPr>
        <w:rPr>
          <w:sz w:val="22"/>
          <w:szCs w:val="22"/>
        </w:rPr>
      </w:pPr>
      <w:r w:rsidRPr="00FB215F">
        <w:rPr>
          <w:b/>
          <w:sz w:val="22"/>
          <w:szCs w:val="22"/>
        </w:rPr>
        <w:t>Atskait</w:t>
      </w:r>
      <w:r w:rsidR="008472E6" w:rsidRPr="00FB215F">
        <w:rPr>
          <w:b/>
          <w:sz w:val="22"/>
          <w:szCs w:val="22"/>
        </w:rPr>
        <w:t>os</w:t>
      </w:r>
      <w:r w:rsidRPr="00FB215F">
        <w:rPr>
          <w:b/>
          <w:sz w:val="22"/>
          <w:szCs w:val="22"/>
        </w:rPr>
        <w:t xml:space="preserve"> tikslas: </w:t>
      </w:r>
      <w:r w:rsidR="00626AC0" w:rsidRPr="00BA43FE">
        <w:rPr>
          <w:sz w:val="22"/>
          <w:szCs w:val="22"/>
        </w:rPr>
        <w:t>pa</w:t>
      </w:r>
      <w:r w:rsidR="00626AC0" w:rsidRPr="00626AC0">
        <w:rPr>
          <w:sz w:val="22"/>
          <w:szCs w:val="22"/>
        </w:rPr>
        <w:t>teikti Vyriausybei informaciją apie 2014–2020 m</w:t>
      </w:r>
      <w:r w:rsidR="00F739D9">
        <w:rPr>
          <w:sz w:val="22"/>
          <w:szCs w:val="22"/>
        </w:rPr>
        <w:t>.</w:t>
      </w:r>
      <w:r w:rsidR="00626AC0" w:rsidRPr="00626AC0">
        <w:rPr>
          <w:sz w:val="22"/>
          <w:szCs w:val="22"/>
        </w:rPr>
        <w:t xml:space="preserve"> Ignalinos programos įgyvendinimą</w:t>
      </w:r>
      <w:r w:rsidR="00BA43FE" w:rsidRPr="00BA43FE">
        <w:t xml:space="preserve"> </w:t>
      </w:r>
      <w:r w:rsidR="00456DD7">
        <w:rPr>
          <w:sz w:val="22"/>
          <w:szCs w:val="22"/>
        </w:rPr>
        <w:t>už 201</w:t>
      </w:r>
      <w:r w:rsidR="00115E37">
        <w:rPr>
          <w:sz w:val="22"/>
          <w:szCs w:val="22"/>
        </w:rPr>
        <w:t>8</w:t>
      </w:r>
      <w:r w:rsidR="00456DD7">
        <w:rPr>
          <w:sz w:val="22"/>
          <w:szCs w:val="22"/>
        </w:rPr>
        <w:t xml:space="preserve"> m</w:t>
      </w:r>
      <w:r w:rsidR="00115E37">
        <w:rPr>
          <w:sz w:val="22"/>
          <w:szCs w:val="22"/>
        </w:rPr>
        <w:t>etus</w:t>
      </w:r>
      <w:r w:rsidR="00616C14" w:rsidRPr="00FB215F">
        <w:rPr>
          <w:sz w:val="22"/>
          <w:szCs w:val="22"/>
        </w:rPr>
        <w:t xml:space="preserve">. </w:t>
      </w:r>
      <w:r w:rsidR="00115E37">
        <w:rPr>
          <w:sz w:val="22"/>
          <w:szCs w:val="22"/>
        </w:rPr>
        <w:t>Šios</w:t>
      </w:r>
      <w:r w:rsidR="00BA43FE">
        <w:rPr>
          <w:sz w:val="22"/>
          <w:szCs w:val="22"/>
        </w:rPr>
        <w:t xml:space="preserve"> ataskaitos Vyriausybei teikiamos vadovaujantis Vyriausybės nutarimu </w:t>
      </w:r>
      <w:r w:rsidR="00BA43FE" w:rsidRPr="00BA43FE">
        <w:rPr>
          <w:sz w:val="22"/>
          <w:szCs w:val="22"/>
        </w:rPr>
        <w:t>Nr. 1447 „Dėl programos Sąjungos finansinės paramos priemonėms, susijusioms su Ignalinos atominės elektrinės Lietuvoje 1 ir 2 blokų eksploatavimo nutraukimu, įgyvendinti“</w:t>
      </w:r>
      <w:r w:rsidR="00391D42">
        <w:rPr>
          <w:sz w:val="22"/>
          <w:szCs w:val="22"/>
        </w:rPr>
        <w:t xml:space="preserve">, (t. y. Vyriausybė informuojama tik apie VšĮ centrinės projektų valdymo agentūros administruojamas </w:t>
      </w:r>
      <w:r w:rsidR="00BA43FE">
        <w:rPr>
          <w:sz w:val="22"/>
          <w:szCs w:val="22"/>
        </w:rPr>
        <w:t xml:space="preserve"> </w:t>
      </w:r>
      <w:r w:rsidR="00391D42">
        <w:rPr>
          <w:sz w:val="22"/>
          <w:szCs w:val="22"/>
        </w:rPr>
        <w:t xml:space="preserve">lėšas). </w:t>
      </w:r>
    </w:p>
    <w:p w:rsidR="00391D42" w:rsidRPr="00391D42" w:rsidRDefault="00391D42" w:rsidP="00B743AB">
      <w:pPr>
        <w:rPr>
          <w:b/>
          <w:sz w:val="22"/>
          <w:szCs w:val="22"/>
        </w:rPr>
      </w:pPr>
      <w:r w:rsidRPr="00391D42">
        <w:rPr>
          <w:b/>
          <w:sz w:val="22"/>
          <w:szCs w:val="22"/>
        </w:rPr>
        <w:t xml:space="preserve">Lėšų išmokėjimas: </w:t>
      </w:r>
    </w:p>
    <w:p w:rsidR="007E3478" w:rsidRPr="00FB215F" w:rsidRDefault="00115E37" w:rsidP="00B743AB">
      <w:pPr>
        <w:rPr>
          <w:sz w:val="22"/>
          <w:szCs w:val="22"/>
        </w:rPr>
      </w:pPr>
      <w:r w:rsidRPr="00115E37">
        <w:rPr>
          <w:sz w:val="22"/>
          <w:szCs w:val="22"/>
        </w:rPr>
        <w:t xml:space="preserve">Nuo paramos programos pradžios projektų vykdytojams ir administratoriams išmokėta </w:t>
      </w:r>
      <w:r w:rsidRPr="00115E37">
        <w:rPr>
          <w:b/>
          <w:sz w:val="22"/>
          <w:szCs w:val="22"/>
        </w:rPr>
        <w:t>1 319,9 mln.</w:t>
      </w:r>
      <w:r w:rsidRPr="00115E37">
        <w:rPr>
          <w:sz w:val="22"/>
          <w:szCs w:val="22"/>
        </w:rPr>
        <w:t xml:space="preserve"> eurų Europos Sąjungos lėšų. Žemiau pateiktoje schemoje parodytas išmokėtų lėšų pasiskirstymas pagal administruojančias institucijas – ERPB ir CPVA:</w:t>
      </w:r>
    </w:p>
    <w:p w:rsidR="00602132" w:rsidRDefault="00602132" w:rsidP="00B743AB">
      <w:pPr>
        <w:rPr>
          <w:sz w:val="22"/>
          <w:szCs w:val="22"/>
        </w:rPr>
      </w:pPr>
    </w:p>
    <w:p w:rsidR="007E3478" w:rsidRDefault="00115E37" w:rsidP="007E3478">
      <w:pPr>
        <w:jc w:val="center"/>
        <w:rPr>
          <w:sz w:val="22"/>
          <w:szCs w:val="22"/>
        </w:rPr>
      </w:pPr>
      <w:r>
        <w:rPr>
          <w:noProof/>
          <w:szCs w:val="24"/>
          <w:lang w:eastAsia="lt-LT"/>
        </w:rPr>
        <w:drawing>
          <wp:inline distT="0" distB="0" distL="0" distR="0" wp14:anchorId="57B66E23" wp14:editId="0CAC1E11">
            <wp:extent cx="6370955" cy="1981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0955" cy="1981200"/>
                    </a:xfrm>
                    <a:prstGeom prst="rect">
                      <a:avLst/>
                    </a:prstGeom>
                    <a:noFill/>
                  </pic:spPr>
                </pic:pic>
              </a:graphicData>
            </a:graphic>
          </wp:inline>
        </w:drawing>
      </w:r>
    </w:p>
    <w:p w:rsidR="00CD3172" w:rsidRDefault="00CD3172" w:rsidP="00CD3172">
      <w:pPr>
        <w:rPr>
          <w:b/>
          <w:sz w:val="22"/>
          <w:szCs w:val="22"/>
        </w:rPr>
      </w:pPr>
    </w:p>
    <w:p w:rsidR="00CD3172" w:rsidRPr="00AF320E" w:rsidRDefault="00CD3172" w:rsidP="00CD3172">
      <w:pPr>
        <w:rPr>
          <w:b/>
          <w:sz w:val="22"/>
          <w:szCs w:val="22"/>
        </w:rPr>
      </w:pPr>
      <w:r w:rsidRPr="00AF320E">
        <w:rPr>
          <w:b/>
          <w:sz w:val="22"/>
          <w:szCs w:val="22"/>
        </w:rPr>
        <w:t>2018 metais vykdomų priemonių įgyvendinimas finansiniu aspektu:</w:t>
      </w:r>
    </w:p>
    <w:p w:rsidR="007E3478" w:rsidRDefault="007E3478" w:rsidP="00B743AB">
      <w:pPr>
        <w:rPr>
          <w:sz w:val="22"/>
          <w:szCs w:val="22"/>
        </w:rPr>
      </w:pPr>
    </w:p>
    <w:p w:rsidR="007E3478" w:rsidRDefault="00CD3172" w:rsidP="00B743AB">
      <w:pPr>
        <w:rPr>
          <w:sz w:val="22"/>
          <w:szCs w:val="22"/>
        </w:rPr>
      </w:pPr>
      <w:r w:rsidRPr="00CD3172">
        <w:rPr>
          <w:sz w:val="22"/>
          <w:szCs w:val="22"/>
        </w:rPr>
        <w:t>Per 2018 metus iš Ignalinos Programos administravimo Lietuvoje programos administratoriams buvo pervesta 51,4 mln. eurų (iš jų 43,8 mln. eurų IP ES lėšų ir 7,6 mln. eurų IP BF lėšų), iš jų vykdytojams administratoriai išmokėjo 50,5 mln. eurų (iš jų 42,9 mln. eurų IP ES lėšų ir 7,6 mln. eurų IP BF lėšų)</w:t>
      </w:r>
    </w:p>
    <w:p w:rsidR="007E3478" w:rsidRDefault="007E3478" w:rsidP="00B743AB">
      <w:pPr>
        <w:rPr>
          <w:sz w:val="22"/>
          <w:szCs w:val="22"/>
        </w:rPr>
      </w:pPr>
    </w:p>
    <w:p w:rsidR="00AF320E" w:rsidRDefault="00AF320E" w:rsidP="00B743AB">
      <w:pPr>
        <w:rPr>
          <w:sz w:val="22"/>
          <w:szCs w:val="22"/>
        </w:rPr>
      </w:pPr>
    </w:p>
    <w:tbl>
      <w:tblPr>
        <w:tblStyle w:val="Lentelstinklelis"/>
        <w:tblW w:w="8931" w:type="dxa"/>
        <w:tblInd w:w="562" w:type="dxa"/>
        <w:tblLayout w:type="fixed"/>
        <w:tblLook w:val="04A0" w:firstRow="1" w:lastRow="0" w:firstColumn="1" w:lastColumn="0" w:noHBand="0" w:noVBand="1"/>
      </w:tblPr>
      <w:tblGrid>
        <w:gridCol w:w="567"/>
        <w:gridCol w:w="3294"/>
        <w:gridCol w:w="1365"/>
        <w:gridCol w:w="1437"/>
        <w:gridCol w:w="1417"/>
        <w:gridCol w:w="851"/>
      </w:tblGrid>
      <w:tr w:rsidR="00AF320E" w:rsidRPr="00486E28" w:rsidTr="00AF320E">
        <w:tc>
          <w:tcPr>
            <w:tcW w:w="567" w:type="dxa"/>
          </w:tcPr>
          <w:p w:rsidR="00AF320E" w:rsidRPr="00486E28" w:rsidRDefault="00AF320E" w:rsidP="00B92CAB">
            <w:pPr>
              <w:rPr>
                <w:sz w:val="20"/>
              </w:rPr>
            </w:pPr>
            <w:r w:rsidRPr="00486E28">
              <w:rPr>
                <w:sz w:val="20"/>
              </w:rPr>
              <w:t>Eil. Nr.</w:t>
            </w:r>
          </w:p>
        </w:tc>
        <w:tc>
          <w:tcPr>
            <w:tcW w:w="3294" w:type="dxa"/>
          </w:tcPr>
          <w:p w:rsidR="00AF320E" w:rsidRPr="00486E28" w:rsidRDefault="00AF320E" w:rsidP="00B92CAB">
            <w:pPr>
              <w:rPr>
                <w:sz w:val="20"/>
              </w:rPr>
            </w:pPr>
            <w:r w:rsidRPr="00486E28">
              <w:rPr>
                <w:sz w:val="20"/>
              </w:rPr>
              <w:t>Priemonė</w:t>
            </w:r>
          </w:p>
        </w:tc>
        <w:tc>
          <w:tcPr>
            <w:tcW w:w="1365" w:type="dxa"/>
          </w:tcPr>
          <w:p w:rsidR="00AF320E" w:rsidRPr="00486E28" w:rsidRDefault="00AF320E" w:rsidP="00B92CAB">
            <w:pPr>
              <w:rPr>
                <w:sz w:val="20"/>
              </w:rPr>
            </w:pPr>
            <w:r w:rsidRPr="00486E28">
              <w:rPr>
                <w:sz w:val="20"/>
              </w:rPr>
              <w:t>Vykdytojas</w:t>
            </w:r>
          </w:p>
        </w:tc>
        <w:tc>
          <w:tcPr>
            <w:tcW w:w="1437" w:type="dxa"/>
          </w:tcPr>
          <w:p w:rsidR="00AF320E" w:rsidRDefault="00AF320E" w:rsidP="00B92CAB">
            <w:pPr>
              <w:rPr>
                <w:sz w:val="20"/>
              </w:rPr>
            </w:pPr>
            <w:r w:rsidRPr="00486E28">
              <w:rPr>
                <w:sz w:val="20"/>
              </w:rPr>
              <w:t>Plan</w:t>
            </w:r>
            <w:r>
              <w:rPr>
                <w:sz w:val="20"/>
              </w:rPr>
              <w:t>as</w:t>
            </w:r>
          </w:p>
          <w:p w:rsidR="00AF320E" w:rsidRPr="00486E28" w:rsidRDefault="00AF320E" w:rsidP="00B92CAB">
            <w:pPr>
              <w:rPr>
                <w:sz w:val="20"/>
              </w:rPr>
            </w:pPr>
            <w:r w:rsidRPr="00486E28">
              <w:rPr>
                <w:sz w:val="20"/>
              </w:rPr>
              <w:t xml:space="preserve"> tūkst. eurų</w:t>
            </w:r>
          </w:p>
        </w:tc>
        <w:tc>
          <w:tcPr>
            <w:tcW w:w="1417" w:type="dxa"/>
          </w:tcPr>
          <w:p w:rsidR="00AF320E" w:rsidRDefault="00AF320E" w:rsidP="00B92CAB">
            <w:pPr>
              <w:rPr>
                <w:sz w:val="20"/>
              </w:rPr>
            </w:pPr>
            <w:r>
              <w:rPr>
                <w:sz w:val="20"/>
              </w:rPr>
              <w:t>Faktas</w:t>
            </w:r>
          </w:p>
          <w:p w:rsidR="00AF320E" w:rsidRPr="00486E28" w:rsidRDefault="00AF320E" w:rsidP="00B92CAB">
            <w:pPr>
              <w:rPr>
                <w:sz w:val="20"/>
              </w:rPr>
            </w:pPr>
            <w:r w:rsidRPr="00486E28">
              <w:rPr>
                <w:sz w:val="20"/>
              </w:rPr>
              <w:t xml:space="preserve"> tūkst. eurų</w:t>
            </w:r>
          </w:p>
        </w:tc>
        <w:tc>
          <w:tcPr>
            <w:tcW w:w="851" w:type="dxa"/>
          </w:tcPr>
          <w:p w:rsidR="00AF320E" w:rsidRPr="00486E28" w:rsidRDefault="00AF320E" w:rsidP="00B92CAB">
            <w:pPr>
              <w:rPr>
                <w:sz w:val="20"/>
                <w:lang w:val="en-US"/>
              </w:rPr>
            </w:pPr>
            <w:r w:rsidRPr="00486E28">
              <w:rPr>
                <w:sz w:val="20"/>
              </w:rPr>
              <w:t xml:space="preserve">% </w:t>
            </w:r>
          </w:p>
        </w:tc>
      </w:tr>
      <w:tr w:rsidR="00AF320E" w:rsidRPr="00486E28" w:rsidTr="00AF320E">
        <w:tc>
          <w:tcPr>
            <w:tcW w:w="567" w:type="dxa"/>
          </w:tcPr>
          <w:p w:rsidR="00AF320E" w:rsidRPr="00486E28" w:rsidRDefault="00AF320E" w:rsidP="00B92CAB">
            <w:pPr>
              <w:rPr>
                <w:sz w:val="20"/>
              </w:rPr>
            </w:pPr>
            <w:r w:rsidRPr="00486E28">
              <w:rPr>
                <w:sz w:val="20"/>
              </w:rPr>
              <w:t>1.</w:t>
            </w:r>
          </w:p>
        </w:tc>
        <w:tc>
          <w:tcPr>
            <w:tcW w:w="3294" w:type="dxa"/>
          </w:tcPr>
          <w:p w:rsidR="00AF320E" w:rsidRPr="00486E28" w:rsidRDefault="00AF320E" w:rsidP="00B92CAB">
            <w:pPr>
              <w:rPr>
                <w:sz w:val="20"/>
              </w:rPr>
            </w:pPr>
            <w:r w:rsidRPr="00486E28">
              <w:rPr>
                <w:sz w:val="20"/>
              </w:rPr>
              <w:t>Užtikrinti, kad būtų suteikta mokslinės-techninės paramos organizacijų parama VATESI, vertinant projektus, susijusius su Ignalinos AE eksploatavimo nutraukimu</w:t>
            </w:r>
          </w:p>
        </w:tc>
        <w:tc>
          <w:tcPr>
            <w:tcW w:w="1365" w:type="dxa"/>
          </w:tcPr>
          <w:p w:rsidR="00AF320E" w:rsidRPr="00486E28" w:rsidRDefault="00AF320E" w:rsidP="00B92CAB">
            <w:pPr>
              <w:rPr>
                <w:sz w:val="20"/>
              </w:rPr>
            </w:pPr>
            <w:r>
              <w:rPr>
                <w:sz w:val="20"/>
              </w:rPr>
              <w:t>VATESI</w:t>
            </w:r>
          </w:p>
        </w:tc>
        <w:tc>
          <w:tcPr>
            <w:tcW w:w="1437" w:type="dxa"/>
          </w:tcPr>
          <w:p w:rsidR="00AF320E" w:rsidRPr="00486E28" w:rsidRDefault="00AF320E" w:rsidP="00B92CAB">
            <w:pPr>
              <w:rPr>
                <w:sz w:val="20"/>
              </w:rPr>
            </w:pPr>
            <w:r w:rsidRPr="00486E28">
              <w:rPr>
                <w:sz w:val="20"/>
              </w:rPr>
              <w:t>218</w:t>
            </w:r>
          </w:p>
        </w:tc>
        <w:tc>
          <w:tcPr>
            <w:tcW w:w="1417" w:type="dxa"/>
          </w:tcPr>
          <w:p w:rsidR="00AF320E" w:rsidRPr="00486E28" w:rsidRDefault="00AF320E" w:rsidP="00B92CAB">
            <w:pPr>
              <w:rPr>
                <w:sz w:val="20"/>
              </w:rPr>
            </w:pPr>
            <w:r w:rsidRPr="00486E28">
              <w:rPr>
                <w:sz w:val="20"/>
              </w:rPr>
              <w:t>239</w:t>
            </w:r>
          </w:p>
        </w:tc>
        <w:tc>
          <w:tcPr>
            <w:tcW w:w="851" w:type="dxa"/>
          </w:tcPr>
          <w:p w:rsidR="00AF320E" w:rsidRPr="00486E28" w:rsidRDefault="00AF320E" w:rsidP="00B92CAB">
            <w:pPr>
              <w:rPr>
                <w:sz w:val="20"/>
                <w:lang w:val="en-US"/>
              </w:rPr>
            </w:pPr>
            <w:r w:rsidRPr="00486E28">
              <w:rPr>
                <w:sz w:val="20"/>
              </w:rPr>
              <w:t>110</w:t>
            </w:r>
            <w:r w:rsidRPr="00486E28">
              <w:rPr>
                <w:sz w:val="20"/>
                <w:lang w:val="en-US"/>
              </w:rPr>
              <w:t>%</w:t>
            </w:r>
          </w:p>
        </w:tc>
      </w:tr>
      <w:tr w:rsidR="00AF320E" w:rsidRPr="00486E28" w:rsidTr="00AF320E">
        <w:tc>
          <w:tcPr>
            <w:tcW w:w="567" w:type="dxa"/>
          </w:tcPr>
          <w:p w:rsidR="00AF320E" w:rsidRPr="00486E28" w:rsidRDefault="00AF320E" w:rsidP="00B92CAB">
            <w:pPr>
              <w:rPr>
                <w:sz w:val="20"/>
              </w:rPr>
            </w:pPr>
            <w:r w:rsidRPr="00486E28">
              <w:rPr>
                <w:sz w:val="20"/>
              </w:rPr>
              <w:t>2.</w:t>
            </w:r>
          </w:p>
        </w:tc>
        <w:tc>
          <w:tcPr>
            <w:tcW w:w="3294" w:type="dxa"/>
          </w:tcPr>
          <w:p w:rsidR="00AF320E" w:rsidRPr="00486E28" w:rsidRDefault="00AF320E" w:rsidP="00B92CAB">
            <w:pPr>
              <w:rPr>
                <w:sz w:val="20"/>
              </w:rPr>
            </w:pPr>
            <w:r w:rsidRPr="00486E28">
              <w:rPr>
                <w:sz w:val="20"/>
              </w:rPr>
              <w:t>Užtikrinti VĮ Ignalinos AE valdymą, įdiegti į rezultatus orientuotą valdymą ir stiprinti gebėjimus vykdyti Ignalinos AE eksploatavimo nutraukimo projektus</w:t>
            </w:r>
          </w:p>
        </w:tc>
        <w:tc>
          <w:tcPr>
            <w:tcW w:w="1365" w:type="dxa"/>
          </w:tcPr>
          <w:p w:rsidR="00AF320E" w:rsidRPr="00486E28" w:rsidRDefault="00AF320E" w:rsidP="00B92CAB">
            <w:pPr>
              <w:rPr>
                <w:sz w:val="20"/>
              </w:rPr>
            </w:pPr>
            <w:r w:rsidRPr="00486E28">
              <w:rPr>
                <w:sz w:val="20"/>
              </w:rPr>
              <w:t xml:space="preserve">VĮ </w:t>
            </w:r>
            <w:r>
              <w:rPr>
                <w:sz w:val="20"/>
              </w:rPr>
              <w:t>IAE</w:t>
            </w:r>
          </w:p>
        </w:tc>
        <w:tc>
          <w:tcPr>
            <w:tcW w:w="1437" w:type="dxa"/>
          </w:tcPr>
          <w:p w:rsidR="00AF320E" w:rsidRPr="00486E28" w:rsidRDefault="00AF320E" w:rsidP="00B92CAB">
            <w:pPr>
              <w:rPr>
                <w:sz w:val="20"/>
              </w:rPr>
            </w:pPr>
            <w:r w:rsidRPr="00486E28">
              <w:rPr>
                <w:sz w:val="20"/>
              </w:rPr>
              <w:t>4 592</w:t>
            </w:r>
          </w:p>
        </w:tc>
        <w:tc>
          <w:tcPr>
            <w:tcW w:w="1417" w:type="dxa"/>
          </w:tcPr>
          <w:p w:rsidR="00AF320E" w:rsidRPr="00486E28" w:rsidRDefault="00AF320E" w:rsidP="00B92CAB">
            <w:pPr>
              <w:rPr>
                <w:sz w:val="20"/>
              </w:rPr>
            </w:pPr>
            <w:r w:rsidRPr="00486E28">
              <w:rPr>
                <w:sz w:val="20"/>
              </w:rPr>
              <w:t>4 152,6</w:t>
            </w:r>
          </w:p>
        </w:tc>
        <w:tc>
          <w:tcPr>
            <w:tcW w:w="851" w:type="dxa"/>
          </w:tcPr>
          <w:p w:rsidR="00AF320E" w:rsidRPr="00486E28" w:rsidRDefault="00AF320E" w:rsidP="00B92CAB">
            <w:pPr>
              <w:rPr>
                <w:sz w:val="20"/>
              </w:rPr>
            </w:pPr>
            <w:r w:rsidRPr="00486E28">
              <w:rPr>
                <w:sz w:val="20"/>
              </w:rPr>
              <w:t>90%</w:t>
            </w:r>
          </w:p>
        </w:tc>
      </w:tr>
      <w:tr w:rsidR="00AF320E" w:rsidRPr="00486E28" w:rsidTr="00AF320E">
        <w:tc>
          <w:tcPr>
            <w:tcW w:w="567" w:type="dxa"/>
          </w:tcPr>
          <w:p w:rsidR="00AF320E" w:rsidRPr="00486E28" w:rsidRDefault="00AF320E" w:rsidP="00B92CAB">
            <w:pPr>
              <w:rPr>
                <w:sz w:val="20"/>
              </w:rPr>
            </w:pPr>
            <w:r w:rsidRPr="00486E28">
              <w:rPr>
                <w:sz w:val="20"/>
              </w:rPr>
              <w:t>3.</w:t>
            </w:r>
          </w:p>
        </w:tc>
        <w:tc>
          <w:tcPr>
            <w:tcW w:w="3294" w:type="dxa"/>
          </w:tcPr>
          <w:p w:rsidR="00AF320E" w:rsidRPr="00486E28" w:rsidRDefault="00AF320E" w:rsidP="00B92CAB">
            <w:pPr>
              <w:rPr>
                <w:sz w:val="20"/>
              </w:rPr>
            </w:pPr>
            <w:r w:rsidRPr="00486E28">
              <w:rPr>
                <w:sz w:val="20"/>
              </w:rPr>
              <w:t>Saugiai eksploatuoti galutinai sustabdytus Ignalinos AE pirmąjį ir antrąjį reaktorius, iki bus gauta licencija nutraukti jų eksploatavimą, ir pasirengti saugiai iškrauti branduolinį kurą</w:t>
            </w:r>
          </w:p>
        </w:tc>
        <w:tc>
          <w:tcPr>
            <w:tcW w:w="1365" w:type="dxa"/>
          </w:tcPr>
          <w:p w:rsidR="00AF320E" w:rsidRPr="00486E28" w:rsidRDefault="00AF320E" w:rsidP="00B92CAB">
            <w:pPr>
              <w:rPr>
                <w:sz w:val="20"/>
              </w:rPr>
            </w:pPr>
            <w:r w:rsidRPr="00486E28">
              <w:rPr>
                <w:sz w:val="20"/>
              </w:rPr>
              <w:t xml:space="preserve">VĮ </w:t>
            </w:r>
            <w:r>
              <w:rPr>
                <w:sz w:val="20"/>
              </w:rPr>
              <w:t>IAE</w:t>
            </w:r>
          </w:p>
        </w:tc>
        <w:tc>
          <w:tcPr>
            <w:tcW w:w="1437" w:type="dxa"/>
          </w:tcPr>
          <w:p w:rsidR="00AF320E" w:rsidRPr="00486E28" w:rsidRDefault="00AF320E" w:rsidP="00B92CAB">
            <w:pPr>
              <w:rPr>
                <w:sz w:val="20"/>
              </w:rPr>
            </w:pPr>
            <w:r w:rsidRPr="00486E28">
              <w:rPr>
                <w:sz w:val="20"/>
              </w:rPr>
              <w:t>27 279</w:t>
            </w:r>
          </w:p>
        </w:tc>
        <w:tc>
          <w:tcPr>
            <w:tcW w:w="1417" w:type="dxa"/>
          </w:tcPr>
          <w:p w:rsidR="00AF320E" w:rsidRPr="00486E28" w:rsidRDefault="00AF320E" w:rsidP="00B92CAB">
            <w:pPr>
              <w:rPr>
                <w:sz w:val="20"/>
              </w:rPr>
            </w:pPr>
            <w:r w:rsidRPr="00486E28">
              <w:rPr>
                <w:sz w:val="20"/>
              </w:rPr>
              <w:t>26 608,9</w:t>
            </w:r>
          </w:p>
        </w:tc>
        <w:tc>
          <w:tcPr>
            <w:tcW w:w="851" w:type="dxa"/>
          </w:tcPr>
          <w:p w:rsidR="00AF320E" w:rsidRPr="00486E28" w:rsidRDefault="00AF320E" w:rsidP="00B92CAB">
            <w:pPr>
              <w:rPr>
                <w:sz w:val="20"/>
              </w:rPr>
            </w:pPr>
            <w:r w:rsidRPr="00486E28">
              <w:rPr>
                <w:sz w:val="20"/>
              </w:rPr>
              <w:t>98%</w:t>
            </w:r>
          </w:p>
        </w:tc>
      </w:tr>
      <w:tr w:rsidR="00AF320E" w:rsidRPr="00486E28" w:rsidTr="00AF320E">
        <w:tc>
          <w:tcPr>
            <w:tcW w:w="567" w:type="dxa"/>
          </w:tcPr>
          <w:p w:rsidR="00AF320E" w:rsidRPr="00486E28" w:rsidRDefault="00AF320E" w:rsidP="00B92CAB">
            <w:pPr>
              <w:rPr>
                <w:sz w:val="20"/>
              </w:rPr>
            </w:pPr>
            <w:r w:rsidRPr="00486E28">
              <w:rPr>
                <w:sz w:val="20"/>
              </w:rPr>
              <w:t>4.</w:t>
            </w:r>
          </w:p>
        </w:tc>
        <w:tc>
          <w:tcPr>
            <w:tcW w:w="3294" w:type="dxa"/>
          </w:tcPr>
          <w:p w:rsidR="00AF320E" w:rsidRPr="00486E28" w:rsidRDefault="00AF320E" w:rsidP="00B92CAB">
            <w:pPr>
              <w:rPr>
                <w:sz w:val="20"/>
              </w:rPr>
            </w:pPr>
            <w:r w:rsidRPr="00486E28">
              <w:rPr>
                <w:sz w:val="20"/>
              </w:rPr>
              <w:t>Pasirengti Ignalinos AE pirmojo ir antrojo reaktorių, su jais susijusių įrenginių ir sistemų saugiam išmontavimui ir juos išmontuoti, nugriauti nebenaudojamus Ignalinos AE pastatus</w:t>
            </w:r>
          </w:p>
        </w:tc>
        <w:tc>
          <w:tcPr>
            <w:tcW w:w="1365" w:type="dxa"/>
          </w:tcPr>
          <w:p w:rsidR="00AF320E" w:rsidRPr="00486E28" w:rsidRDefault="00AF320E" w:rsidP="00B92CAB">
            <w:pPr>
              <w:rPr>
                <w:sz w:val="20"/>
              </w:rPr>
            </w:pPr>
            <w:r w:rsidRPr="00486E28">
              <w:rPr>
                <w:sz w:val="20"/>
              </w:rPr>
              <w:t xml:space="preserve">VĮ </w:t>
            </w:r>
            <w:r>
              <w:rPr>
                <w:sz w:val="20"/>
              </w:rPr>
              <w:t>IAE</w:t>
            </w:r>
          </w:p>
        </w:tc>
        <w:tc>
          <w:tcPr>
            <w:tcW w:w="1437" w:type="dxa"/>
          </w:tcPr>
          <w:p w:rsidR="00AF320E" w:rsidRPr="00486E28" w:rsidRDefault="00AF320E" w:rsidP="00B92CAB">
            <w:pPr>
              <w:rPr>
                <w:sz w:val="20"/>
              </w:rPr>
            </w:pPr>
            <w:r w:rsidRPr="00486E28">
              <w:rPr>
                <w:sz w:val="20"/>
              </w:rPr>
              <w:t>11 496</w:t>
            </w:r>
          </w:p>
        </w:tc>
        <w:tc>
          <w:tcPr>
            <w:tcW w:w="1417" w:type="dxa"/>
          </w:tcPr>
          <w:p w:rsidR="00AF320E" w:rsidRPr="00486E28" w:rsidRDefault="00AF320E" w:rsidP="00B92CAB">
            <w:pPr>
              <w:rPr>
                <w:sz w:val="20"/>
              </w:rPr>
            </w:pPr>
            <w:r w:rsidRPr="00486E28">
              <w:rPr>
                <w:sz w:val="20"/>
              </w:rPr>
              <w:t>9 121,1</w:t>
            </w:r>
          </w:p>
        </w:tc>
        <w:tc>
          <w:tcPr>
            <w:tcW w:w="851" w:type="dxa"/>
          </w:tcPr>
          <w:p w:rsidR="00AF320E" w:rsidRPr="00486E28" w:rsidRDefault="00AF320E" w:rsidP="00B92CAB">
            <w:pPr>
              <w:rPr>
                <w:sz w:val="20"/>
              </w:rPr>
            </w:pPr>
            <w:r w:rsidRPr="00486E28">
              <w:rPr>
                <w:sz w:val="20"/>
              </w:rPr>
              <w:t>79%</w:t>
            </w:r>
          </w:p>
        </w:tc>
      </w:tr>
      <w:tr w:rsidR="00AF320E" w:rsidRPr="00486E28" w:rsidTr="00AF320E">
        <w:tc>
          <w:tcPr>
            <w:tcW w:w="567" w:type="dxa"/>
          </w:tcPr>
          <w:p w:rsidR="00AF320E" w:rsidRPr="00486E28" w:rsidRDefault="00AF320E" w:rsidP="00B92CAB">
            <w:pPr>
              <w:rPr>
                <w:sz w:val="20"/>
              </w:rPr>
            </w:pPr>
            <w:r w:rsidRPr="00486E28">
              <w:rPr>
                <w:sz w:val="20"/>
              </w:rPr>
              <w:lastRenderedPageBreak/>
              <w:t>5.</w:t>
            </w:r>
          </w:p>
        </w:tc>
        <w:tc>
          <w:tcPr>
            <w:tcW w:w="3294" w:type="dxa"/>
          </w:tcPr>
          <w:p w:rsidR="00AF320E" w:rsidRPr="00486E28" w:rsidRDefault="00AF320E" w:rsidP="00B92CAB">
            <w:pPr>
              <w:rPr>
                <w:sz w:val="20"/>
              </w:rPr>
            </w:pPr>
            <w:r w:rsidRPr="00486E28">
              <w:rPr>
                <w:sz w:val="20"/>
              </w:rPr>
              <w:t>Suprojektuoti ir pastatyti radioaktyviųjų atliekų tvarkymo įrenginius, sutvarkyti Ignalinos AE eksploatavimo ir eksploatavimo nutraukimo atliekas</w:t>
            </w:r>
          </w:p>
        </w:tc>
        <w:tc>
          <w:tcPr>
            <w:tcW w:w="1365" w:type="dxa"/>
          </w:tcPr>
          <w:p w:rsidR="00AF320E" w:rsidRPr="00486E28" w:rsidRDefault="00AF320E" w:rsidP="00B92CAB">
            <w:pPr>
              <w:rPr>
                <w:sz w:val="20"/>
              </w:rPr>
            </w:pPr>
            <w:r w:rsidRPr="00486E28">
              <w:rPr>
                <w:sz w:val="20"/>
              </w:rPr>
              <w:t xml:space="preserve"> VĮ </w:t>
            </w:r>
            <w:r>
              <w:rPr>
                <w:sz w:val="20"/>
              </w:rPr>
              <w:t>IAE</w:t>
            </w:r>
          </w:p>
        </w:tc>
        <w:tc>
          <w:tcPr>
            <w:tcW w:w="1437" w:type="dxa"/>
          </w:tcPr>
          <w:p w:rsidR="00AF320E" w:rsidRPr="00486E28" w:rsidRDefault="00AF320E" w:rsidP="00B92CAB">
            <w:pPr>
              <w:rPr>
                <w:sz w:val="20"/>
              </w:rPr>
            </w:pPr>
            <w:r w:rsidRPr="00486E28">
              <w:rPr>
                <w:sz w:val="20"/>
              </w:rPr>
              <w:t>17 063</w:t>
            </w:r>
          </w:p>
        </w:tc>
        <w:tc>
          <w:tcPr>
            <w:tcW w:w="1417" w:type="dxa"/>
          </w:tcPr>
          <w:p w:rsidR="00AF320E" w:rsidRPr="00486E28" w:rsidRDefault="00AF320E" w:rsidP="00B92CAB">
            <w:pPr>
              <w:rPr>
                <w:sz w:val="20"/>
                <w:lang w:val="en-GB"/>
              </w:rPr>
            </w:pPr>
            <w:r w:rsidRPr="00486E28">
              <w:rPr>
                <w:sz w:val="20"/>
              </w:rPr>
              <w:t>9 375,1</w:t>
            </w:r>
          </w:p>
        </w:tc>
        <w:tc>
          <w:tcPr>
            <w:tcW w:w="851" w:type="dxa"/>
          </w:tcPr>
          <w:p w:rsidR="00AF320E" w:rsidRPr="00486E28" w:rsidRDefault="00AF320E" w:rsidP="00B92CAB">
            <w:pPr>
              <w:rPr>
                <w:sz w:val="20"/>
              </w:rPr>
            </w:pPr>
            <w:r w:rsidRPr="00486E28">
              <w:rPr>
                <w:sz w:val="20"/>
              </w:rPr>
              <w:t>55%</w:t>
            </w:r>
          </w:p>
        </w:tc>
      </w:tr>
      <w:tr w:rsidR="00AF320E" w:rsidRPr="00486E28" w:rsidTr="00AF320E">
        <w:tc>
          <w:tcPr>
            <w:tcW w:w="567" w:type="dxa"/>
          </w:tcPr>
          <w:p w:rsidR="00AF320E" w:rsidRPr="00486E28" w:rsidRDefault="00AF320E" w:rsidP="00B92CAB">
            <w:pPr>
              <w:rPr>
                <w:sz w:val="20"/>
              </w:rPr>
            </w:pPr>
            <w:r w:rsidRPr="00486E28">
              <w:rPr>
                <w:sz w:val="20"/>
              </w:rPr>
              <w:t>6.</w:t>
            </w:r>
          </w:p>
        </w:tc>
        <w:tc>
          <w:tcPr>
            <w:tcW w:w="3294" w:type="dxa"/>
          </w:tcPr>
          <w:p w:rsidR="00AF320E" w:rsidRPr="00486E28" w:rsidRDefault="00AF320E" w:rsidP="00B92CAB">
            <w:pPr>
              <w:rPr>
                <w:sz w:val="20"/>
              </w:rPr>
            </w:pPr>
            <w:r w:rsidRPr="00486E28">
              <w:rPr>
                <w:sz w:val="20"/>
              </w:rPr>
              <w:t>Vykdyti energijos efektyvumo didinimo projektus Ignalinos AE regione</w:t>
            </w:r>
          </w:p>
        </w:tc>
        <w:tc>
          <w:tcPr>
            <w:tcW w:w="1365" w:type="dxa"/>
          </w:tcPr>
          <w:p w:rsidR="00AF320E" w:rsidRPr="00486E28" w:rsidRDefault="00AF320E" w:rsidP="00B92CAB">
            <w:pPr>
              <w:rPr>
                <w:sz w:val="20"/>
              </w:rPr>
            </w:pPr>
            <w:r w:rsidRPr="00486E28">
              <w:rPr>
                <w:sz w:val="20"/>
              </w:rPr>
              <w:t>Ignalinos atominės elektrinės regiono savivaldybės</w:t>
            </w:r>
          </w:p>
        </w:tc>
        <w:tc>
          <w:tcPr>
            <w:tcW w:w="1437" w:type="dxa"/>
          </w:tcPr>
          <w:p w:rsidR="00AF320E" w:rsidRPr="00486E28" w:rsidRDefault="00AF320E" w:rsidP="00B92CAB">
            <w:pPr>
              <w:rPr>
                <w:sz w:val="20"/>
              </w:rPr>
            </w:pPr>
            <w:r w:rsidRPr="00486E28">
              <w:rPr>
                <w:sz w:val="20"/>
              </w:rPr>
              <w:t>7 974</w:t>
            </w:r>
          </w:p>
        </w:tc>
        <w:tc>
          <w:tcPr>
            <w:tcW w:w="1417" w:type="dxa"/>
          </w:tcPr>
          <w:p w:rsidR="00AF320E" w:rsidRPr="00486E28" w:rsidRDefault="00AF320E" w:rsidP="00B92CAB">
            <w:pPr>
              <w:rPr>
                <w:sz w:val="20"/>
              </w:rPr>
            </w:pPr>
            <w:r w:rsidRPr="00486E28">
              <w:rPr>
                <w:sz w:val="20"/>
              </w:rPr>
              <w:t>1 059,9</w:t>
            </w:r>
          </w:p>
        </w:tc>
        <w:tc>
          <w:tcPr>
            <w:tcW w:w="851" w:type="dxa"/>
          </w:tcPr>
          <w:p w:rsidR="00AF320E" w:rsidRPr="00486E28" w:rsidRDefault="00AF320E" w:rsidP="00B92CAB">
            <w:pPr>
              <w:rPr>
                <w:sz w:val="20"/>
              </w:rPr>
            </w:pPr>
            <w:r w:rsidRPr="00486E28">
              <w:rPr>
                <w:sz w:val="20"/>
              </w:rPr>
              <w:t>13%</w:t>
            </w:r>
          </w:p>
        </w:tc>
      </w:tr>
    </w:tbl>
    <w:p w:rsidR="00AF320E" w:rsidRDefault="00AF320E" w:rsidP="00B743AB">
      <w:pPr>
        <w:rPr>
          <w:sz w:val="22"/>
          <w:szCs w:val="22"/>
        </w:rPr>
      </w:pPr>
    </w:p>
    <w:p w:rsidR="0059186E" w:rsidRPr="0059186E" w:rsidRDefault="00EE1BA5" w:rsidP="0059186E">
      <w:pPr>
        <w:rPr>
          <w:sz w:val="22"/>
          <w:szCs w:val="22"/>
        </w:rPr>
      </w:pPr>
      <w:r w:rsidRPr="00EE1BA5">
        <w:rPr>
          <w:sz w:val="22"/>
          <w:szCs w:val="22"/>
        </w:rPr>
        <w:t>Vykdant priemonę 1.1.6 „Pasirengti Ignalinos AE pirmojo ir antrojo reaktorių, su jais susijusių įrenginių ir sistemų saugiam išmontavimui ir juos išmontuoti, nugriauti nebenaudojamus Ignalinos AE pastatus“</w:t>
      </w:r>
      <w:r>
        <w:rPr>
          <w:sz w:val="22"/>
          <w:szCs w:val="22"/>
        </w:rPr>
        <w:t>, d</w:t>
      </w:r>
      <w:r w:rsidR="0059186E" w:rsidRPr="0059186E">
        <w:rPr>
          <w:sz w:val="22"/>
          <w:szCs w:val="22"/>
        </w:rPr>
        <w:t xml:space="preserve">idžiausias iššūkis, kurį įmonei tenka spręsti − reaktorių įrangos išmontavimas. 2018 m. toliau savo jėgomis tęsiamas projekto „1-ojo bloko reaktoriaus įrenginio išmontavimas (R1 ir R2 zonos, UP01 1-asis blokas)“ išmontavimo ir </w:t>
      </w:r>
      <w:proofErr w:type="spellStart"/>
      <w:r w:rsidR="0059186E" w:rsidRPr="0059186E">
        <w:rPr>
          <w:sz w:val="22"/>
          <w:szCs w:val="22"/>
        </w:rPr>
        <w:t>dezaktyvavimo</w:t>
      </w:r>
      <w:proofErr w:type="spellEnd"/>
      <w:r w:rsidR="0059186E" w:rsidRPr="0059186E">
        <w:rPr>
          <w:sz w:val="22"/>
          <w:szCs w:val="22"/>
        </w:rPr>
        <w:t xml:space="preserve"> projektinės dokumentacijos rengimas. 2018 m. įmonėje parengtas bendrųjų duomenų sąvadas pateiktas ir suderintas su Radiacinės saugos centru, VATESI ir Aplinkos apsaugos agentūra, bei spalį pateiktas Europos Komisijai nagrinėjimui ir tvirtinimui. Projekto „1-ojo bloko reaktoriaus įrenginio išmontavimas (R3 zona, 1-asis blokas)“ projektinės dokumentacijos rengimo paslaugos bus perkamos. Vykdomi inžinieriniai tyrimai ir rengiami dokumentai, reikalingi nuosekliam atskirų paslaugų paketų pirkimui, atliekama galimų įrangos išmontavimo technologijų bei susidarysiančių radioaktyviųjų atliekų kiekių analizė, 1-ojo ir 2-ojo reaktorių tyrimo duomenų palyginimas. Pagal preliminarius 2-ojo bloko radiologinių mėginių tyrimo rezultatus aptikti skirtumai tarp 1-ojo ir 2-ojo blokų medžiagų savybių. Skirtumų priežastys ir dydis paaiškės pilna apimtimi atlikus inžinierinius ir radiologinius tyrimus. Šiuo metu pagrindinė užduotis projekte – reaktoriaus R3 zonos išmontavimo projektavimo pirkimo dokumentų parengimas. 2018 m. buvo parengtos ir derintos su CPVA trys abiejų blokų reaktorių išmontavimo varianto parinkimo ir poveikio aplinkai vertinimo ataskaitos rengimo projekto aprašo versijos. Įmonės išoriniame tinklalapyje paskelbus išsamią informaciją apie reaktorių išmontavimo variantų pasirinkimo bei PAVA parengimo paslaugų apimtį, ir spalio-lapkričio mėn. surengus 4 seminarus „Reaktorių išmontavimo patirtis“, juose sudalyvavo 46 Lietuvos ir užsienio įmonės.  </w:t>
      </w:r>
    </w:p>
    <w:p w:rsidR="007D3707" w:rsidRDefault="0059186E" w:rsidP="0059186E">
      <w:pPr>
        <w:rPr>
          <w:sz w:val="22"/>
          <w:szCs w:val="22"/>
        </w:rPr>
      </w:pPr>
      <w:r w:rsidRPr="0059186E">
        <w:rPr>
          <w:sz w:val="22"/>
          <w:szCs w:val="22"/>
        </w:rPr>
        <w:tab/>
      </w:r>
      <w:r w:rsidRPr="00694986">
        <w:rPr>
          <w:b/>
          <w:sz w:val="22"/>
          <w:szCs w:val="22"/>
        </w:rPr>
        <w:t>Per 2018 m. išmontuota 5 104 tonos reaktorių pastatų įrangos. 2018 m. pabaigoje yra išmontuota 31,5% planuojamos išmontuoti įrangos</w:t>
      </w:r>
      <w:r w:rsidR="00694986">
        <w:rPr>
          <w:sz w:val="22"/>
          <w:szCs w:val="22"/>
        </w:rPr>
        <w:t>:</w:t>
      </w:r>
    </w:p>
    <w:p w:rsidR="00EE1BA5" w:rsidRDefault="00EE1BA5" w:rsidP="0059186E">
      <w:pPr>
        <w:rPr>
          <w:b/>
          <w:sz w:val="22"/>
          <w:szCs w:val="22"/>
        </w:rPr>
      </w:pPr>
    </w:p>
    <w:p w:rsidR="00EE1BA5" w:rsidRDefault="00EE1BA5" w:rsidP="00EE1BA5">
      <w:pPr>
        <w:jc w:val="center"/>
        <w:rPr>
          <w:b/>
          <w:sz w:val="22"/>
          <w:szCs w:val="22"/>
        </w:rPr>
      </w:pPr>
      <w:r>
        <w:rPr>
          <w:noProof/>
        </w:rPr>
        <w:drawing>
          <wp:inline distT="0" distB="0" distL="0" distR="0" wp14:anchorId="255778B6" wp14:editId="27BEB064">
            <wp:extent cx="5941060" cy="259752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957" t="14477" r="13583" b="29978"/>
                    <a:stretch/>
                  </pic:blipFill>
                  <pic:spPr bwMode="auto">
                    <a:xfrm>
                      <a:off x="0" y="0"/>
                      <a:ext cx="5941060" cy="2597528"/>
                    </a:xfrm>
                    <a:prstGeom prst="rect">
                      <a:avLst/>
                    </a:prstGeom>
                    <a:ln>
                      <a:noFill/>
                    </a:ln>
                    <a:extLst>
                      <a:ext uri="{53640926-AAD7-44D8-BBD7-CCE9431645EC}">
                        <a14:shadowObscured xmlns:a14="http://schemas.microsoft.com/office/drawing/2010/main"/>
                      </a:ext>
                    </a:extLst>
                  </pic:spPr>
                </pic:pic>
              </a:graphicData>
            </a:graphic>
          </wp:inline>
        </w:drawing>
      </w:r>
    </w:p>
    <w:p w:rsidR="00EE1BA5" w:rsidRDefault="00EE1BA5" w:rsidP="0059186E">
      <w:pPr>
        <w:rPr>
          <w:b/>
          <w:sz w:val="22"/>
          <w:szCs w:val="22"/>
        </w:rPr>
      </w:pPr>
    </w:p>
    <w:p w:rsidR="00EE1BA5" w:rsidRPr="00EE1BA5" w:rsidRDefault="00EE1BA5" w:rsidP="00A70929">
      <w:pPr>
        <w:ind w:firstLine="720"/>
        <w:rPr>
          <w:sz w:val="22"/>
          <w:szCs w:val="22"/>
        </w:rPr>
      </w:pPr>
      <w:r w:rsidRPr="00EE1BA5">
        <w:rPr>
          <w:sz w:val="22"/>
          <w:szCs w:val="22"/>
        </w:rPr>
        <w:t>Vykdant priemonę 1.2.1 „Suprojektuoti ir pastatyti radioaktyviųjų atliekų tvarkymo įrenginius, sutvarkyti Ignalinos AE eksploatavimo ir eksploatavimo nutraukimo atliekas“</w:t>
      </w:r>
      <w:r>
        <w:rPr>
          <w:sz w:val="22"/>
          <w:szCs w:val="22"/>
        </w:rPr>
        <w:t xml:space="preserve">, </w:t>
      </w:r>
      <w:r w:rsidRPr="00EE1BA5">
        <w:rPr>
          <w:sz w:val="22"/>
          <w:szCs w:val="22"/>
        </w:rPr>
        <w:t xml:space="preserve"> Įmonėje atliekamas radioaktyviųjų atliekų, susidarančių išmontuojant technologinę įrangą, statinius ir konstrukcijas, apdorojimas. 2018 metais galutinai apdorota 3 276,82 m3 kietųjų „A“ klasės atliekų, 7% mažiau negu planuota dėl matavimo įrangos ryšulių radiologiniam apibūdinimui defektų.</w:t>
      </w:r>
      <w:r>
        <w:rPr>
          <w:sz w:val="22"/>
          <w:szCs w:val="22"/>
        </w:rPr>
        <w:t xml:space="preserve"> </w:t>
      </w:r>
      <w:r w:rsidRPr="00EE1BA5">
        <w:rPr>
          <w:sz w:val="22"/>
          <w:szCs w:val="22"/>
        </w:rPr>
        <w:t>Iškilus teisminiams ginčams su Viešųjų pirkimų tarnyba dėl reikalingų savybių turinčio bitumo pirkimo</w:t>
      </w:r>
      <w:r w:rsidR="00FB3A87">
        <w:rPr>
          <w:sz w:val="22"/>
          <w:szCs w:val="22"/>
        </w:rPr>
        <w:t xml:space="preserve"> </w:t>
      </w:r>
      <w:r w:rsidRPr="00EE1BA5">
        <w:rPr>
          <w:sz w:val="22"/>
          <w:szCs w:val="22"/>
        </w:rPr>
        <w:t xml:space="preserve">2018 metų gruodžio mėnesį, svarstomas pasiūlymas vietoje skystųjų radioaktyviųjų atliekų distiliavimo likučių </w:t>
      </w:r>
      <w:proofErr w:type="spellStart"/>
      <w:r w:rsidRPr="00EE1BA5">
        <w:rPr>
          <w:sz w:val="22"/>
          <w:szCs w:val="22"/>
        </w:rPr>
        <w:t>bitumavimo</w:t>
      </w:r>
      <w:proofErr w:type="spellEnd"/>
      <w:r w:rsidRPr="00EE1BA5">
        <w:rPr>
          <w:sz w:val="22"/>
          <w:szCs w:val="22"/>
        </w:rPr>
        <w:t xml:space="preserve"> atlikti jų cementavimą.  Kietųjų radioaktyviųjų atliekų išėmimo komplekse (projektas B2) buvo užbaigti 1-ojo išėmimo modulio (IM1) „karštieji“ (naudojant radioaktyviąsias medžiagas) bandymai su papildomu atliekų kiekiu</w:t>
      </w:r>
      <w:r w:rsidR="00A70929">
        <w:rPr>
          <w:sz w:val="22"/>
          <w:szCs w:val="22"/>
        </w:rPr>
        <w:t>.</w:t>
      </w:r>
      <w:r w:rsidRPr="00EE1BA5">
        <w:rPr>
          <w:sz w:val="22"/>
          <w:szCs w:val="22"/>
        </w:rPr>
        <w:t xml:space="preserve"> Pagal „karštųjų“ bandymų rezultatus tam tikras iš saugyklos išimamų 3 grupės radioaktyviųjų atliekų kiekis turi aukštesnį radioaktyvumą, nei nurodyta projektiniuose dokumentuose. Dėl to reikalingos papildomos techninės saugos priemonės</w:t>
      </w:r>
      <w:r w:rsidR="00FB3A87">
        <w:rPr>
          <w:sz w:val="22"/>
          <w:szCs w:val="22"/>
        </w:rPr>
        <w:t>.</w:t>
      </w:r>
      <w:r w:rsidRPr="00EE1BA5">
        <w:rPr>
          <w:sz w:val="22"/>
          <w:szCs w:val="22"/>
        </w:rPr>
        <w:t xml:space="preserve"> Leidimą šio objekto pramoninei eksploatacijai planuojama gauti 2019 m. II </w:t>
      </w:r>
      <w:proofErr w:type="spellStart"/>
      <w:r w:rsidRPr="00EE1BA5">
        <w:rPr>
          <w:sz w:val="22"/>
          <w:szCs w:val="22"/>
        </w:rPr>
        <w:t>ketv</w:t>
      </w:r>
      <w:proofErr w:type="spellEnd"/>
      <w:r w:rsidRPr="00EE1BA5">
        <w:rPr>
          <w:sz w:val="22"/>
          <w:szCs w:val="22"/>
        </w:rPr>
        <w:t>.</w:t>
      </w:r>
    </w:p>
    <w:p w:rsidR="00EE1BA5" w:rsidRPr="00EE1BA5" w:rsidRDefault="00EE1BA5" w:rsidP="00FB3A87">
      <w:pPr>
        <w:rPr>
          <w:sz w:val="22"/>
          <w:szCs w:val="22"/>
        </w:rPr>
      </w:pPr>
      <w:r w:rsidRPr="00EE1BA5">
        <w:rPr>
          <w:sz w:val="22"/>
          <w:szCs w:val="22"/>
        </w:rPr>
        <w:tab/>
        <w:t>Kietųjų radioaktyviųjų atliekų tvarkymo ir saugojimo komplekso (projektas B3/4) „karštieji“ bandymai buvo vykdomi pagal VATESI patvirtintą „karštųjų“ bandymų programą. Sprendžiant „karštųjų“ bandymų metu išaiškintą problemą dėl aukštesnio 3 grupės atliekų aktyvumo, su rangovu suderinta papildomų saugos priemonių ir jas pagrindžiančių dokumentų apimtis.</w:t>
      </w:r>
      <w:r w:rsidR="00FB3A87">
        <w:rPr>
          <w:sz w:val="22"/>
          <w:szCs w:val="22"/>
        </w:rPr>
        <w:t xml:space="preserve"> </w:t>
      </w:r>
      <w:r w:rsidRPr="00EE1BA5">
        <w:rPr>
          <w:sz w:val="22"/>
          <w:szCs w:val="22"/>
        </w:rPr>
        <w:t xml:space="preserve">Vykdant trumpaamžių labai mažo aktyvumo radioaktyviųjų atliekų </w:t>
      </w:r>
      <w:proofErr w:type="spellStart"/>
      <w:r w:rsidRPr="00EE1BA5">
        <w:rPr>
          <w:sz w:val="22"/>
          <w:szCs w:val="22"/>
        </w:rPr>
        <w:t>atliekyno</w:t>
      </w:r>
      <w:proofErr w:type="spellEnd"/>
      <w:r w:rsidRPr="00EE1BA5">
        <w:rPr>
          <w:sz w:val="22"/>
          <w:szCs w:val="22"/>
        </w:rPr>
        <w:t xml:space="preserve"> (projektas B19-2) statybos projektą buvo susidurta su sunkumais. VATESI užfiksavo normatyvinių dokumentų reikalavimų pažeidimus, atliekant silpno grunto pakeitimą statybos aikštelėje. Užsitęsus su pažeidimų šalinimu susijusių problemų sprendimui, buvo sustabdyti statybos darbai. Darbus statybos aikštelėje planuojama atnaujinti 2019 m. kovą. </w:t>
      </w:r>
    </w:p>
    <w:p w:rsidR="00EE1BA5" w:rsidRPr="00EE1BA5" w:rsidRDefault="00EE1BA5" w:rsidP="00A70929">
      <w:pPr>
        <w:ind w:firstLine="720"/>
        <w:rPr>
          <w:sz w:val="22"/>
          <w:szCs w:val="22"/>
        </w:rPr>
      </w:pPr>
      <w:r w:rsidRPr="00EE1BA5">
        <w:rPr>
          <w:sz w:val="22"/>
          <w:szCs w:val="22"/>
        </w:rPr>
        <w:t xml:space="preserve">2018 m. tęsiamas mažo ir vidutinio aktyvumo trumpaamžių radioaktyviųjų atliekų paviršinio </w:t>
      </w:r>
      <w:proofErr w:type="spellStart"/>
      <w:r w:rsidRPr="00EE1BA5">
        <w:rPr>
          <w:sz w:val="22"/>
          <w:szCs w:val="22"/>
        </w:rPr>
        <w:t>atliekyno</w:t>
      </w:r>
      <w:proofErr w:type="spellEnd"/>
      <w:r w:rsidRPr="00EE1BA5">
        <w:rPr>
          <w:sz w:val="22"/>
          <w:szCs w:val="22"/>
        </w:rPr>
        <w:t xml:space="preserve"> (projektas B25) 1-ojo statybos etapo darbų ir paslaugų pirkimo dokumentų rengimas. Rugpjūtį paskelbtas konkursas FIDIC inžinieriaus ir techninės priežiūros paslaugoms pirkti. Atliktas gautų FIDIC inžinieriaus ir techninės priežiūros paslaugų pirkimo pasiūlymų įvertinimas. Buvo konstatuota, kad rangovas neatitinka kvalifikacinių reikalavimų, konkursas nutrauktas ir bus paskelbtas iš naujo.</w:t>
      </w:r>
    </w:p>
    <w:p w:rsidR="00096F77" w:rsidRPr="00096F77" w:rsidRDefault="00EE1BA5" w:rsidP="00096F77">
      <w:pPr>
        <w:rPr>
          <w:sz w:val="22"/>
          <w:szCs w:val="22"/>
        </w:rPr>
      </w:pPr>
      <w:r w:rsidRPr="00EE1BA5">
        <w:rPr>
          <w:sz w:val="22"/>
          <w:szCs w:val="22"/>
        </w:rPr>
        <w:tab/>
      </w:r>
      <w:r w:rsidR="00096F77" w:rsidRPr="00096F77">
        <w:rPr>
          <w:sz w:val="22"/>
          <w:szCs w:val="22"/>
        </w:rPr>
        <w:t xml:space="preserve">Vykdant priemonę 2.2.1 </w:t>
      </w:r>
      <w:r w:rsidR="00096F77">
        <w:rPr>
          <w:sz w:val="22"/>
          <w:szCs w:val="22"/>
        </w:rPr>
        <w:t>„V</w:t>
      </w:r>
      <w:r w:rsidR="00096F77" w:rsidRPr="00096F77">
        <w:rPr>
          <w:sz w:val="22"/>
          <w:szCs w:val="22"/>
        </w:rPr>
        <w:t>ykdyti energijos efektyvumo didinimo projektus IAE regione“:</w:t>
      </w:r>
      <w:r w:rsidR="00096F77" w:rsidRPr="00096F77">
        <w:rPr>
          <w:sz w:val="22"/>
          <w:szCs w:val="22"/>
        </w:rPr>
        <w:t xml:space="preserve"> </w:t>
      </w:r>
      <w:r w:rsidR="00096F77">
        <w:rPr>
          <w:sz w:val="22"/>
          <w:szCs w:val="22"/>
        </w:rPr>
        <w:t xml:space="preserve">labiausiai stringa </w:t>
      </w:r>
      <w:r w:rsidR="00096F77" w:rsidRPr="00096F77">
        <w:rPr>
          <w:sz w:val="22"/>
          <w:szCs w:val="22"/>
        </w:rPr>
        <w:t>Visagino rajono savivaldybė</w:t>
      </w:r>
      <w:r w:rsidR="00096F77">
        <w:rPr>
          <w:sz w:val="22"/>
          <w:szCs w:val="22"/>
        </w:rPr>
        <w:t>s projektai:</w:t>
      </w:r>
      <w:r w:rsidR="00096F77" w:rsidRPr="00096F77">
        <w:rPr>
          <w:sz w:val="22"/>
          <w:szCs w:val="22"/>
        </w:rPr>
        <w:t xml:space="preserve"> </w:t>
      </w:r>
      <w:r w:rsidR="00096F77">
        <w:rPr>
          <w:sz w:val="22"/>
          <w:szCs w:val="22"/>
        </w:rPr>
        <w:t xml:space="preserve">buvo renovuojamas 1 </w:t>
      </w:r>
      <w:r w:rsidR="00096F77" w:rsidRPr="00096F77">
        <w:rPr>
          <w:sz w:val="22"/>
          <w:szCs w:val="22"/>
        </w:rPr>
        <w:t>viešosios paskirties pastat</w:t>
      </w:r>
      <w:r w:rsidR="00096F77">
        <w:rPr>
          <w:sz w:val="22"/>
          <w:szCs w:val="22"/>
        </w:rPr>
        <w:t>as</w:t>
      </w:r>
      <w:r w:rsidR="00096F77" w:rsidRPr="00096F77">
        <w:rPr>
          <w:sz w:val="22"/>
          <w:szCs w:val="22"/>
        </w:rPr>
        <w:t>, dėl dar 1 pastato renovavimo įvykdytas konkursas, pasirašyta darbų atlikimo sutartis (darbai prasidės 2019 m.), 1 objekte pirkimo dokumentai šiuo metu derinami su CPVA</w:t>
      </w:r>
      <w:r w:rsidR="00096F77">
        <w:rPr>
          <w:sz w:val="22"/>
          <w:szCs w:val="22"/>
        </w:rPr>
        <w:t xml:space="preserve">. </w:t>
      </w:r>
      <w:r w:rsidR="00096F77" w:rsidRPr="00096F77">
        <w:rPr>
          <w:sz w:val="22"/>
          <w:szCs w:val="22"/>
        </w:rPr>
        <w:t xml:space="preserve">Įgyvendinant Visagino miesto energetinio efektyvumo didinimo daugiabučiuose namuose programą Visagino </w:t>
      </w:r>
      <w:proofErr w:type="spellStart"/>
      <w:r w:rsidR="00096F77" w:rsidRPr="00096F77">
        <w:rPr>
          <w:sz w:val="22"/>
          <w:szCs w:val="22"/>
        </w:rPr>
        <w:t>enervizija</w:t>
      </w:r>
      <w:proofErr w:type="spellEnd"/>
      <w:r w:rsidR="00096F77" w:rsidRPr="00096F77">
        <w:rPr>
          <w:sz w:val="22"/>
          <w:szCs w:val="22"/>
        </w:rPr>
        <w:t xml:space="preserve"> 2017 m. renovuotas vienas daugiabutis, šiuo metu renovuojamas dar 1 daugiabutis, įvykdytas 1 daugiabučio renovavimo darbų pirkimas. Visagino mieste daugiabučių renovavimas stringa dėl gyventojų nenoro renovuotis</w:t>
      </w:r>
      <w:r w:rsidR="00096F77">
        <w:rPr>
          <w:sz w:val="22"/>
          <w:szCs w:val="22"/>
        </w:rPr>
        <w:t>. Ignalinoje ir Zarasuose pastatų renovavimo ir apšvietimo modernizavimo projektai vyksta</w:t>
      </w:r>
      <w:r w:rsidR="00BE3ECE">
        <w:rPr>
          <w:sz w:val="22"/>
          <w:szCs w:val="22"/>
        </w:rPr>
        <w:t xml:space="preserve"> sparčiau</w:t>
      </w:r>
      <w:r w:rsidR="00096F77">
        <w:rPr>
          <w:sz w:val="22"/>
          <w:szCs w:val="22"/>
        </w:rPr>
        <w:t xml:space="preserve">. </w:t>
      </w:r>
    </w:p>
    <w:p w:rsidR="00647CDC" w:rsidRPr="00647CDC" w:rsidRDefault="00647CDC" w:rsidP="00096F77">
      <w:pPr>
        <w:rPr>
          <w:b/>
          <w:sz w:val="22"/>
          <w:szCs w:val="22"/>
        </w:rPr>
      </w:pPr>
      <w:r>
        <w:rPr>
          <w:sz w:val="22"/>
          <w:szCs w:val="22"/>
        </w:rPr>
        <w:tab/>
      </w:r>
      <w:r w:rsidRPr="00647CDC">
        <w:rPr>
          <w:b/>
          <w:sz w:val="22"/>
          <w:szCs w:val="22"/>
        </w:rPr>
        <w:t xml:space="preserve">Derybos dėl naujosios daugiametės finansinės perspektyvos. </w:t>
      </w:r>
      <w:r w:rsidR="00096F77" w:rsidRPr="00647CDC">
        <w:rPr>
          <w:b/>
          <w:sz w:val="22"/>
          <w:szCs w:val="22"/>
        </w:rPr>
        <w:tab/>
      </w:r>
    </w:p>
    <w:p w:rsidR="00096F77" w:rsidRPr="00096F77" w:rsidRDefault="00096F77" w:rsidP="00096F77">
      <w:pPr>
        <w:rPr>
          <w:sz w:val="22"/>
          <w:szCs w:val="22"/>
        </w:rPr>
      </w:pPr>
      <w:r>
        <w:rPr>
          <w:sz w:val="22"/>
          <w:szCs w:val="22"/>
        </w:rPr>
        <w:t xml:space="preserve">Pastebėtina, kad </w:t>
      </w:r>
      <w:r w:rsidRPr="00096F77">
        <w:rPr>
          <w:sz w:val="22"/>
          <w:szCs w:val="22"/>
        </w:rPr>
        <w:t xml:space="preserve">EK 2021–2027 m. daugiametėje finansinėje programoje siūlė Ignalinos AE uždarymui skirti 552 mln. ES lėšų. </w:t>
      </w:r>
      <w:r>
        <w:rPr>
          <w:sz w:val="22"/>
          <w:szCs w:val="22"/>
        </w:rPr>
        <w:t xml:space="preserve">Tačiau </w:t>
      </w:r>
      <w:r w:rsidR="00647CDC">
        <w:rPr>
          <w:sz w:val="22"/>
          <w:szCs w:val="22"/>
        </w:rPr>
        <w:t xml:space="preserve">šių metu pradžioje </w:t>
      </w:r>
      <w:r w:rsidRPr="00096F77">
        <w:rPr>
          <w:sz w:val="22"/>
          <w:szCs w:val="22"/>
        </w:rPr>
        <w:t>Europ</w:t>
      </w:r>
      <w:r>
        <w:rPr>
          <w:sz w:val="22"/>
          <w:szCs w:val="22"/>
        </w:rPr>
        <w:t xml:space="preserve">os parlamentas </w:t>
      </w:r>
      <w:r w:rsidR="00BE3ECE">
        <w:rPr>
          <w:sz w:val="22"/>
          <w:szCs w:val="22"/>
        </w:rPr>
        <w:t>nu</w:t>
      </w:r>
      <w:r w:rsidR="00647CDC">
        <w:rPr>
          <w:sz w:val="22"/>
          <w:szCs w:val="22"/>
        </w:rPr>
        <w:t>balsavo už</w:t>
      </w:r>
      <w:r>
        <w:rPr>
          <w:sz w:val="22"/>
          <w:szCs w:val="22"/>
        </w:rPr>
        <w:t xml:space="preserve"> Lietuvos prašomą sumą – 780 mln. </w:t>
      </w:r>
      <w:r w:rsidRPr="00096F77">
        <w:rPr>
          <w:sz w:val="22"/>
          <w:szCs w:val="22"/>
        </w:rPr>
        <w:t xml:space="preserve"> eurų (dabartinėmis kainomis). </w:t>
      </w:r>
      <w:r>
        <w:rPr>
          <w:sz w:val="22"/>
          <w:szCs w:val="22"/>
        </w:rPr>
        <w:t xml:space="preserve">Europos </w:t>
      </w:r>
      <w:r w:rsidRPr="00096F77">
        <w:rPr>
          <w:sz w:val="22"/>
          <w:szCs w:val="22"/>
        </w:rPr>
        <w:t xml:space="preserve">Parlamentas taip pat </w:t>
      </w:r>
      <w:r w:rsidR="00647CDC">
        <w:rPr>
          <w:sz w:val="22"/>
          <w:szCs w:val="22"/>
        </w:rPr>
        <w:t>parėmė</w:t>
      </w:r>
      <w:r w:rsidRPr="00096F77">
        <w:rPr>
          <w:sz w:val="22"/>
          <w:szCs w:val="22"/>
        </w:rPr>
        <w:t xml:space="preserve"> siūlymą, kad Lietuva prie bendrų eksploatavimo nutraukimo išlaidų, kaip ir iki šiol, prisidėtų 14 proc. EK siūlė didesnę Lietuvos finansavimo dalį – bent 20 proc</w:t>
      </w:r>
      <w:r>
        <w:rPr>
          <w:sz w:val="22"/>
          <w:szCs w:val="22"/>
        </w:rPr>
        <w:t xml:space="preserve">. </w:t>
      </w:r>
    </w:p>
    <w:p w:rsidR="00EE1BA5" w:rsidRDefault="00096F77" w:rsidP="00EE1BA5">
      <w:pPr>
        <w:rPr>
          <w:sz w:val="22"/>
          <w:szCs w:val="22"/>
        </w:rPr>
      </w:pPr>
      <w:r>
        <w:rPr>
          <w:sz w:val="22"/>
          <w:szCs w:val="22"/>
        </w:rPr>
        <w:t xml:space="preserve">Pažymėtina, kad </w:t>
      </w:r>
      <w:r w:rsidRPr="00096F77">
        <w:rPr>
          <w:sz w:val="22"/>
          <w:szCs w:val="22"/>
        </w:rPr>
        <w:t>antrojo Ignalinos AE bloko išmontavimas prasidės 2026 m. ir tęsis po 2027 m.</w:t>
      </w:r>
      <w:r>
        <w:rPr>
          <w:sz w:val="22"/>
          <w:szCs w:val="22"/>
        </w:rPr>
        <w:t xml:space="preserve"> (t. y. pasibaigus finansinės perspektyvos laikotarpiui), </w:t>
      </w:r>
      <w:r w:rsidR="00647CDC">
        <w:rPr>
          <w:sz w:val="22"/>
          <w:szCs w:val="22"/>
        </w:rPr>
        <w:t xml:space="preserve">todėl </w:t>
      </w:r>
      <w:r w:rsidRPr="00096F77">
        <w:rPr>
          <w:sz w:val="22"/>
          <w:szCs w:val="22"/>
        </w:rPr>
        <w:t xml:space="preserve">prieš pradedant </w:t>
      </w:r>
      <w:r>
        <w:rPr>
          <w:sz w:val="22"/>
          <w:szCs w:val="22"/>
        </w:rPr>
        <w:t xml:space="preserve">reaktoriaus išmontavimo </w:t>
      </w:r>
      <w:r w:rsidRPr="00096F77">
        <w:rPr>
          <w:sz w:val="22"/>
          <w:szCs w:val="22"/>
        </w:rPr>
        <w:t>darbus</w:t>
      </w:r>
      <w:r>
        <w:rPr>
          <w:sz w:val="22"/>
          <w:szCs w:val="22"/>
        </w:rPr>
        <w:t>,</w:t>
      </w:r>
      <w:r w:rsidRPr="00096F77">
        <w:rPr>
          <w:sz w:val="22"/>
          <w:szCs w:val="22"/>
        </w:rPr>
        <w:t xml:space="preserve"> turi būti sutelkta pakankamai lėšų </w:t>
      </w:r>
      <w:r>
        <w:rPr>
          <w:sz w:val="22"/>
          <w:szCs w:val="22"/>
        </w:rPr>
        <w:t>šiems darbams</w:t>
      </w:r>
      <w:r w:rsidRPr="00096F77">
        <w:rPr>
          <w:sz w:val="22"/>
          <w:szCs w:val="22"/>
        </w:rPr>
        <w:t>. Neužtikrinus reikiamo finansavimo, tektų bent ketveriems metams stabdyti antrojo Ignalinos AE bloko išmontavimą, o tai padidintų bendras projekto išlaidas bei sukeltų socialinių ir ekonominių problemų regione</w:t>
      </w:r>
    </w:p>
    <w:p w:rsidR="00A70929" w:rsidRPr="00EE1BA5" w:rsidRDefault="00A70929" w:rsidP="00EE1BA5">
      <w:pPr>
        <w:rPr>
          <w:sz w:val="22"/>
          <w:szCs w:val="22"/>
        </w:rPr>
      </w:pPr>
    </w:p>
    <w:p w:rsidR="00FB215F" w:rsidRPr="00FB215F" w:rsidRDefault="006B0F26" w:rsidP="000B1826">
      <w:pPr>
        <w:rPr>
          <w:b/>
          <w:sz w:val="22"/>
          <w:szCs w:val="22"/>
        </w:rPr>
      </w:pPr>
      <w:r>
        <w:rPr>
          <w:b/>
          <w:sz w:val="22"/>
          <w:szCs w:val="22"/>
        </w:rPr>
        <w:t xml:space="preserve">Dalykinio vertinimo išvada: </w:t>
      </w:r>
    </w:p>
    <w:p w:rsidR="00FB215F" w:rsidRPr="00FB215F" w:rsidRDefault="00BA43FE" w:rsidP="000B1826">
      <w:pPr>
        <w:rPr>
          <w:sz w:val="22"/>
          <w:szCs w:val="22"/>
        </w:rPr>
      </w:pPr>
      <w:r>
        <w:rPr>
          <w:sz w:val="22"/>
          <w:szCs w:val="22"/>
        </w:rPr>
        <w:t xml:space="preserve">Siūlytina </w:t>
      </w:r>
      <w:r w:rsidR="00BE3ECE">
        <w:rPr>
          <w:sz w:val="22"/>
          <w:szCs w:val="22"/>
        </w:rPr>
        <w:t xml:space="preserve">ataskaitą svarstyti Vyriausybės pasitarime ir </w:t>
      </w:r>
      <w:r>
        <w:rPr>
          <w:sz w:val="22"/>
          <w:szCs w:val="22"/>
        </w:rPr>
        <w:t xml:space="preserve">atsižvelgti į ataskaitoje ir jos prieduose pateikiamą informaciją. </w:t>
      </w:r>
      <w:r w:rsidR="006B0F26">
        <w:rPr>
          <w:sz w:val="22"/>
          <w:szCs w:val="22"/>
        </w:rPr>
        <w:t xml:space="preserve"> </w:t>
      </w:r>
      <w:r w:rsidR="00FB215F">
        <w:rPr>
          <w:sz w:val="22"/>
          <w:szCs w:val="22"/>
        </w:rPr>
        <w:t xml:space="preserve"> </w:t>
      </w:r>
      <w:r w:rsidR="00FB215F" w:rsidRPr="00FB215F">
        <w:rPr>
          <w:sz w:val="22"/>
          <w:szCs w:val="22"/>
        </w:rPr>
        <w:t xml:space="preserve"> </w:t>
      </w:r>
    </w:p>
    <w:p w:rsidR="008472E6" w:rsidRPr="00FB215F" w:rsidRDefault="008472E6" w:rsidP="009434D4">
      <w:pPr>
        <w:ind w:firstLine="710"/>
        <w:rPr>
          <w:sz w:val="22"/>
          <w:szCs w:val="22"/>
        </w:rPr>
      </w:pPr>
    </w:p>
    <w:p w:rsidR="007D3707" w:rsidRDefault="007D3707" w:rsidP="00085B76">
      <w:pPr>
        <w:ind w:firstLine="710"/>
        <w:rPr>
          <w:sz w:val="22"/>
          <w:szCs w:val="22"/>
        </w:rPr>
      </w:pPr>
    </w:p>
    <w:p w:rsidR="00BE3ECE" w:rsidRDefault="00BE3ECE" w:rsidP="00085B76">
      <w:pPr>
        <w:ind w:firstLine="710"/>
        <w:rPr>
          <w:sz w:val="22"/>
          <w:szCs w:val="22"/>
        </w:rPr>
      </w:pPr>
    </w:p>
    <w:p w:rsidR="00BE3ECE" w:rsidRDefault="00BE3ECE" w:rsidP="00085B76">
      <w:pPr>
        <w:ind w:firstLine="710"/>
        <w:rPr>
          <w:sz w:val="22"/>
          <w:szCs w:val="22"/>
        </w:rPr>
      </w:pPr>
    </w:p>
    <w:p w:rsidR="002D2622" w:rsidRPr="00FB215F" w:rsidRDefault="00BE3ECE" w:rsidP="00085B76">
      <w:pPr>
        <w:ind w:firstLine="710"/>
        <w:rPr>
          <w:sz w:val="22"/>
          <w:szCs w:val="22"/>
        </w:rPr>
      </w:pPr>
      <w:r>
        <w:rPr>
          <w:sz w:val="22"/>
          <w:szCs w:val="22"/>
        </w:rPr>
        <w:t>G</w:t>
      </w:r>
      <w:r w:rsidR="00FB215F">
        <w:rPr>
          <w:sz w:val="22"/>
          <w:szCs w:val="22"/>
        </w:rPr>
        <w:t>rupės</w:t>
      </w:r>
      <w:r>
        <w:rPr>
          <w:sz w:val="22"/>
          <w:szCs w:val="22"/>
        </w:rPr>
        <w:t xml:space="preserve"> </w:t>
      </w:r>
      <w:r w:rsidR="00DF678D" w:rsidRPr="00FB215F">
        <w:rPr>
          <w:sz w:val="22"/>
          <w:szCs w:val="22"/>
        </w:rPr>
        <w:t xml:space="preserve">patarėja                                                                            </w:t>
      </w:r>
      <w:r w:rsidR="00A850DA" w:rsidRPr="00FB215F">
        <w:rPr>
          <w:sz w:val="22"/>
          <w:szCs w:val="22"/>
        </w:rPr>
        <w:t xml:space="preserve">       </w:t>
      </w:r>
      <w:r w:rsidR="00C13EA0" w:rsidRPr="00FB215F">
        <w:rPr>
          <w:sz w:val="22"/>
          <w:szCs w:val="22"/>
        </w:rPr>
        <w:t xml:space="preserve">        </w:t>
      </w:r>
      <w:r w:rsidR="00DF678D" w:rsidRPr="00FB215F">
        <w:rPr>
          <w:sz w:val="22"/>
          <w:szCs w:val="22"/>
        </w:rPr>
        <w:t>Šarūnė Navickaitė-</w:t>
      </w:r>
      <w:proofErr w:type="spellStart"/>
      <w:r w:rsidR="00DF678D" w:rsidRPr="00FB215F">
        <w:rPr>
          <w:sz w:val="22"/>
          <w:szCs w:val="22"/>
        </w:rPr>
        <w:t>Dulaitienė</w:t>
      </w:r>
      <w:proofErr w:type="spellEnd"/>
      <w:r w:rsidR="00DF678D" w:rsidRPr="00FB215F">
        <w:rPr>
          <w:sz w:val="22"/>
          <w:szCs w:val="22"/>
        </w:rPr>
        <w:t xml:space="preserve">                                                              </w:t>
      </w:r>
    </w:p>
    <w:p w:rsidR="004651B3" w:rsidRDefault="004651B3" w:rsidP="001934A6">
      <w:pPr>
        <w:spacing w:line="360" w:lineRule="auto"/>
        <w:rPr>
          <w:szCs w:val="24"/>
        </w:rPr>
      </w:pPr>
      <w:bookmarkStart w:id="0" w:name="_GoBack"/>
      <w:bookmarkEnd w:id="0"/>
    </w:p>
    <w:sectPr w:rsidR="004651B3" w:rsidSect="00FB215F">
      <w:headerReference w:type="default" r:id="rId10"/>
      <w:footerReference w:type="first" r:id="rId11"/>
      <w:footnotePr>
        <w:pos w:val="beneathText"/>
      </w:footnotePr>
      <w:pgSz w:w="11907" w:h="16840" w:code="9"/>
      <w:pgMar w:top="284" w:right="708" w:bottom="284"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60E" w:rsidRDefault="0000660E">
      <w:r>
        <w:separator/>
      </w:r>
    </w:p>
  </w:endnote>
  <w:endnote w:type="continuationSeparator" w:id="0">
    <w:p w:rsidR="0000660E" w:rsidRDefault="0000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873606"/>
      <w:docPartObj>
        <w:docPartGallery w:val="Page Numbers (Bottom of Page)"/>
        <w:docPartUnique/>
      </w:docPartObj>
    </w:sdtPr>
    <w:sdtEndPr>
      <w:rPr>
        <w:noProof/>
      </w:rPr>
    </w:sdtEndPr>
    <w:sdtContent>
      <w:p w:rsidR="00A10AC0" w:rsidRDefault="00A10AC0">
        <w:pPr>
          <w:pStyle w:val="Porat"/>
          <w:jc w:val="right"/>
        </w:pPr>
        <w:r>
          <w:fldChar w:fldCharType="begin"/>
        </w:r>
        <w:r>
          <w:instrText xml:space="preserve"> PAGE   \* MERGEFORMAT </w:instrText>
        </w:r>
        <w:r>
          <w:fldChar w:fldCharType="separate"/>
        </w:r>
        <w:r w:rsidR="00456DD7">
          <w:rPr>
            <w:noProof/>
          </w:rPr>
          <w:t>1</w:t>
        </w:r>
        <w:r>
          <w:rPr>
            <w:noProof/>
          </w:rPr>
          <w:fldChar w:fldCharType="end"/>
        </w:r>
      </w:p>
    </w:sdtContent>
  </w:sdt>
  <w:p w:rsidR="00A10AC0" w:rsidRDefault="00A10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60E" w:rsidRDefault="0000660E">
      <w:r>
        <w:separator/>
      </w:r>
    </w:p>
  </w:footnote>
  <w:footnote w:type="continuationSeparator" w:id="0">
    <w:p w:rsidR="0000660E" w:rsidRDefault="00006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7D3707">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C0D99"/>
    <w:multiLevelType w:val="hybridMultilevel"/>
    <w:tmpl w:val="450EB15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309B5CFF"/>
    <w:multiLevelType w:val="hybridMultilevel"/>
    <w:tmpl w:val="D15427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7585B8E"/>
    <w:multiLevelType w:val="hybridMultilevel"/>
    <w:tmpl w:val="3EC67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B5D26"/>
    <w:multiLevelType w:val="multilevel"/>
    <w:tmpl w:val="327AE7CA"/>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51EB75E2"/>
    <w:multiLevelType w:val="hybridMultilevel"/>
    <w:tmpl w:val="493E5B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62B91EF2"/>
    <w:multiLevelType w:val="hybridMultilevel"/>
    <w:tmpl w:val="AE1AA566"/>
    <w:lvl w:ilvl="0" w:tplc="3A14978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4584539"/>
    <w:multiLevelType w:val="hybridMultilevel"/>
    <w:tmpl w:val="B9743F2C"/>
    <w:lvl w:ilvl="0" w:tplc="D208191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70CB61B1"/>
    <w:multiLevelType w:val="hybridMultilevel"/>
    <w:tmpl w:val="060A07D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7DC67375"/>
    <w:multiLevelType w:val="hybridMultilevel"/>
    <w:tmpl w:val="536A6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2"/>
  </w:num>
  <w:num w:numId="5">
    <w:abstractNumId w:val="6"/>
  </w:num>
  <w:num w:numId="6">
    <w:abstractNumId w:val="5"/>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D14"/>
    <w:rsid w:val="000060D6"/>
    <w:rsid w:val="000064E6"/>
    <w:rsid w:val="0000660E"/>
    <w:rsid w:val="00010AD2"/>
    <w:rsid w:val="0002176C"/>
    <w:rsid w:val="00025980"/>
    <w:rsid w:val="000334EA"/>
    <w:rsid w:val="0003438D"/>
    <w:rsid w:val="00034DD8"/>
    <w:rsid w:val="0004383E"/>
    <w:rsid w:val="00054998"/>
    <w:rsid w:val="000619B6"/>
    <w:rsid w:val="00061F0C"/>
    <w:rsid w:val="00063F7F"/>
    <w:rsid w:val="000640D9"/>
    <w:rsid w:val="0006646F"/>
    <w:rsid w:val="00075948"/>
    <w:rsid w:val="000768E7"/>
    <w:rsid w:val="0007793C"/>
    <w:rsid w:val="000836B0"/>
    <w:rsid w:val="00085B76"/>
    <w:rsid w:val="00087721"/>
    <w:rsid w:val="00090741"/>
    <w:rsid w:val="00096F77"/>
    <w:rsid w:val="000A015A"/>
    <w:rsid w:val="000A48BF"/>
    <w:rsid w:val="000A6D79"/>
    <w:rsid w:val="000B1485"/>
    <w:rsid w:val="000B1826"/>
    <w:rsid w:val="000B6F4D"/>
    <w:rsid w:val="000C12CD"/>
    <w:rsid w:val="000C356F"/>
    <w:rsid w:val="000C4C5B"/>
    <w:rsid w:val="000C4D8D"/>
    <w:rsid w:val="000D05D4"/>
    <w:rsid w:val="000D3F99"/>
    <w:rsid w:val="000E0F2A"/>
    <w:rsid w:val="000E1191"/>
    <w:rsid w:val="000E2261"/>
    <w:rsid w:val="000E67BC"/>
    <w:rsid w:val="000F348F"/>
    <w:rsid w:val="000F3D4F"/>
    <w:rsid w:val="00103FB1"/>
    <w:rsid w:val="00115B83"/>
    <w:rsid w:val="00115E37"/>
    <w:rsid w:val="00115F3F"/>
    <w:rsid w:val="001172F2"/>
    <w:rsid w:val="00121647"/>
    <w:rsid w:val="00123745"/>
    <w:rsid w:val="0012378E"/>
    <w:rsid w:val="00132798"/>
    <w:rsid w:val="00132F4E"/>
    <w:rsid w:val="00135334"/>
    <w:rsid w:val="00142A4E"/>
    <w:rsid w:val="00144209"/>
    <w:rsid w:val="00145E48"/>
    <w:rsid w:val="00147BF3"/>
    <w:rsid w:val="00152EDA"/>
    <w:rsid w:val="00154517"/>
    <w:rsid w:val="00171F01"/>
    <w:rsid w:val="0017277A"/>
    <w:rsid w:val="001738A3"/>
    <w:rsid w:val="00176B17"/>
    <w:rsid w:val="0017755D"/>
    <w:rsid w:val="00181DBC"/>
    <w:rsid w:val="00181EA8"/>
    <w:rsid w:val="00182296"/>
    <w:rsid w:val="001847E2"/>
    <w:rsid w:val="00184C77"/>
    <w:rsid w:val="00186F48"/>
    <w:rsid w:val="001907AD"/>
    <w:rsid w:val="001934A6"/>
    <w:rsid w:val="00193AC4"/>
    <w:rsid w:val="00196430"/>
    <w:rsid w:val="0019649B"/>
    <w:rsid w:val="001A407B"/>
    <w:rsid w:val="001A6AF6"/>
    <w:rsid w:val="001B050C"/>
    <w:rsid w:val="001B3C1C"/>
    <w:rsid w:val="001B4AB0"/>
    <w:rsid w:val="001B7C42"/>
    <w:rsid w:val="001C4D43"/>
    <w:rsid w:val="001C5090"/>
    <w:rsid w:val="001C5891"/>
    <w:rsid w:val="001C7AFF"/>
    <w:rsid w:val="001D0E69"/>
    <w:rsid w:val="001D6971"/>
    <w:rsid w:val="001D6BDC"/>
    <w:rsid w:val="001E1B13"/>
    <w:rsid w:val="001E605C"/>
    <w:rsid w:val="001F0218"/>
    <w:rsid w:val="001F02A2"/>
    <w:rsid w:val="001F3570"/>
    <w:rsid w:val="001F4306"/>
    <w:rsid w:val="001F7681"/>
    <w:rsid w:val="00206439"/>
    <w:rsid w:val="00207E8E"/>
    <w:rsid w:val="0021050E"/>
    <w:rsid w:val="002128B2"/>
    <w:rsid w:val="00213FD7"/>
    <w:rsid w:val="00215078"/>
    <w:rsid w:val="002164B9"/>
    <w:rsid w:val="00217A9C"/>
    <w:rsid w:val="00220951"/>
    <w:rsid w:val="00223745"/>
    <w:rsid w:val="002242F2"/>
    <w:rsid w:val="002329D9"/>
    <w:rsid w:val="00234F10"/>
    <w:rsid w:val="00237858"/>
    <w:rsid w:val="0024366B"/>
    <w:rsid w:val="00247254"/>
    <w:rsid w:val="00262AF5"/>
    <w:rsid w:val="0026387D"/>
    <w:rsid w:val="00263AAB"/>
    <w:rsid w:val="0026457C"/>
    <w:rsid w:val="00264611"/>
    <w:rsid w:val="00276B1B"/>
    <w:rsid w:val="00277B77"/>
    <w:rsid w:val="00280094"/>
    <w:rsid w:val="00283247"/>
    <w:rsid w:val="00283BAD"/>
    <w:rsid w:val="00285501"/>
    <w:rsid w:val="002915D9"/>
    <w:rsid w:val="00291788"/>
    <w:rsid w:val="002956CD"/>
    <w:rsid w:val="002B0494"/>
    <w:rsid w:val="002B04AD"/>
    <w:rsid w:val="002C039B"/>
    <w:rsid w:val="002C090B"/>
    <w:rsid w:val="002C2D23"/>
    <w:rsid w:val="002C4944"/>
    <w:rsid w:val="002C7662"/>
    <w:rsid w:val="002D0E0E"/>
    <w:rsid w:val="002D1BC2"/>
    <w:rsid w:val="002D1BD6"/>
    <w:rsid w:val="002D2622"/>
    <w:rsid w:val="002D2B1D"/>
    <w:rsid w:val="002D3C79"/>
    <w:rsid w:val="002D5E25"/>
    <w:rsid w:val="002E052E"/>
    <w:rsid w:val="002E4F45"/>
    <w:rsid w:val="002E7660"/>
    <w:rsid w:val="002F05B2"/>
    <w:rsid w:val="002F07F3"/>
    <w:rsid w:val="002F414A"/>
    <w:rsid w:val="0030117D"/>
    <w:rsid w:val="003111F5"/>
    <w:rsid w:val="003137E1"/>
    <w:rsid w:val="00315610"/>
    <w:rsid w:val="00317B6A"/>
    <w:rsid w:val="00322B27"/>
    <w:rsid w:val="0032650E"/>
    <w:rsid w:val="003331E6"/>
    <w:rsid w:val="0033356A"/>
    <w:rsid w:val="00333C35"/>
    <w:rsid w:val="0033471F"/>
    <w:rsid w:val="00337D17"/>
    <w:rsid w:val="00343C06"/>
    <w:rsid w:val="00350AA1"/>
    <w:rsid w:val="003536C9"/>
    <w:rsid w:val="0036334E"/>
    <w:rsid w:val="0036514F"/>
    <w:rsid w:val="0036567D"/>
    <w:rsid w:val="00371958"/>
    <w:rsid w:val="00372149"/>
    <w:rsid w:val="0037264E"/>
    <w:rsid w:val="003736B5"/>
    <w:rsid w:val="00381B34"/>
    <w:rsid w:val="00382EFC"/>
    <w:rsid w:val="00384B03"/>
    <w:rsid w:val="00384CE6"/>
    <w:rsid w:val="00390926"/>
    <w:rsid w:val="00390D71"/>
    <w:rsid w:val="003912FC"/>
    <w:rsid w:val="00391D42"/>
    <w:rsid w:val="00396BA1"/>
    <w:rsid w:val="003A7398"/>
    <w:rsid w:val="003A7A1E"/>
    <w:rsid w:val="003C0774"/>
    <w:rsid w:val="003C382F"/>
    <w:rsid w:val="003C6040"/>
    <w:rsid w:val="003C7894"/>
    <w:rsid w:val="003C78A9"/>
    <w:rsid w:val="003D1DBB"/>
    <w:rsid w:val="003D2E33"/>
    <w:rsid w:val="003D325D"/>
    <w:rsid w:val="003D49CD"/>
    <w:rsid w:val="003D6C70"/>
    <w:rsid w:val="003E04D4"/>
    <w:rsid w:val="003E2139"/>
    <w:rsid w:val="003E4416"/>
    <w:rsid w:val="003F25EF"/>
    <w:rsid w:val="003F41FD"/>
    <w:rsid w:val="00411494"/>
    <w:rsid w:val="00416F7C"/>
    <w:rsid w:val="004313DB"/>
    <w:rsid w:val="00431E5A"/>
    <w:rsid w:val="004324B5"/>
    <w:rsid w:val="00432D78"/>
    <w:rsid w:val="00434303"/>
    <w:rsid w:val="00435E8C"/>
    <w:rsid w:val="00446062"/>
    <w:rsid w:val="0044631A"/>
    <w:rsid w:val="004512E6"/>
    <w:rsid w:val="004540E2"/>
    <w:rsid w:val="00456DD7"/>
    <w:rsid w:val="004604F2"/>
    <w:rsid w:val="00464B84"/>
    <w:rsid w:val="00464DCC"/>
    <w:rsid w:val="004651B3"/>
    <w:rsid w:val="004714BE"/>
    <w:rsid w:val="00474AEC"/>
    <w:rsid w:val="00477E66"/>
    <w:rsid w:val="004819C0"/>
    <w:rsid w:val="00481CF3"/>
    <w:rsid w:val="0048678B"/>
    <w:rsid w:val="00487B1B"/>
    <w:rsid w:val="00490875"/>
    <w:rsid w:val="00491C77"/>
    <w:rsid w:val="004A23E1"/>
    <w:rsid w:val="004A2EBC"/>
    <w:rsid w:val="004A3FA9"/>
    <w:rsid w:val="004A4CD1"/>
    <w:rsid w:val="004B1CB3"/>
    <w:rsid w:val="004C02EE"/>
    <w:rsid w:val="004C162D"/>
    <w:rsid w:val="004C2114"/>
    <w:rsid w:val="004C2E08"/>
    <w:rsid w:val="004C3B7E"/>
    <w:rsid w:val="004C3E91"/>
    <w:rsid w:val="004D06B0"/>
    <w:rsid w:val="004D4DA5"/>
    <w:rsid w:val="004D77A1"/>
    <w:rsid w:val="004E1362"/>
    <w:rsid w:val="004E15D1"/>
    <w:rsid w:val="004F5E4F"/>
    <w:rsid w:val="005008B2"/>
    <w:rsid w:val="005016A9"/>
    <w:rsid w:val="00511CB4"/>
    <w:rsid w:val="00521AB0"/>
    <w:rsid w:val="00523DFA"/>
    <w:rsid w:val="0052431E"/>
    <w:rsid w:val="005243A9"/>
    <w:rsid w:val="00532032"/>
    <w:rsid w:val="00535D8F"/>
    <w:rsid w:val="00536728"/>
    <w:rsid w:val="00544DA2"/>
    <w:rsid w:val="00553DF3"/>
    <w:rsid w:val="0056534F"/>
    <w:rsid w:val="00566FC0"/>
    <w:rsid w:val="00571221"/>
    <w:rsid w:val="005725E0"/>
    <w:rsid w:val="0057512E"/>
    <w:rsid w:val="00575795"/>
    <w:rsid w:val="00581180"/>
    <w:rsid w:val="00585363"/>
    <w:rsid w:val="00585563"/>
    <w:rsid w:val="0058671E"/>
    <w:rsid w:val="00587D6F"/>
    <w:rsid w:val="00591102"/>
    <w:rsid w:val="0059180A"/>
    <w:rsid w:val="0059186E"/>
    <w:rsid w:val="00595E42"/>
    <w:rsid w:val="005962CF"/>
    <w:rsid w:val="00596AC5"/>
    <w:rsid w:val="005A7846"/>
    <w:rsid w:val="005B7F18"/>
    <w:rsid w:val="005C31BA"/>
    <w:rsid w:val="005C5BED"/>
    <w:rsid w:val="005D1BC5"/>
    <w:rsid w:val="005D2F60"/>
    <w:rsid w:val="005E1005"/>
    <w:rsid w:val="005E4427"/>
    <w:rsid w:val="005F3974"/>
    <w:rsid w:val="005F40C0"/>
    <w:rsid w:val="005F587B"/>
    <w:rsid w:val="00601661"/>
    <w:rsid w:val="00602132"/>
    <w:rsid w:val="00611901"/>
    <w:rsid w:val="00616C14"/>
    <w:rsid w:val="00620713"/>
    <w:rsid w:val="00626AC0"/>
    <w:rsid w:val="00627072"/>
    <w:rsid w:val="00627F14"/>
    <w:rsid w:val="0063166A"/>
    <w:rsid w:val="00636FA1"/>
    <w:rsid w:val="00637E32"/>
    <w:rsid w:val="00640B7B"/>
    <w:rsid w:val="00643BF0"/>
    <w:rsid w:val="00643C98"/>
    <w:rsid w:val="00644945"/>
    <w:rsid w:val="00647CDC"/>
    <w:rsid w:val="00650504"/>
    <w:rsid w:val="00650B96"/>
    <w:rsid w:val="006568F1"/>
    <w:rsid w:val="00660C29"/>
    <w:rsid w:val="00660E14"/>
    <w:rsid w:val="00664000"/>
    <w:rsid w:val="00674051"/>
    <w:rsid w:val="00675CEE"/>
    <w:rsid w:val="0067745D"/>
    <w:rsid w:val="00687627"/>
    <w:rsid w:val="00691C5D"/>
    <w:rsid w:val="00694986"/>
    <w:rsid w:val="006A2A84"/>
    <w:rsid w:val="006B0434"/>
    <w:rsid w:val="006B0F26"/>
    <w:rsid w:val="006B7507"/>
    <w:rsid w:val="006C091D"/>
    <w:rsid w:val="006C2A33"/>
    <w:rsid w:val="006C3E41"/>
    <w:rsid w:val="006E24E4"/>
    <w:rsid w:val="006E2C52"/>
    <w:rsid w:val="006F1998"/>
    <w:rsid w:val="0070257C"/>
    <w:rsid w:val="007115E3"/>
    <w:rsid w:val="00713E7F"/>
    <w:rsid w:val="00714844"/>
    <w:rsid w:val="00725227"/>
    <w:rsid w:val="00730184"/>
    <w:rsid w:val="007316A5"/>
    <w:rsid w:val="007335AB"/>
    <w:rsid w:val="00740A7A"/>
    <w:rsid w:val="00742138"/>
    <w:rsid w:val="007447ED"/>
    <w:rsid w:val="00756E98"/>
    <w:rsid w:val="00760720"/>
    <w:rsid w:val="0076165D"/>
    <w:rsid w:val="0076629E"/>
    <w:rsid w:val="00766AFF"/>
    <w:rsid w:val="00766F24"/>
    <w:rsid w:val="007706F0"/>
    <w:rsid w:val="00775B2A"/>
    <w:rsid w:val="00775E27"/>
    <w:rsid w:val="00777128"/>
    <w:rsid w:val="00780596"/>
    <w:rsid w:val="00781F74"/>
    <w:rsid w:val="00784382"/>
    <w:rsid w:val="00786DD0"/>
    <w:rsid w:val="00786FF8"/>
    <w:rsid w:val="00787018"/>
    <w:rsid w:val="007903F9"/>
    <w:rsid w:val="0079766D"/>
    <w:rsid w:val="007A3316"/>
    <w:rsid w:val="007A34D1"/>
    <w:rsid w:val="007A4525"/>
    <w:rsid w:val="007A4DCB"/>
    <w:rsid w:val="007A5095"/>
    <w:rsid w:val="007B3021"/>
    <w:rsid w:val="007C2CE6"/>
    <w:rsid w:val="007C7D25"/>
    <w:rsid w:val="007D3707"/>
    <w:rsid w:val="007E13AD"/>
    <w:rsid w:val="007E3129"/>
    <w:rsid w:val="007E3478"/>
    <w:rsid w:val="007F2D76"/>
    <w:rsid w:val="00800237"/>
    <w:rsid w:val="008007B6"/>
    <w:rsid w:val="00810C67"/>
    <w:rsid w:val="008128DB"/>
    <w:rsid w:val="00815203"/>
    <w:rsid w:val="008241FE"/>
    <w:rsid w:val="008305A7"/>
    <w:rsid w:val="008308F8"/>
    <w:rsid w:val="00833D7D"/>
    <w:rsid w:val="008363AC"/>
    <w:rsid w:val="00840BA0"/>
    <w:rsid w:val="00844433"/>
    <w:rsid w:val="00844EB7"/>
    <w:rsid w:val="00845A55"/>
    <w:rsid w:val="0084683D"/>
    <w:rsid w:val="00846AFB"/>
    <w:rsid w:val="008472E6"/>
    <w:rsid w:val="008600ED"/>
    <w:rsid w:val="00860717"/>
    <w:rsid w:val="00860FF7"/>
    <w:rsid w:val="008618DE"/>
    <w:rsid w:val="00864C04"/>
    <w:rsid w:val="0086703B"/>
    <w:rsid w:val="00870EC1"/>
    <w:rsid w:val="008747C2"/>
    <w:rsid w:val="00876B75"/>
    <w:rsid w:val="008805F3"/>
    <w:rsid w:val="00883268"/>
    <w:rsid w:val="0088330A"/>
    <w:rsid w:val="00884691"/>
    <w:rsid w:val="00885739"/>
    <w:rsid w:val="00885B1A"/>
    <w:rsid w:val="00885C75"/>
    <w:rsid w:val="00897050"/>
    <w:rsid w:val="008A1F17"/>
    <w:rsid w:val="008A5416"/>
    <w:rsid w:val="008A5A00"/>
    <w:rsid w:val="008B09A8"/>
    <w:rsid w:val="008B26B6"/>
    <w:rsid w:val="008B5752"/>
    <w:rsid w:val="008B5C58"/>
    <w:rsid w:val="008C0400"/>
    <w:rsid w:val="008C0BEC"/>
    <w:rsid w:val="008C3BFF"/>
    <w:rsid w:val="008C410C"/>
    <w:rsid w:val="008C45A7"/>
    <w:rsid w:val="008C7D7E"/>
    <w:rsid w:val="008D26F0"/>
    <w:rsid w:val="008D2DB3"/>
    <w:rsid w:val="008D3576"/>
    <w:rsid w:val="008D5820"/>
    <w:rsid w:val="008D5944"/>
    <w:rsid w:val="008D63FA"/>
    <w:rsid w:val="008E3195"/>
    <w:rsid w:val="008E3796"/>
    <w:rsid w:val="008E5555"/>
    <w:rsid w:val="008F286A"/>
    <w:rsid w:val="008F31A4"/>
    <w:rsid w:val="00902FE9"/>
    <w:rsid w:val="009058F9"/>
    <w:rsid w:val="00910D20"/>
    <w:rsid w:val="00911A51"/>
    <w:rsid w:val="009157C8"/>
    <w:rsid w:val="00923F2D"/>
    <w:rsid w:val="009244FF"/>
    <w:rsid w:val="00930E17"/>
    <w:rsid w:val="009322F8"/>
    <w:rsid w:val="00935AC7"/>
    <w:rsid w:val="00941002"/>
    <w:rsid w:val="009434D4"/>
    <w:rsid w:val="00950ACF"/>
    <w:rsid w:val="00954EE4"/>
    <w:rsid w:val="00956CA4"/>
    <w:rsid w:val="00960CF7"/>
    <w:rsid w:val="00961B3A"/>
    <w:rsid w:val="00963169"/>
    <w:rsid w:val="0096594A"/>
    <w:rsid w:val="00967ACB"/>
    <w:rsid w:val="0097121A"/>
    <w:rsid w:val="00975CF9"/>
    <w:rsid w:val="00982B8C"/>
    <w:rsid w:val="00983E6C"/>
    <w:rsid w:val="009842BB"/>
    <w:rsid w:val="00984EE6"/>
    <w:rsid w:val="009851BE"/>
    <w:rsid w:val="009861BE"/>
    <w:rsid w:val="0099450C"/>
    <w:rsid w:val="00994CF1"/>
    <w:rsid w:val="009954D5"/>
    <w:rsid w:val="00996907"/>
    <w:rsid w:val="00997F9F"/>
    <w:rsid w:val="009A6DEF"/>
    <w:rsid w:val="009A7FB9"/>
    <w:rsid w:val="009B2578"/>
    <w:rsid w:val="009B72FB"/>
    <w:rsid w:val="009B7A0D"/>
    <w:rsid w:val="009C2711"/>
    <w:rsid w:val="009C4CB2"/>
    <w:rsid w:val="009C55D6"/>
    <w:rsid w:val="009D160D"/>
    <w:rsid w:val="009D4E5D"/>
    <w:rsid w:val="009D6107"/>
    <w:rsid w:val="00A0515D"/>
    <w:rsid w:val="00A0765A"/>
    <w:rsid w:val="00A10AC0"/>
    <w:rsid w:val="00A119E0"/>
    <w:rsid w:val="00A14011"/>
    <w:rsid w:val="00A21578"/>
    <w:rsid w:val="00A240B4"/>
    <w:rsid w:val="00A2593F"/>
    <w:rsid w:val="00A30205"/>
    <w:rsid w:val="00A33959"/>
    <w:rsid w:val="00A34588"/>
    <w:rsid w:val="00A35277"/>
    <w:rsid w:val="00A37B79"/>
    <w:rsid w:val="00A40A4B"/>
    <w:rsid w:val="00A41815"/>
    <w:rsid w:val="00A421B6"/>
    <w:rsid w:val="00A43E48"/>
    <w:rsid w:val="00A44C77"/>
    <w:rsid w:val="00A44E3F"/>
    <w:rsid w:val="00A45939"/>
    <w:rsid w:val="00A46A37"/>
    <w:rsid w:val="00A471C5"/>
    <w:rsid w:val="00A51041"/>
    <w:rsid w:val="00A5324E"/>
    <w:rsid w:val="00A605F1"/>
    <w:rsid w:val="00A7075B"/>
    <w:rsid w:val="00A70929"/>
    <w:rsid w:val="00A7315E"/>
    <w:rsid w:val="00A757A0"/>
    <w:rsid w:val="00A82AFF"/>
    <w:rsid w:val="00A850DA"/>
    <w:rsid w:val="00A87098"/>
    <w:rsid w:val="00A874C9"/>
    <w:rsid w:val="00A93943"/>
    <w:rsid w:val="00AB1B36"/>
    <w:rsid w:val="00AB66D5"/>
    <w:rsid w:val="00AE66DE"/>
    <w:rsid w:val="00AE71C0"/>
    <w:rsid w:val="00AF320E"/>
    <w:rsid w:val="00AF7677"/>
    <w:rsid w:val="00B016D9"/>
    <w:rsid w:val="00B14A97"/>
    <w:rsid w:val="00B1740F"/>
    <w:rsid w:val="00B212D2"/>
    <w:rsid w:val="00B2176E"/>
    <w:rsid w:val="00B22CBE"/>
    <w:rsid w:val="00B25506"/>
    <w:rsid w:val="00B3095D"/>
    <w:rsid w:val="00B30E20"/>
    <w:rsid w:val="00B317F3"/>
    <w:rsid w:val="00B31C35"/>
    <w:rsid w:val="00B3575E"/>
    <w:rsid w:val="00B36E64"/>
    <w:rsid w:val="00B405D7"/>
    <w:rsid w:val="00B4070B"/>
    <w:rsid w:val="00B40B95"/>
    <w:rsid w:val="00B413E4"/>
    <w:rsid w:val="00B423C1"/>
    <w:rsid w:val="00B44059"/>
    <w:rsid w:val="00B456DD"/>
    <w:rsid w:val="00B469D4"/>
    <w:rsid w:val="00B47A53"/>
    <w:rsid w:val="00B524E1"/>
    <w:rsid w:val="00B533BE"/>
    <w:rsid w:val="00B56DA0"/>
    <w:rsid w:val="00B571E9"/>
    <w:rsid w:val="00B64C65"/>
    <w:rsid w:val="00B71A75"/>
    <w:rsid w:val="00B743AB"/>
    <w:rsid w:val="00B80F92"/>
    <w:rsid w:val="00B8469C"/>
    <w:rsid w:val="00B858E9"/>
    <w:rsid w:val="00B86DE8"/>
    <w:rsid w:val="00B91219"/>
    <w:rsid w:val="00B978E9"/>
    <w:rsid w:val="00BA0CFD"/>
    <w:rsid w:val="00BA2DCE"/>
    <w:rsid w:val="00BA43FE"/>
    <w:rsid w:val="00BA519F"/>
    <w:rsid w:val="00BA7220"/>
    <w:rsid w:val="00BA773D"/>
    <w:rsid w:val="00BB48B8"/>
    <w:rsid w:val="00BB60F4"/>
    <w:rsid w:val="00BB7CEA"/>
    <w:rsid w:val="00BC1C58"/>
    <w:rsid w:val="00BC6EAD"/>
    <w:rsid w:val="00BD0E14"/>
    <w:rsid w:val="00BD12BB"/>
    <w:rsid w:val="00BE2C46"/>
    <w:rsid w:val="00BE3ECE"/>
    <w:rsid w:val="00BE4128"/>
    <w:rsid w:val="00BF57F1"/>
    <w:rsid w:val="00C10372"/>
    <w:rsid w:val="00C10F2E"/>
    <w:rsid w:val="00C13EA0"/>
    <w:rsid w:val="00C146B3"/>
    <w:rsid w:val="00C17EB7"/>
    <w:rsid w:val="00C2337C"/>
    <w:rsid w:val="00C27E5B"/>
    <w:rsid w:val="00C32926"/>
    <w:rsid w:val="00C3317A"/>
    <w:rsid w:val="00C4168A"/>
    <w:rsid w:val="00C5024B"/>
    <w:rsid w:val="00C51647"/>
    <w:rsid w:val="00C657B9"/>
    <w:rsid w:val="00C66B96"/>
    <w:rsid w:val="00C76B11"/>
    <w:rsid w:val="00C8387A"/>
    <w:rsid w:val="00C866EF"/>
    <w:rsid w:val="00C92736"/>
    <w:rsid w:val="00C94031"/>
    <w:rsid w:val="00CA71EB"/>
    <w:rsid w:val="00CB1E7B"/>
    <w:rsid w:val="00CB266A"/>
    <w:rsid w:val="00CB3E28"/>
    <w:rsid w:val="00CC4155"/>
    <w:rsid w:val="00CD20C4"/>
    <w:rsid w:val="00CD3172"/>
    <w:rsid w:val="00CD4301"/>
    <w:rsid w:val="00CD70EF"/>
    <w:rsid w:val="00CD7765"/>
    <w:rsid w:val="00CE10BF"/>
    <w:rsid w:val="00CE172C"/>
    <w:rsid w:val="00CE7F6F"/>
    <w:rsid w:val="00CF001B"/>
    <w:rsid w:val="00CF56B2"/>
    <w:rsid w:val="00CF5923"/>
    <w:rsid w:val="00CF7A63"/>
    <w:rsid w:val="00D01081"/>
    <w:rsid w:val="00D02BD0"/>
    <w:rsid w:val="00D0492D"/>
    <w:rsid w:val="00D102C0"/>
    <w:rsid w:val="00D2228A"/>
    <w:rsid w:val="00D23B28"/>
    <w:rsid w:val="00D2671F"/>
    <w:rsid w:val="00D3721B"/>
    <w:rsid w:val="00D37EF9"/>
    <w:rsid w:val="00D411A0"/>
    <w:rsid w:val="00D43FF0"/>
    <w:rsid w:val="00D4599D"/>
    <w:rsid w:val="00D45A40"/>
    <w:rsid w:val="00D463A0"/>
    <w:rsid w:val="00D505BD"/>
    <w:rsid w:val="00D530B0"/>
    <w:rsid w:val="00D55F73"/>
    <w:rsid w:val="00D66614"/>
    <w:rsid w:val="00D6683E"/>
    <w:rsid w:val="00D668C2"/>
    <w:rsid w:val="00D72E97"/>
    <w:rsid w:val="00D74644"/>
    <w:rsid w:val="00D807C8"/>
    <w:rsid w:val="00D83513"/>
    <w:rsid w:val="00D8530C"/>
    <w:rsid w:val="00D86310"/>
    <w:rsid w:val="00D87AFD"/>
    <w:rsid w:val="00D939AF"/>
    <w:rsid w:val="00D96070"/>
    <w:rsid w:val="00D96629"/>
    <w:rsid w:val="00DA194A"/>
    <w:rsid w:val="00DA7E85"/>
    <w:rsid w:val="00DB0D08"/>
    <w:rsid w:val="00DC4EFF"/>
    <w:rsid w:val="00DC64BA"/>
    <w:rsid w:val="00DD576D"/>
    <w:rsid w:val="00DE17C2"/>
    <w:rsid w:val="00DE4A06"/>
    <w:rsid w:val="00DE72B8"/>
    <w:rsid w:val="00DE7ECB"/>
    <w:rsid w:val="00DF1152"/>
    <w:rsid w:val="00DF2470"/>
    <w:rsid w:val="00DF3F65"/>
    <w:rsid w:val="00DF678D"/>
    <w:rsid w:val="00E0294C"/>
    <w:rsid w:val="00E045DA"/>
    <w:rsid w:val="00E10E16"/>
    <w:rsid w:val="00E115B3"/>
    <w:rsid w:val="00E13E76"/>
    <w:rsid w:val="00E21253"/>
    <w:rsid w:val="00E212CC"/>
    <w:rsid w:val="00E21EFF"/>
    <w:rsid w:val="00E2343E"/>
    <w:rsid w:val="00E2454A"/>
    <w:rsid w:val="00E31F9B"/>
    <w:rsid w:val="00E322C3"/>
    <w:rsid w:val="00E37A9E"/>
    <w:rsid w:val="00E411B6"/>
    <w:rsid w:val="00E5008E"/>
    <w:rsid w:val="00E51C33"/>
    <w:rsid w:val="00E52A2C"/>
    <w:rsid w:val="00E52D34"/>
    <w:rsid w:val="00E531CE"/>
    <w:rsid w:val="00E53455"/>
    <w:rsid w:val="00E54938"/>
    <w:rsid w:val="00E65072"/>
    <w:rsid w:val="00E72261"/>
    <w:rsid w:val="00E73378"/>
    <w:rsid w:val="00E76838"/>
    <w:rsid w:val="00E801A3"/>
    <w:rsid w:val="00E8717E"/>
    <w:rsid w:val="00E87E14"/>
    <w:rsid w:val="00E905F5"/>
    <w:rsid w:val="00E97131"/>
    <w:rsid w:val="00E9762D"/>
    <w:rsid w:val="00EA08A9"/>
    <w:rsid w:val="00EA2D07"/>
    <w:rsid w:val="00EA38BC"/>
    <w:rsid w:val="00EB386C"/>
    <w:rsid w:val="00EB4244"/>
    <w:rsid w:val="00EB5DDE"/>
    <w:rsid w:val="00EC431F"/>
    <w:rsid w:val="00EC771F"/>
    <w:rsid w:val="00ED34A1"/>
    <w:rsid w:val="00ED4987"/>
    <w:rsid w:val="00EE1BA5"/>
    <w:rsid w:val="00EE77E5"/>
    <w:rsid w:val="00F03845"/>
    <w:rsid w:val="00F1050D"/>
    <w:rsid w:val="00F10C02"/>
    <w:rsid w:val="00F2096A"/>
    <w:rsid w:val="00F23751"/>
    <w:rsid w:val="00F25950"/>
    <w:rsid w:val="00F26B20"/>
    <w:rsid w:val="00F319B0"/>
    <w:rsid w:val="00F33B84"/>
    <w:rsid w:val="00F368EA"/>
    <w:rsid w:val="00F377F7"/>
    <w:rsid w:val="00F43381"/>
    <w:rsid w:val="00F45694"/>
    <w:rsid w:val="00F50884"/>
    <w:rsid w:val="00F53DB0"/>
    <w:rsid w:val="00F56C5D"/>
    <w:rsid w:val="00F63BC6"/>
    <w:rsid w:val="00F6630B"/>
    <w:rsid w:val="00F717B5"/>
    <w:rsid w:val="00F71DBA"/>
    <w:rsid w:val="00F7301E"/>
    <w:rsid w:val="00F739D9"/>
    <w:rsid w:val="00F7415C"/>
    <w:rsid w:val="00F76A69"/>
    <w:rsid w:val="00F8578E"/>
    <w:rsid w:val="00F85903"/>
    <w:rsid w:val="00F94D25"/>
    <w:rsid w:val="00F97E85"/>
    <w:rsid w:val="00FA2515"/>
    <w:rsid w:val="00FA2A1F"/>
    <w:rsid w:val="00FB03EF"/>
    <w:rsid w:val="00FB215F"/>
    <w:rsid w:val="00FB2E40"/>
    <w:rsid w:val="00FB3A87"/>
    <w:rsid w:val="00FB78AA"/>
    <w:rsid w:val="00FC268F"/>
    <w:rsid w:val="00FC4C7D"/>
    <w:rsid w:val="00FC4D95"/>
    <w:rsid w:val="00FD6868"/>
    <w:rsid w:val="00FD6969"/>
    <w:rsid w:val="00FD78DE"/>
    <w:rsid w:val="00FD796D"/>
    <w:rsid w:val="00FE187B"/>
    <w:rsid w:val="00FE2938"/>
    <w:rsid w:val="00FF063D"/>
    <w:rsid w:val="00FF3B2C"/>
    <w:rsid w:val="00FF7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6649"/>
  <w15:docId w15:val="{2A2EEFB4-18B9-4CDB-9460-6E66F701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uiPriority w:val="99"/>
    <w:rsid w:val="002D2622"/>
    <w:pPr>
      <w:tabs>
        <w:tab w:val="center" w:pos="4153"/>
        <w:tab w:val="right" w:pos="8306"/>
      </w:tabs>
    </w:pPr>
    <w:rPr>
      <w:lang w:val="x-none"/>
    </w:rPr>
  </w:style>
  <w:style w:type="character" w:customStyle="1" w:styleId="PoratDiagrama">
    <w:name w:val="Poraštė Diagrama"/>
    <w:basedOn w:val="Numatytasispastraiposriftas"/>
    <w:link w:val="Porat"/>
    <w:uiPriority w:val="99"/>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64DCC"/>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8355">
      <w:bodyDiv w:val="1"/>
      <w:marLeft w:val="225"/>
      <w:marRight w:val="225"/>
      <w:marTop w:val="0"/>
      <w:marBottom w:val="0"/>
      <w:divBdr>
        <w:top w:val="none" w:sz="0" w:space="0" w:color="auto"/>
        <w:left w:val="none" w:sz="0" w:space="0" w:color="auto"/>
        <w:bottom w:val="none" w:sz="0" w:space="0" w:color="auto"/>
        <w:right w:val="none" w:sz="0" w:space="0" w:color="auto"/>
      </w:divBdr>
      <w:divsChild>
        <w:div w:id="739716053">
          <w:marLeft w:val="0"/>
          <w:marRight w:val="0"/>
          <w:marTop w:val="0"/>
          <w:marBottom w:val="0"/>
          <w:divBdr>
            <w:top w:val="none" w:sz="0" w:space="0" w:color="auto"/>
            <w:left w:val="none" w:sz="0" w:space="0" w:color="auto"/>
            <w:bottom w:val="none" w:sz="0" w:space="0" w:color="auto"/>
            <w:right w:val="none" w:sz="0" w:space="0" w:color="auto"/>
          </w:divBdr>
        </w:div>
      </w:divsChild>
    </w:div>
    <w:div w:id="444352566">
      <w:bodyDiv w:val="1"/>
      <w:marLeft w:val="225"/>
      <w:marRight w:val="225"/>
      <w:marTop w:val="0"/>
      <w:marBottom w:val="0"/>
      <w:divBdr>
        <w:top w:val="none" w:sz="0" w:space="0" w:color="auto"/>
        <w:left w:val="none" w:sz="0" w:space="0" w:color="auto"/>
        <w:bottom w:val="none" w:sz="0" w:space="0" w:color="auto"/>
        <w:right w:val="none" w:sz="0" w:space="0" w:color="auto"/>
      </w:divBdr>
      <w:divsChild>
        <w:div w:id="144972329">
          <w:marLeft w:val="0"/>
          <w:marRight w:val="0"/>
          <w:marTop w:val="0"/>
          <w:marBottom w:val="0"/>
          <w:divBdr>
            <w:top w:val="none" w:sz="0" w:space="0" w:color="auto"/>
            <w:left w:val="none" w:sz="0" w:space="0" w:color="auto"/>
            <w:bottom w:val="none" w:sz="0" w:space="0" w:color="auto"/>
            <w:right w:val="none" w:sz="0" w:space="0" w:color="auto"/>
          </w:divBdr>
        </w:div>
      </w:divsChild>
    </w:div>
    <w:div w:id="848521202">
      <w:bodyDiv w:val="1"/>
      <w:marLeft w:val="0"/>
      <w:marRight w:val="0"/>
      <w:marTop w:val="0"/>
      <w:marBottom w:val="0"/>
      <w:divBdr>
        <w:top w:val="none" w:sz="0" w:space="0" w:color="auto"/>
        <w:left w:val="none" w:sz="0" w:space="0" w:color="auto"/>
        <w:bottom w:val="none" w:sz="0" w:space="0" w:color="auto"/>
        <w:right w:val="none" w:sz="0" w:space="0" w:color="auto"/>
      </w:divBdr>
    </w:div>
    <w:div w:id="1027020943">
      <w:bodyDiv w:val="1"/>
      <w:marLeft w:val="0"/>
      <w:marRight w:val="0"/>
      <w:marTop w:val="0"/>
      <w:marBottom w:val="0"/>
      <w:divBdr>
        <w:top w:val="none" w:sz="0" w:space="0" w:color="auto"/>
        <w:left w:val="none" w:sz="0" w:space="0" w:color="auto"/>
        <w:bottom w:val="none" w:sz="0" w:space="0" w:color="auto"/>
        <w:right w:val="none" w:sz="0" w:space="0" w:color="auto"/>
      </w:divBdr>
    </w:div>
    <w:div w:id="1087574562">
      <w:bodyDiv w:val="1"/>
      <w:marLeft w:val="225"/>
      <w:marRight w:val="225"/>
      <w:marTop w:val="0"/>
      <w:marBottom w:val="0"/>
      <w:divBdr>
        <w:top w:val="none" w:sz="0" w:space="0" w:color="auto"/>
        <w:left w:val="none" w:sz="0" w:space="0" w:color="auto"/>
        <w:bottom w:val="none" w:sz="0" w:space="0" w:color="auto"/>
        <w:right w:val="none" w:sz="0" w:space="0" w:color="auto"/>
      </w:divBdr>
      <w:divsChild>
        <w:div w:id="274989418">
          <w:marLeft w:val="0"/>
          <w:marRight w:val="0"/>
          <w:marTop w:val="0"/>
          <w:marBottom w:val="0"/>
          <w:divBdr>
            <w:top w:val="none" w:sz="0" w:space="0" w:color="auto"/>
            <w:left w:val="none" w:sz="0" w:space="0" w:color="auto"/>
            <w:bottom w:val="none" w:sz="0" w:space="0" w:color="auto"/>
            <w:right w:val="none" w:sz="0" w:space="0" w:color="auto"/>
          </w:divBdr>
        </w:div>
      </w:divsChild>
    </w:div>
    <w:div w:id="1210415288">
      <w:bodyDiv w:val="1"/>
      <w:marLeft w:val="0"/>
      <w:marRight w:val="0"/>
      <w:marTop w:val="0"/>
      <w:marBottom w:val="0"/>
      <w:divBdr>
        <w:top w:val="none" w:sz="0" w:space="0" w:color="auto"/>
        <w:left w:val="none" w:sz="0" w:space="0" w:color="auto"/>
        <w:bottom w:val="none" w:sz="0" w:space="0" w:color="auto"/>
        <w:right w:val="none" w:sz="0" w:space="0" w:color="auto"/>
      </w:divBdr>
      <w:divsChild>
        <w:div w:id="901140424">
          <w:marLeft w:val="0"/>
          <w:marRight w:val="0"/>
          <w:marTop w:val="0"/>
          <w:marBottom w:val="0"/>
          <w:divBdr>
            <w:top w:val="none" w:sz="0" w:space="0" w:color="auto"/>
            <w:left w:val="none" w:sz="0" w:space="0" w:color="auto"/>
            <w:bottom w:val="none" w:sz="0" w:space="0" w:color="auto"/>
            <w:right w:val="none" w:sz="0" w:space="0" w:color="auto"/>
          </w:divBdr>
          <w:divsChild>
            <w:div w:id="49425369">
              <w:marLeft w:val="0"/>
              <w:marRight w:val="0"/>
              <w:marTop w:val="0"/>
              <w:marBottom w:val="0"/>
              <w:divBdr>
                <w:top w:val="none" w:sz="0" w:space="0" w:color="auto"/>
                <w:left w:val="none" w:sz="0" w:space="0" w:color="auto"/>
                <w:bottom w:val="none" w:sz="0" w:space="0" w:color="auto"/>
                <w:right w:val="none" w:sz="0" w:space="0" w:color="auto"/>
              </w:divBdr>
              <w:divsChild>
                <w:div w:id="210919140">
                  <w:marLeft w:val="0"/>
                  <w:marRight w:val="0"/>
                  <w:marTop w:val="0"/>
                  <w:marBottom w:val="0"/>
                  <w:divBdr>
                    <w:top w:val="none" w:sz="0" w:space="0" w:color="auto"/>
                    <w:left w:val="none" w:sz="0" w:space="0" w:color="auto"/>
                    <w:bottom w:val="none" w:sz="0" w:space="0" w:color="auto"/>
                    <w:right w:val="none" w:sz="0" w:space="0" w:color="auto"/>
                  </w:divBdr>
                  <w:divsChild>
                    <w:div w:id="527374585">
                      <w:marLeft w:val="-15"/>
                      <w:marRight w:val="0"/>
                      <w:marTop w:val="0"/>
                      <w:marBottom w:val="0"/>
                      <w:divBdr>
                        <w:top w:val="none" w:sz="0" w:space="0" w:color="auto"/>
                        <w:left w:val="none" w:sz="0" w:space="0" w:color="auto"/>
                        <w:bottom w:val="none" w:sz="0" w:space="0" w:color="auto"/>
                        <w:right w:val="none" w:sz="0" w:space="0" w:color="auto"/>
                      </w:divBdr>
                      <w:divsChild>
                        <w:div w:id="2022656419">
                          <w:marLeft w:val="0"/>
                          <w:marRight w:val="0"/>
                          <w:marTop w:val="0"/>
                          <w:marBottom w:val="0"/>
                          <w:divBdr>
                            <w:top w:val="none" w:sz="0" w:space="0" w:color="auto"/>
                            <w:left w:val="none" w:sz="0" w:space="0" w:color="auto"/>
                            <w:bottom w:val="none" w:sz="0" w:space="0" w:color="auto"/>
                            <w:right w:val="none" w:sz="0" w:space="0" w:color="auto"/>
                          </w:divBdr>
                          <w:divsChild>
                            <w:div w:id="354043578">
                              <w:marLeft w:val="180"/>
                              <w:marRight w:val="0"/>
                              <w:marTop w:val="0"/>
                              <w:marBottom w:val="0"/>
                              <w:divBdr>
                                <w:top w:val="none" w:sz="0" w:space="0" w:color="auto"/>
                                <w:left w:val="none" w:sz="0" w:space="0" w:color="auto"/>
                                <w:bottom w:val="none" w:sz="0" w:space="0" w:color="auto"/>
                                <w:right w:val="none" w:sz="0" w:space="0" w:color="auto"/>
                              </w:divBdr>
                              <w:divsChild>
                                <w:div w:id="218782150">
                                  <w:marLeft w:val="0"/>
                                  <w:marRight w:val="0"/>
                                  <w:marTop w:val="180"/>
                                  <w:marBottom w:val="0"/>
                                  <w:divBdr>
                                    <w:top w:val="none" w:sz="0" w:space="0" w:color="auto"/>
                                    <w:left w:val="none" w:sz="0" w:space="0" w:color="auto"/>
                                    <w:bottom w:val="none" w:sz="0" w:space="0" w:color="auto"/>
                                    <w:right w:val="none" w:sz="0" w:space="0" w:color="auto"/>
                                  </w:divBdr>
                                  <w:divsChild>
                                    <w:div w:id="1942570066">
                                      <w:marLeft w:val="0"/>
                                      <w:marRight w:val="0"/>
                                      <w:marTop w:val="0"/>
                                      <w:marBottom w:val="0"/>
                                      <w:divBdr>
                                        <w:top w:val="none" w:sz="0" w:space="0" w:color="auto"/>
                                        <w:left w:val="none" w:sz="0" w:space="0" w:color="auto"/>
                                        <w:bottom w:val="none" w:sz="0" w:space="0" w:color="auto"/>
                                        <w:right w:val="none" w:sz="0" w:space="0" w:color="auto"/>
                                      </w:divBdr>
                                      <w:divsChild>
                                        <w:div w:id="571936078">
                                          <w:marLeft w:val="180"/>
                                          <w:marRight w:val="0"/>
                                          <w:marTop w:val="0"/>
                                          <w:marBottom w:val="0"/>
                                          <w:divBdr>
                                            <w:top w:val="none" w:sz="0" w:space="0" w:color="auto"/>
                                            <w:left w:val="none" w:sz="0" w:space="0" w:color="auto"/>
                                            <w:bottom w:val="none" w:sz="0" w:space="0" w:color="auto"/>
                                            <w:right w:val="none" w:sz="0" w:space="0" w:color="auto"/>
                                          </w:divBdr>
                                          <w:divsChild>
                                            <w:div w:id="988705410">
                                              <w:marLeft w:val="0"/>
                                              <w:marRight w:val="0"/>
                                              <w:marTop w:val="0"/>
                                              <w:marBottom w:val="0"/>
                                              <w:divBdr>
                                                <w:top w:val="none" w:sz="0" w:space="0" w:color="auto"/>
                                                <w:left w:val="none" w:sz="0" w:space="0" w:color="auto"/>
                                                <w:bottom w:val="none" w:sz="0" w:space="0" w:color="auto"/>
                                                <w:right w:val="none" w:sz="0" w:space="0" w:color="auto"/>
                                              </w:divBdr>
                                              <w:divsChild>
                                                <w:div w:id="815954410">
                                                  <w:marLeft w:val="0"/>
                                                  <w:marRight w:val="0"/>
                                                  <w:marTop w:val="0"/>
                                                  <w:marBottom w:val="0"/>
                                                  <w:divBdr>
                                                    <w:top w:val="none" w:sz="0" w:space="0" w:color="auto"/>
                                                    <w:left w:val="none" w:sz="0" w:space="0" w:color="auto"/>
                                                    <w:bottom w:val="none" w:sz="0" w:space="0" w:color="auto"/>
                                                    <w:right w:val="none" w:sz="0" w:space="0" w:color="auto"/>
                                                  </w:divBdr>
                                                  <w:divsChild>
                                                    <w:div w:id="247470650">
                                                      <w:marLeft w:val="0"/>
                                                      <w:marRight w:val="0"/>
                                                      <w:marTop w:val="0"/>
                                                      <w:marBottom w:val="0"/>
                                                      <w:divBdr>
                                                        <w:top w:val="none" w:sz="0" w:space="0" w:color="auto"/>
                                                        <w:left w:val="none" w:sz="0" w:space="0" w:color="auto"/>
                                                        <w:bottom w:val="none" w:sz="0" w:space="0" w:color="auto"/>
                                                        <w:right w:val="none" w:sz="0" w:space="0" w:color="auto"/>
                                                      </w:divBdr>
                                                      <w:divsChild>
                                                        <w:div w:id="2136413069">
                                                          <w:marLeft w:val="0"/>
                                                          <w:marRight w:val="0"/>
                                                          <w:marTop w:val="0"/>
                                                          <w:marBottom w:val="0"/>
                                                          <w:divBdr>
                                                            <w:top w:val="none" w:sz="0" w:space="0" w:color="auto"/>
                                                            <w:left w:val="none" w:sz="0" w:space="0" w:color="auto"/>
                                                            <w:bottom w:val="none" w:sz="0" w:space="0" w:color="auto"/>
                                                            <w:right w:val="none" w:sz="0" w:space="0" w:color="auto"/>
                                                          </w:divBdr>
                                                          <w:divsChild>
                                                            <w:div w:id="777287611">
                                                              <w:marLeft w:val="0"/>
                                                              <w:marRight w:val="0"/>
                                                              <w:marTop w:val="0"/>
                                                              <w:marBottom w:val="0"/>
                                                              <w:divBdr>
                                                                <w:top w:val="single" w:sz="6" w:space="0" w:color="E5E6E9"/>
                                                                <w:left w:val="single" w:sz="6" w:space="0" w:color="DFE0E4"/>
                                                                <w:bottom w:val="single" w:sz="6" w:space="0" w:color="D0D1D5"/>
                                                                <w:right w:val="single" w:sz="6" w:space="0" w:color="DFE0E4"/>
                                                              </w:divBdr>
                                                              <w:divsChild>
                                                                <w:div w:id="1340082444">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879364165">
                                                                      <w:marLeft w:val="0"/>
                                                                      <w:marRight w:val="0"/>
                                                                      <w:marTop w:val="0"/>
                                                                      <w:marBottom w:val="0"/>
                                                                      <w:divBdr>
                                                                        <w:top w:val="single" w:sz="6" w:space="0" w:color="E5E6E9"/>
                                                                        <w:left w:val="single" w:sz="6" w:space="0" w:color="DFE0E4"/>
                                                                        <w:bottom w:val="single" w:sz="6" w:space="0" w:color="D0D1D5"/>
                                                                        <w:right w:val="single" w:sz="6" w:space="0" w:color="DFE0E4"/>
                                                                      </w:divBdr>
                                                                      <w:divsChild>
                                                                        <w:div w:id="1844004046">
                                                                          <w:marLeft w:val="0"/>
                                                                          <w:marRight w:val="0"/>
                                                                          <w:marTop w:val="0"/>
                                                                          <w:marBottom w:val="0"/>
                                                                          <w:divBdr>
                                                                            <w:top w:val="none" w:sz="0" w:space="0" w:color="auto"/>
                                                                            <w:left w:val="none" w:sz="0" w:space="0" w:color="auto"/>
                                                                            <w:bottom w:val="none" w:sz="0" w:space="0" w:color="auto"/>
                                                                            <w:right w:val="none" w:sz="0" w:space="0" w:color="auto"/>
                                                                          </w:divBdr>
                                                                          <w:divsChild>
                                                                            <w:div w:id="747922545">
                                                                              <w:marLeft w:val="0"/>
                                                                              <w:marRight w:val="0"/>
                                                                              <w:marTop w:val="0"/>
                                                                              <w:marBottom w:val="0"/>
                                                                              <w:divBdr>
                                                                                <w:top w:val="none" w:sz="0" w:space="0" w:color="auto"/>
                                                                                <w:left w:val="none" w:sz="0" w:space="0" w:color="auto"/>
                                                                                <w:bottom w:val="none" w:sz="0" w:space="0" w:color="auto"/>
                                                                                <w:right w:val="none" w:sz="0" w:space="0" w:color="auto"/>
                                                                              </w:divBdr>
                                                                              <w:divsChild>
                                                                                <w:div w:id="1565410467">
                                                                                  <w:marLeft w:val="0"/>
                                                                                  <w:marRight w:val="0"/>
                                                                                  <w:marTop w:val="0"/>
                                                                                  <w:marBottom w:val="0"/>
                                                                                  <w:divBdr>
                                                                                    <w:top w:val="none" w:sz="0" w:space="0" w:color="auto"/>
                                                                                    <w:left w:val="none" w:sz="0" w:space="0" w:color="auto"/>
                                                                                    <w:bottom w:val="none" w:sz="0" w:space="0" w:color="auto"/>
                                                                                    <w:right w:val="none" w:sz="0" w:space="0" w:color="auto"/>
                                                                                  </w:divBdr>
                                                                                  <w:divsChild>
                                                                                    <w:div w:id="1189173590">
                                                                                      <w:marLeft w:val="0"/>
                                                                                      <w:marRight w:val="0"/>
                                                                                      <w:marTop w:val="0"/>
                                                                                      <w:marBottom w:val="0"/>
                                                                                      <w:divBdr>
                                                                                        <w:top w:val="none" w:sz="0" w:space="0" w:color="auto"/>
                                                                                        <w:left w:val="none" w:sz="0" w:space="0" w:color="auto"/>
                                                                                        <w:bottom w:val="none" w:sz="0" w:space="0" w:color="auto"/>
                                                                                        <w:right w:val="none" w:sz="0" w:space="0" w:color="auto"/>
                                                                                      </w:divBdr>
                                                                                      <w:divsChild>
                                                                                        <w:div w:id="1517038797">
                                                                                          <w:marLeft w:val="0"/>
                                                                                          <w:marRight w:val="0"/>
                                                                                          <w:marTop w:val="0"/>
                                                                                          <w:marBottom w:val="0"/>
                                                                                          <w:divBdr>
                                                                                            <w:top w:val="none" w:sz="0" w:space="0" w:color="auto"/>
                                                                                            <w:left w:val="none" w:sz="0" w:space="0" w:color="auto"/>
                                                                                            <w:bottom w:val="none" w:sz="0" w:space="0" w:color="auto"/>
                                                                                            <w:right w:val="none" w:sz="0" w:space="0" w:color="auto"/>
                                                                                          </w:divBdr>
                                                                                          <w:divsChild>
                                                                                            <w:div w:id="2911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2D0"/>
    <w:rsid w:val="00014A3A"/>
    <w:rsid w:val="000279C1"/>
    <w:rsid w:val="00033E94"/>
    <w:rsid w:val="0004518E"/>
    <w:rsid w:val="0004669A"/>
    <w:rsid w:val="00090348"/>
    <w:rsid w:val="000A6D8F"/>
    <w:rsid w:val="000D3C6F"/>
    <w:rsid w:val="000D7ABB"/>
    <w:rsid w:val="000E1449"/>
    <w:rsid w:val="000E7C92"/>
    <w:rsid w:val="00111ABF"/>
    <w:rsid w:val="00153DF6"/>
    <w:rsid w:val="001613B7"/>
    <w:rsid w:val="001A0A9F"/>
    <w:rsid w:val="001C6D44"/>
    <w:rsid w:val="001E0BF7"/>
    <w:rsid w:val="001F4829"/>
    <w:rsid w:val="001F7310"/>
    <w:rsid w:val="00243381"/>
    <w:rsid w:val="00251070"/>
    <w:rsid w:val="00265455"/>
    <w:rsid w:val="00283E48"/>
    <w:rsid w:val="00294044"/>
    <w:rsid w:val="002B0E91"/>
    <w:rsid w:val="002D2B10"/>
    <w:rsid w:val="00332B83"/>
    <w:rsid w:val="00335FBF"/>
    <w:rsid w:val="0034619F"/>
    <w:rsid w:val="003816BF"/>
    <w:rsid w:val="00383A07"/>
    <w:rsid w:val="00393187"/>
    <w:rsid w:val="003A033E"/>
    <w:rsid w:val="003B5A75"/>
    <w:rsid w:val="003E362D"/>
    <w:rsid w:val="003F2205"/>
    <w:rsid w:val="003F42DE"/>
    <w:rsid w:val="00405175"/>
    <w:rsid w:val="00420D08"/>
    <w:rsid w:val="004457B0"/>
    <w:rsid w:val="00466683"/>
    <w:rsid w:val="00494A26"/>
    <w:rsid w:val="00537F2D"/>
    <w:rsid w:val="0054013E"/>
    <w:rsid w:val="00563210"/>
    <w:rsid w:val="00566C89"/>
    <w:rsid w:val="0059430B"/>
    <w:rsid w:val="005A424C"/>
    <w:rsid w:val="005A4A87"/>
    <w:rsid w:val="005B21CD"/>
    <w:rsid w:val="005B3156"/>
    <w:rsid w:val="005D061D"/>
    <w:rsid w:val="005D1504"/>
    <w:rsid w:val="005D52D0"/>
    <w:rsid w:val="005E2AAD"/>
    <w:rsid w:val="00602830"/>
    <w:rsid w:val="00655818"/>
    <w:rsid w:val="00665243"/>
    <w:rsid w:val="00674A33"/>
    <w:rsid w:val="00684342"/>
    <w:rsid w:val="006A0081"/>
    <w:rsid w:val="006A2945"/>
    <w:rsid w:val="00700A26"/>
    <w:rsid w:val="007078E6"/>
    <w:rsid w:val="007302D4"/>
    <w:rsid w:val="00733CF2"/>
    <w:rsid w:val="00791FD6"/>
    <w:rsid w:val="007A330E"/>
    <w:rsid w:val="007A7502"/>
    <w:rsid w:val="007C3EF1"/>
    <w:rsid w:val="007D2E1C"/>
    <w:rsid w:val="007D573A"/>
    <w:rsid w:val="007F1EF1"/>
    <w:rsid w:val="00802E58"/>
    <w:rsid w:val="0084402A"/>
    <w:rsid w:val="00852553"/>
    <w:rsid w:val="008910C4"/>
    <w:rsid w:val="008954F0"/>
    <w:rsid w:val="008F2108"/>
    <w:rsid w:val="008F3E12"/>
    <w:rsid w:val="00930CDC"/>
    <w:rsid w:val="00943297"/>
    <w:rsid w:val="009506D3"/>
    <w:rsid w:val="00983F66"/>
    <w:rsid w:val="00987ABD"/>
    <w:rsid w:val="009A00EB"/>
    <w:rsid w:val="009A5234"/>
    <w:rsid w:val="009A5ABA"/>
    <w:rsid w:val="009A7625"/>
    <w:rsid w:val="009D2DF2"/>
    <w:rsid w:val="00A10056"/>
    <w:rsid w:val="00A1138D"/>
    <w:rsid w:val="00A16370"/>
    <w:rsid w:val="00A17A58"/>
    <w:rsid w:val="00A261D4"/>
    <w:rsid w:val="00A64AF3"/>
    <w:rsid w:val="00AB7434"/>
    <w:rsid w:val="00AC69B5"/>
    <w:rsid w:val="00AE4027"/>
    <w:rsid w:val="00B30BCF"/>
    <w:rsid w:val="00B34709"/>
    <w:rsid w:val="00B452FA"/>
    <w:rsid w:val="00B65C6B"/>
    <w:rsid w:val="00B774FD"/>
    <w:rsid w:val="00B80969"/>
    <w:rsid w:val="00B85986"/>
    <w:rsid w:val="00B905C7"/>
    <w:rsid w:val="00BC2B1A"/>
    <w:rsid w:val="00BC6886"/>
    <w:rsid w:val="00BE1E18"/>
    <w:rsid w:val="00C35324"/>
    <w:rsid w:val="00C35A5C"/>
    <w:rsid w:val="00C64F30"/>
    <w:rsid w:val="00C7327A"/>
    <w:rsid w:val="00C767E5"/>
    <w:rsid w:val="00C84BBA"/>
    <w:rsid w:val="00C85FDE"/>
    <w:rsid w:val="00C95D0D"/>
    <w:rsid w:val="00CB1DB4"/>
    <w:rsid w:val="00CD174D"/>
    <w:rsid w:val="00CF132B"/>
    <w:rsid w:val="00CF1C8C"/>
    <w:rsid w:val="00CF71B3"/>
    <w:rsid w:val="00D63F32"/>
    <w:rsid w:val="00D963D7"/>
    <w:rsid w:val="00DA73B2"/>
    <w:rsid w:val="00DC0E28"/>
    <w:rsid w:val="00DD0C32"/>
    <w:rsid w:val="00DD195E"/>
    <w:rsid w:val="00DE1B9E"/>
    <w:rsid w:val="00E215D5"/>
    <w:rsid w:val="00E31BAE"/>
    <w:rsid w:val="00E5420C"/>
    <w:rsid w:val="00E91C3F"/>
    <w:rsid w:val="00EA0356"/>
    <w:rsid w:val="00EA7F3D"/>
    <w:rsid w:val="00EB484F"/>
    <w:rsid w:val="00EC0BD7"/>
    <w:rsid w:val="00EC2C77"/>
    <w:rsid w:val="00ED56BF"/>
    <w:rsid w:val="00EE3AB5"/>
    <w:rsid w:val="00F05F77"/>
    <w:rsid w:val="00F30D38"/>
    <w:rsid w:val="00F31533"/>
    <w:rsid w:val="00F6217A"/>
    <w:rsid w:val="00F6243F"/>
    <w:rsid w:val="00F64368"/>
    <w:rsid w:val="00F715E3"/>
    <w:rsid w:val="00F9131E"/>
    <w:rsid w:val="00FB0522"/>
    <w:rsid w:val="00FB2E78"/>
    <w:rsid w:val="00FB521E"/>
    <w:rsid w:val="00FC1741"/>
    <w:rsid w:val="00FC1A78"/>
    <w:rsid w:val="00FF043F"/>
    <w:rsid w:val="00FF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402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6FC8AC0295654582883CADF2C89EB9CC">
    <w:name w:val="6FC8AC0295654582883CADF2C89EB9CC"/>
    <w:rsid w:val="008440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6CCD5-BEBD-4092-AC63-70D623D9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1194</TotalTime>
  <Pages>3</Pages>
  <Words>5868</Words>
  <Characters>3345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2019-03-25T11:25:00Z</dcterms:created>
  <dc:creator>Evelina Grincevičiūtė</dc:creator>
  <cp:lastModifiedBy>Šarūnė Navickaitė</cp:lastModifiedBy>
  <cp:lastPrinted>2016-12-27T09:41:00Z</cp:lastPrinted>
  <dcterms:modified xsi:type="dcterms:W3CDTF">2019-03-26T08:12:00Z</dcterms:modified>
  <cp:revision>13</cp:revision>
</cp:coreProperties>
</file>