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8C354" w14:textId="77777777" w:rsidR="000A4F04" w:rsidRDefault="009346CC" w:rsidP="00F9293B">
      <w:pPr>
        <w:pStyle w:val="Standard"/>
        <w:spacing w:after="0" w:line="240" w:lineRule="auto"/>
        <w:jc w:val="center"/>
      </w:pPr>
      <w:bookmarkStart w:id="0" w:name="_GoBack"/>
      <w:bookmarkEnd w:id="0"/>
      <w:r>
        <w:rPr>
          <w:rFonts w:ascii="Times New Roman" w:eastAsia="Times New Roman" w:hAnsi="Times New Roman" w:cs="Times New Roman"/>
          <w:b/>
          <w:bCs/>
          <w:caps/>
          <w:color w:val="000000"/>
          <w:sz w:val="24"/>
          <w:szCs w:val="24"/>
          <w:lang w:val="lt-LT"/>
        </w:rPr>
        <w:t>LIETUVOS RESPUBLIKOS AZARTINIŲ LOŠIMŲ ĮSTATYMO NR. IX-325</w:t>
      </w:r>
      <w:r w:rsidR="00F9293B">
        <w:rPr>
          <w:rFonts w:ascii="Times New Roman" w:eastAsia="Times New Roman" w:hAnsi="Times New Roman" w:cs="Times New Roman"/>
          <w:b/>
          <w:bCs/>
          <w:caps/>
          <w:color w:val="000000"/>
          <w:sz w:val="24"/>
          <w:szCs w:val="24"/>
          <w:lang w:val="lt-LT"/>
        </w:rPr>
        <w:t xml:space="preserve"> trečiojo skirsnio </w:t>
      </w:r>
      <w:r w:rsidR="00DF0C1D">
        <w:rPr>
          <w:rFonts w:ascii="Times New Roman" w:eastAsia="Times New Roman" w:hAnsi="Times New Roman" w:cs="Times New Roman"/>
          <w:b/>
          <w:bCs/>
          <w:caps/>
          <w:color w:val="000000"/>
          <w:sz w:val="24"/>
          <w:szCs w:val="24"/>
          <w:lang w:val="lt-LT"/>
        </w:rPr>
        <w:t xml:space="preserve">PAVADINIMO </w:t>
      </w:r>
      <w:r w:rsidR="00F9293B">
        <w:rPr>
          <w:rFonts w:ascii="Times New Roman" w:eastAsia="Times New Roman" w:hAnsi="Times New Roman" w:cs="Times New Roman"/>
          <w:b/>
          <w:bCs/>
          <w:caps/>
          <w:color w:val="000000"/>
          <w:sz w:val="24"/>
          <w:szCs w:val="24"/>
          <w:lang w:val="lt-LT"/>
        </w:rPr>
        <w:t xml:space="preserve">pakeitimo ir </w:t>
      </w:r>
      <w:r w:rsidR="00934B6C">
        <w:rPr>
          <w:rFonts w:ascii="Times New Roman" w:eastAsia="Times New Roman" w:hAnsi="Times New Roman" w:cs="Times New Roman"/>
          <w:b/>
          <w:bCs/>
          <w:caps/>
          <w:color w:val="000000"/>
          <w:sz w:val="24"/>
          <w:szCs w:val="24"/>
          <w:lang w:val="lt-LT"/>
        </w:rPr>
        <w:t xml:space="preserve">ĮSTATYMO </w:t>
      </w:r>
      <w:r w:rsidR="00F9293B">
        <w:rPr>
          <w:rFonts w:ascii="Times New Roman" w:eastAsia="Times New Roman" w:hAnsi="Times New Roman" w:cs="Times New Roman"/>
          <w:b/>
          <w:bCs/>
          <w:caps/>
          <w:color w:val="000000"/>
          <w:sz w:val="24"/>
          <w:szCs w:val="24"/>
          <w:lang w:val="lt-LT"/>
        </w:rPr>
        <w:t>papildymo</w:t>
      </w:r>
      <w:r w:rsidR="00F9293B">
        <w:t xml:space="preserve"> </w:t>
      </w:r>
      <w:r>
        <w:rPr>
          <w:rFonts w:ascii="Times New Roman" w:eastAsia="Times New Roman" w:hAnsi="Times New Roman" w:cs="Times New Roman"/>
          <w:b/>
          <w:bCs/>
          <w:caps/>
          <w:color w:val="000000"/>
          <w:sz w:val="24"/>
          <w:szCs w:val="24"/>
          <w:lang w:val="lt-LT"/>
        </w:rPr>
        <w:t>21</w:t>
      </w:r>
      <w:r w:rsidR="00F9293B" w:rsidRPr="00F9293B">
        <w:rPr>
          <w:rFonts w:ascii="Times New Roman" w:eastAsia="Times New Roman" w:hAnsi="Times New Roman" w:cs="Times New Roman"/>
          <w:b/>
          <w:bCs/>
          <w:caps/>
          <w:color w:val="000000"/>
          <w:sz w:val="24"/>
          <w:szCs w:val="24"/>
          <w:vertAlign w:val="superscript"/>
        </w:rPr>
        <w:t>1</w:t>
      </w:r>
      <w:r w:rsidR="00F9293B">
        <w:rPr>
          <w:rFonts w:ascii="Times New Roman" w:eastAsia="Times New Roman" w:hAnsi="Times New Roman" w:cs="Times New Roman"/>
          <w:b/>
          <w:bCs/>
          <w:caps/>
          <w:color w:val="000000"/>
          <w:sz w:val="24"/>
          <w:szCs w:val="24"/>
          <w:lang w:val="lt-LT"/>
        </w:rPr>
        <w:t xml:space="preserve"> STRAIPSNIu</w:t>
      </w:r>
      <w:r>
        <w:rPr>
          <w:rFonts w:ascii="Times New Roman" w:eastAsia="Times New Roman" w:hAnsi="Times New Roman" w:cs="Times New Roman"/>
          <w:b/>
          <w:bCs/>
          <w:caps/>
          <w:color w:val="000000"/>
          <w:sz w:val="24"/>
          <w:szCs w:val="24"/>
          <w:lang w:val="lt-LT"/>
        </w:rPr>
        <w:t xml:space="preserve"> </w:t>
      </w:r>
      <w:r>
        <w:rPr>
          <w:rFonts w:ascii="Times New Roman" w:eastAsia="Times New Roman" w:hAnsi="Times New Roman" w:cs="Times New Roman"/>
          <w:b/>
          <w:bCs/>
          <w:color w:val="000000"/>
          <w:sz w:val="24"/>
          <w:szCs w:val="24"/>
          <w:lang w:val="lt-LT"/>
        </w:rPr>
        <w:t>ĮSTATYMO PROJEKTO</w:t>
      </w:r>
    </w:p>
    <w:p w14:paraId="31C8C355" w14:textId="77777777" w:rsidR="000A4F04" w:rsidRDefault="009346CC" w:rsidP="008C1D22">
      <w:pPr>
        <w:pStyle w:val="Standard"/>
        <w:spacing w:after="0" w:line="240" w:lineRule="auto"/>
        <w:jc w:val="center"/>
      </w:pPr>
      <w:r>
        <w:rPr>
          <w:rFonts w:ascii="Times New Roman" w:eastAsia="Times New Roman" w:hAnsi="Times New Roman" w:cs="Times New Roman"/>
          <w:b/>
          <w:bCs/>
          <w:color w:val="000000"/>
          <w:sz w:val="24"/>
          <w:szCs w:val="24"/>
          <w:lang w:val="lt-LT"/>
        </w:rPr>
        <w:t>AIŠKINAMASIS RAŠTAS</w:t>
      </w:r>
    </w:p>
    <w:p w14:paraId="31C8C356" w14:textId="77777777" w:rsidR="000A4F04" w:rsidRDefault="000A4F04">
      <w:pPr>
        <w:pStyle w:val="Standard"/>
        <w:spacing w:after="0" w:line="240" w:lineRule="auto"/>
        <w:ind w:firstLine="851"/>
        <w:jc w:val="center"/>
      </w:pPr>
    </w:p>
    <w:p w14:paraId="31C8C357"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lang w:val="lt-LT"/>
        </w:rPr>
        <w:t> </w:t>
      </w:r>
    </w:p>
    <w:p w14:paraId="31C8C358"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1. Įstatymo projekto rengimą paskatinusios priežastys, parengto projekto tikslai ir uždaviniai</w:t>
      </w:r>
    </w:p>
    <w:p w14:paraId="31C8C359" w14:textId="77777777" w:rsidR="000A4F04" w:rsidRPr="00A62BF0" w:rsidRDefault="009346CC" w:rsidP="00A62BF0">
      <w:pPr>
        <w:tabs>
          <w:tab w:val="left" w:pos="851"/>
          <w:tab w:val="left" w:pos="993"/>
        </w:tabs>
        <w:ind w:firstLine="720"/>
        <w:jc w:val="both"/>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rPr>
        <w:t xml:space="preserve">Lietuvos </w:t>
      </w:r>
      <w:r w:rsidRPr="00F9293B">
        <w:rPr>
          <w:rFonts w:ascii="Times New Roman" w:eastAsia="Times New Roman" w:hAnsi="Times New Roman" w:cs="Times New Roman"/>
          <w:color w:val="000000"/>
          <w:sz w:val="24"/>
          <w:szCs w:val="24"/>
          <w:lang w:val="lt-LT"/>
        </w:rPr>
        <w:t xml:space="preserve">Respublikos azartinių lošimų įstatymo Nr. IX-325 </w:t>
      </w:r>
      <w:r w:rsidR="00F9293B" w:rsidRPr="00F9293B">
        <w:rPr>
          <w:rFonts w:ascii="Times New Roman" w:eastAsia="Times New Roman" w:hAnsi="Times New Roman" w:cs="Times New Roman"/>
          <w:color w:val="000000"/>
          <w:sz w:val="24"/>
          <w:szCs w:val="24"/>
          <w:lang w:val="lt-LT"/>
        </w:rPr>
        <w:t>trečiojo skirsnio</w:t>
      </w:r>
      <w:r w:rsidR="00F9293B">
        <w:rPr>
          <w:rFonts w:ascii="Times New Roman" w:eastAsia="Times New Roman" w:hAnsi="Times New Roman" w:cs="Times New Roman"/>
          <w:color w:val="000000"/>
          <w:sz w:val="24"/>
          <w:szCs w:val="24"/>
          <w:lang w:val="lt-LT"/>
        </w:rPr>
        <w:t xml:space="preserve"> </w:t>
      </w:r>
      <w:r w:rsidR="00DF0C1D">
        <w:rPr>
          <w:rFonts w:ascii="Times New Roman" w:eastAsia="Times New Roman" w:hAnsi="Times New Roman" w:cs="Times New Roman"/>
          <w:color w:val="000000"/>
          <w:sz w:val="24"/>
          <w:szCs w:val="24"/>
          <w:lang w:val="lt-LT"/>
        </w:rPr>
        <w:t xml:space="preserve">pavadinimo </w:t>
      </w:r>
      <w:r w:rsidR="00F9293B">
        <w:rPr>
          <w:rFonts w:ascii="Times New Roman" w:eastAsia="Times New Roman" w:hAnsi="Times New Roman" w:cs="Times New Roman"/>
          <w:color w:val="000000"/>
          <w:sz w:val="24"/>
          <w:szCs w:val="24"/>
          <w:lang w:val="lt-LT"/>
        </w:rPr>
        <w:t xml:space="preserve">pakeitimo ir </w:t>
      </w:r>
      <w:r w:rsidR="00934B6C">
        <w:rPr>
          <w:rFonts w:ascii="Times New Roman" w:eastAsia="Times New Roman" w:hAnsi="Times New Roman" w:cs="Times New Roman"/>
          <w:color w:val="000000"/>
          <w:sz w:val="24"/>
          <w:szCs w:val="24"/>
          <w:lang w:val="lt-LT"/>
        </w:rPr>
        <w:t xml:space="preserve">Įstatymo </w:t>
      </w:r>
      <w:r w:rsidR="00F9293B">
        <w:rPr>
          <w:rFonts w:ascii="Times New Roman" w:eastAsia="Times New Roman" w:hAnsi="Times New Roman" w:cs="Times New Roman"/>
          <w:color w:val="000000"/>
          <w:sz w:val="24"/>
          <w:szCs w:val="24"/>
          <w:lang w:val="lt-LT"/>
        </w:rPr>
        <w:t>papildymo</w:t>
      </w:r>
      <w:r w:rsidR="00F9293B" w:rsidRPr="00F9293B">
        <w:rPr>
          <w:rFonts w:ascii="Times New Roman" w:eastAsia="Times New Roman" w:hAnsi="Times New Roman" w:cs="Times New Roman"/>
          <w:color w:val="000000"/>
          <w:sz w:val="24"/>
          <w:szCs w:val="24"/>
          <w:lang w:val="lt-LT"/>
        </w:rPr>
        <w:t xml:space="preserve"> </w:t>
      </w:r>
      <w:r w:rsidRPr="00F9293B">
        <w:rPr>
          <w:rFonts w:ascii="Times New Roman" w:eastAsia="Times New Roman" w:hAnsi="Times New Roman" w:cs="Times New Roman"/>
          <w:color w:val="000000"/>
          <w:sz w:val="24"/>
          <w:szCs w:val="24"/>
          <w:lang w:val="lt-LT"/>
        </w:rPr>
        <w:t>21</w:t>
      </w:r>
      <w:r w:rsidR="00F9293B" w:rsidRPr="00F9293B">
        <w:rPr>
          <w:rFonts w:ascii="Times New Roman" w:eastAsia="Times New Roman" w:hAnsi="Times New Roman" w:cs="Times New Roman"/>
          <w:color w:val="000000"/>
          <w:sz w:val="24"/>
          <w:szCs w:val="24"/>
          <w:vertAlign w:val="superscript"/>
        </w:rPr>
        <w:t>1</w:t>
      </w:r>
      <w:r w:rsidR="00F9293B">
        <w:rPr>
          <w:rFonts w:ascii="Times New Roman" w:eastAsia="Times New Roman" w:hAnsi="Times New Roman" w:cs="Times New Roman"/>
          <w:color w:val="000000"/>
          <w:sz w:val="24"/>
          <w:szCs w:val="24"/>
          <w:lang w:val="lt-LT"/>
        </w:rPr>
        <w:t xml:space="preserve"> straipsniu</w:t>
      </w:r>
      <w:r w:rsidRPr="00F9293B">
        <w:rPr>
          <w:rFonts w:ascii="Times New Roman" w:eastAsia="Times New Roman" w:hAnsi="Times New Roman" w:cs="Times New Roman"/>
          <w:color w:val="000000"/>
          <w:sz w:val="24"/>
          <w:szCs w:val="24"/>
          <w:lang w:val="lt-LT"/>
        </w:rPr>
        <w:t xml:space="preserve"> įstatymo projektas (toliau – Įstatymo projektas) </w:t>
      </w:r>
      <w:r w:rsidRPr="00F9293B">
        <w:rPr>
          <w:rFonts w:ascii="Times New Roman" w:eastAsia="Times New Roman" w:hAnsi="Times New Roman" w:cs="Times New Roman"/>
          <w:bCs/>
          <w:sz w:val="24"/>
          <w:szCs w:val="24"/>
          <w:lang w:val="lt-LT" w:eastAsia="lt-LT"/>
        </w:rPr>
        <w:t xml:space="preserve">parengtas atsižvelgiant į </w:t>
      </w:r>
      <w:r w:rsidR="00A62BF0" w:rsidRPr="00F9293B">
        <w:rPr>
          <w:rFonts w:ascii="Times New Roman" w:hAnsi="Times New Roman" w:cs="Times New Roman"/>
          <w:sz w:val="24"/>
          <w:szCs w:val="24"/>
          <w:lang w:val="lt-LT"/>
        </w:rPr>
        <w:t>Lietuvos Respublikos Vyriausybės 2020 m. vasario 26 d. nutarimu Nr. 152 „Dėl valstybės lygio ekstremaliosios situacijos paskelbimo</w:t>
      </w:r>
      <w:r w:rsidR="002C317E" w:rsidRPr="00F9293B">
        <w:rPr>
          <w:rFonts w:ascii="Times New Roman" w:hAnsi="Times New Roman" w:cs="Times New Roman"/>
          <w:sz w:val="24"/>
          <w:szCs w:val="24"/>
          <w:lang w:val="lt-LT" w:eastAsia="lt-LT"/>
        </w:rPr>
        <w:t>“</w:t>
      </w:r>
      <w:r w:rsidR="00A62BF0" w:rsidRPr="00F9293B">
        <w:rPr>
          <w:rFonts w:ascii="Times New Roman" w:hAnsi="Times New Roman" w:cs="Times New Roman"/>
          <w:sz w:val="24"/>
          <w:szCs w:val="24"/>
          <w:lang w:val="lt-LT"/>
        </w:rPr>
        <w:t xml:space="preserve"> paskelbtą valstybės lygio ekstremaliąją situaciją visoje šalyje dėl naujojo koronaviruso (COVID-19) plitimo grėsmės ir Lietuvos Respublikos Vyriausybės 2020 m. kovo 14 d. nutarimu Nr. 207 „Dėl karantino Lietuvos Respublikos teritorijoje paskelbimo</w:t>
      </w:r>
      <w:r w:rsidR="002C317E" w:rsidRPr="00F9293B">
        <w:rPr>
          <w:rFonts w:ascii="Times New Roman" w:hAnsi="Times New Roman" w:cs="Times New Roman"/>
          <w:sz w:val="24"/>
          <w:szCs w:val="24"/>
          <w:lang w:val="lt-LT" w:eastAsia="lt-LT"/>
        </w:rPr>
        <w:t>“</w:t>
      </w:r>
      <w:r w:rsidR="00A62BF0" w:rsidRPr="00F9293B">
        <w:rPr>
          <w:rFonts w:ascii="Times New Roman" w:hAnsi="Times New Roman" w:cs="Times New Roman"/>
          <w:sz w:val="24"/>
          <w:szCs w:val="24"/>
          <w:lang w:val="lt-LT"/>
        </w:rPr>
        <w:t xml:space="preserve"> paskelbtą trečią (visiškos parengties) civilinės saugos sistemos parengties lygį ir karantiną visoje Li</w:t>
      </w:r>
      <w:r w:rsidR="002C317E" w:rsidRPr="00F9293B">
        <w:rPr>
          <w:rFonts w:ascii="Times New Roman" w:hAnsi="Times New Roman" w:cs="Times New Roman"/>
          <w:sz w:val="24"/>
          <w:szCs w:val="24"/>
          <w:lang w:val="lt-LT"/>
        </w:rPr>
        <w:t>etuvos Respublikos teritorijoje</w:t>
      </w:r>
      <w:r w:rsidR="00A62BF0" w:rsidRPr="00F9293B">
        <w:rPr>
          <w:rFonts w:ascii="Times New Roman" w:hAnsi="Times New Roman" w:cs="Times New Roman"/>
          <w:bCs/>
          <w:sz w:val="24"/>
          <w:szCs w:val="24"/>
          <w:shd w:val="clear" w:color="auto" w:fill="FFFFFF"/>
          <w:lang w:val="lt-LT"/>
        </w:rPr>
        <w:t xml:space="preserve"> ir šių sprendimų neigiamą poveikį juridinių asmenų veiklai. </w:t>
      </w:r>
      <w:r w:rsidRPr="00F9293B">
        <w:rPr>
          <w:rFonts w:ascii="Times New Roman" w:eastAsia="Times New Roman" w:hAnsi="Times New Roman" w:cs="Times New Roman"/>
          <w:bCs/>
          <w:sz w:val="24"/>
          <w:szCs w:val="24"/>
          <w:lang w:val="lt-LT" w:eastAsia="lt-LT"/>
        </w:rPr>
        <w:t>K</w:t>
      </w:r>
      <w:r w:rsidRPr="00F9293B">
        <w:rPr>
          <w:rFonts w:ascii="Times New Roman" w:hAnsi="Times New Roman" w:cs="Times New Roman"/>
          <w:sz w:val="24"/>
          <w:szCs w:val="24"/>
          <w:lang w:val="lt-LT"/>
        </w:rPr>
        <w:t>arantino laikotarpiu lošimo namų (kazino) ir lošimo automatų salonų veikla draudžiama, todėl ji faktiškai negali būti vykdoma. Tačiau fiksuotas mokestis už lošimo įrenginius taikomas</w:t>
      </w:r>
      <w:r w:rsidR="00A8697E" w:rsidRPr="00F9293B">
        <w:rPr>
          <w:rFonts w:ascii="Times New Roman" w:hAnsi="Times New Roman" w:cs="Times New Roman"/>
          <w:sz w:val="24"/>
          <w:szCs w:val="24"/>
          <w:lang w:val="lt-LT"/>
        </w:rPr>
        <w:t>,</w:t>
      </w:r>
      <w:r w:rsidRPr="00F9293B">
        <w:rPr>
          <w:rFonts w:ascii="Times New Roman" w:hAnsi="Times New Roman" w:cs="Times New Roman"/>
          <w:sz w:val="24"/>
          <w:szCs w:val="24"/>
          <w:lang w:val="lt-LT"/>
        </w:rPr>
        <w:t xml:space="preserve"> neatsižvelgiant į tai, ar iš šios veiklos gaunama pajamų, t. y. mokestis apskaičiuojamas</w:t>
      </w:r>
      <w:r>
        <w:rPr>
          <w:rFonts w:ascii="Times New Roman" w:hAnsi="Times New Roman" w:cs="Times New Roman"/>
          <w:sz w:val="24"/>
          <w:szCs w:val="24"/>
        </w:rPr>
        <w:t xml:space="preserve"> ir sumokamas </w:t>
      </w:r>
      <w:r>
        <w:rPr>
          <w:rFonts w:ascii="Times New Roman" w:hAnsi="Times New Roman" w:cs="Times New Roman"/>
          <w:sz w:val="24"/>
          <w:szCs w:val="24"/>
          <w:lang w:val="lt-LT"/>
        </w:rPr>
        <w:t>už leidime atidaryti automatų ar bingo salon</w:t>
      </w:r>
      <w:r w:rsidR="00070B4F">
        <w:rPr>
          <w:rFonts w:ascii="Times New Roman" w:hAnsi="Times New Roman" w:cs="Times New Roman"/>
          <w:sz w:val="24"/>
          <w:szCs w:val="24"/>
          <w:lang w:val="lt-LT"/>
        </w:rPr>
        <w:t>us</w:t>
      </w:r>
      <w:r>
        <w:rPr>
          <w:rFonts w:ascii="Times New Roman" w:hAnsi="Times New Roman" w:cs="Times New Roman"/>
          <w:sz w:val="24"/>
          <w:szCs w:val="24"/>
          <w:lang w:val="lt-LT"/>
        </w:rPr>
        <w:t>, lošimo namus (kazino) (toliau – leidimas) nurodytus lošimo įrenginius.</w:t>
      </w:r>
    </w:p>
    <w:p w14:paraId="31C8C35A" w14:textId="77777777" w:rsidR="000A4F04" w:rsidRDefault="009346CC" w:rsidP="008C1D22">
      <w:pPr>
        <w:pStyle w:val="Standard"/>
        <w:spacing w:after="0" w:line="240" w:lineRule="auto"/>
        <w:ind w:firstLine="851"/>
        <w:jc w:val="both"/>
      </w:pPr>
      <w:r>
        <w:rPr>
          <w:rFonts w:ascii="Times New Roman" w:eastAsia="Times New Roman" w:hAnsi="Times New Roman" w:cs="Times New Roman"/>
          <w:color w:val="000000"/>
          <w:sz w:val="24"/>
          <w:szCs w:val="24"/>
          <w:lang w:val="lt-LT"/>
        </w:rPr>
        <w:t xml:space="preserve">Įstatymo projekto tikslas – sumažinti verslui tenkančius finansinius nuostolius dėl draudimo vykdyti veiklą </w:t>
      </w:r>
      <w:r w:rsidR="008C1D22">
        <w:rPr>
          <w:rFonts w:ascii="Times New Roman" w:eastAsia="Times New Roman" w:hAnsi="Times New Roman" w:cs="Times New Roman"/>
          <w:color w:val="000000"/>
          <w:sz w:val="24"/>
          <w:szCs w:val="24"/>
          <w:lang w:val="lt-LT"/>
        </w:rPr>
        <w:t xml:space="preserve">nepaprastosios padėties, ekstremaliosios situacijos, </w:t>
      </w:r>
      <w:r w:rsidR="00A8697E">
        <w:rPr>
          <w:rFonts w:ascii="Times New Roman" w:eastAsia="Times New Roman" w:hAnsi="Times New Roman" w:cs="Times New Roman"/>
          <w:color w:val="000000"/>
          <w:sz w:val="24"/>
          <w:szCs w:val="24"/>
          <w:lang w:val="lt-LT"/>
        </w:rPr>
        <w:t>karantino laikotarpiu</w:t>
      </w:r>
      <w:r>
        <w:rPr>
          <w:rFonts w:ascii="Times New Roman" w:eastAsia="Times New Roman" w:hAnsi="Times New Roman" w:cs="Times New Roman"/>
          <w:color w:val="000000"/>
          <w:sz w:val="24"/>
          <w:szCs w:val="24"/>
          <w:lang w:val="lt-LT"/>
        </w:rPr>
        <w:t>.</w:t>
      </w:r>
    </w:p>
    <w:p w14:paraId="31C8C35B" w14:textId="77777777" w:rsidR="000A4F04" w:rsidRDefault="000A4F04">
      <w:pPr>
        <w:pStyle w:val="Standard"/>
        <w:spacing w:after="0" w:line="240" w:lineRule="auto"/>
        <w:ind w:firstLine="851"/>
        <w:jc w:val="both"/>
        <w:rPr>
          <w:rFonts w:ascii="Times New Roman" w:eastAsia="Times New Roman" w:hAnsi="Times New Roman" w:cs="Times New Roman"/>
          <w:color w:val="000000"/>
          <w:sz w:val="24"/>
          <w:szCs w:val="24"/>
          <w:lang w:val="lt-LT"/>
        </w:rPr>
      </w:pPr>
    </w:p>
    <w:p w14:paraId="31C8C35C"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2. Įstatymo projekto iniciatoriai (institucija, asmenys ar piliečių įgalioti atstovai) ir rengėjai</w:t>
      </w:r>
    </w:p>
    <w:p w14:paraId="31C8C35D" w14:textId="77777777" w:rsidR="000A4F04" w:rsidRDefault="009346CC" w:rsidP="008C1D22">
      <w:pPr>
        <w:pStyle w:val="Standard"/>
        <w:spacing w:after="0"/>
        <w:ind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Įstatymo projektą parengė Lietuvos Respublikos finansų ministerijos Finansų rinkų politikos departamento (direktorė Vilma Mačerauskienė, tel. 239 0174, el. p. vilma.macerauskiene@finmin.lt) Draudimo veiklos skyriaus (vedėja Lolita Šumskaitė, tel. 239 0180, el. p. lolita.sumskaite@finmin.lt) vyr</w:t>
      </w:r>
      <w:r w:rsidR="00A8697E">
        <w:rPr>
          <w:rFonts w:ascii="Times New Roman" w:hAnsi="Times New Roman" w:cs="Times New Roman"/>
          <w:bCs/>
          <w:sz w:val="24"/>
          <w:szCs w:val="24"/>
          <w:lang w:val="lt-LT"/>
        </w:rPr>
        <w:t>iausioji</w:t>
      </w:r>
      <w:r>
        <w:rPr>
          <w:rFonts w:ascii="Times New Roman" w:hAnsi="Times New Roman" w:cs="Times New Roman"/>
          <w:bCs/>
          <w:sz w:val="24"/>
          <w:szCs w:val="24"/>
          <w:lang w:val="lt-LT"/>
        </w:rPr>
        <w:t xml:space="preserve"> specialistė Lina Kliukienė (tel. 219 4480, el. p. </w:t>
      </w:r>
      <w:hyperlink r:id="rId6" w:history="1">
        <w:r>
          <w:rPr>
            <w:rFonts w:ascii="Times New Roman" w:hAnsi="Times New Roman" w:cs="Times New Roman"/>
            <w:bCs/>
            <w:color w:val="00000A"/>
            <w:sz w:val="24"/>
            <w:szCs w:val="24"/>
            <w:lang w:val="lt-LT"/>
          </w:rPr>
          <w:t>lina.kliukiene@finmin.lt</w:t>
        </w:r>
      </w:hyperlink>
      <w:r>
        <w:rPr>
          <w:rFonts w:ascii="Times New Roman" w:hAnsi="Times New Roman" w:cs="Times New Roman"/>
          <w:bCs/>
          <w:sz w:val="24"/>
          <w:szCs w:val="24"/>
          <w:lang w:val="lt-LT"/>
        </w:rPr>
        <w:t>).</w:t>
      </w:r>
    </w:p>
    <w:p w14:paraId="31C8C35E" w14:textId="77777777" w:rsidR="00A8697E" w:rsidRDefault="00A8697E" w:rsidP="008C1D22">
      <w:pPr>
        <w:pStyle w:val="Standard"/>
        <w:spacing w:after="0"/>
        <w:ind w:firstLine="851"/>
        <w:jc w:val="both"/>
      </w:pPr>
    </w:p>
    <w:p w14:paraId="31C8C35F"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3. Kaip šiuo metu yra reguliuojami įstatymo projekte aptarti teisiniai santykiai</w:t>
      </w:r>
    </w:p>
    <w:p w14:paraId="31C8C360" w14:textId="77777777" w:rsidR="000A4F04" w:rsidRDefault="009346CC" w:rsidP="008C1D22">
      <w:pPr>
        <w:pStyle w:val="NoSpacing"/>
        <w:spacing w:after="0"/>
        <w:ind w:firstLine="851"/>
        <w:jc w:val="both"/>
      </w:pPr>
      <w:r>
        <w:rPr>
          <w:rFonts w:ascii="Times New Roman" w:eastAsia="Times New Roman" w:hAnsi="Times New Roman" w:cs="Times New Roman"/>
          <w:sz w:val="24"/>
          <w:szCs w:val="24"/>
          <w:lang w:val="lt-LT"/>
        </w:rPr>
        <w:t>Pagal galiojantį teisinį reglamentavimą lošimų organizavimo vietose – automatų salonuose, kur organizuojami lošimai B kategorijos automatais, ir lošimo namuose (kazino), kur organizuojami stalo lošimai ir lošimai A kategorijos automatais</w:t>
      </w:r>
      <w:r w:rsidR="00A8697E">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 turi būti įrengta ne mažiau lošimo įrenginių vienoje lošimo organizavimo vietoje, nei nustatyta </w:t>
      </w:r>
      <w:r w:rsidR="00691225">
        <w:rPr>
          <w:rFonts w:ascii="Times New Roman" w:eastAsia="Times New Roman" w:hAnsi="Times New Roman" w:cs="Times New Roman"/>
          <w:sz w:val="24"/>
          <w:szCs w:val="24"/>
          <w:lang w:val="lt-LT"/>
        </w:rPr>
        <w:t xml:space="preserve">Lietuvos Respublikos azartinių lošimų </w:t>
      </w:r>
      <w:r>
        <w:rPr>
          <w:rFonts w:ascii="Times New Roman" w:eastAsia="Times New Roman" w:hAnsi="Times New Roman" w:cs="Times New Roman"/>
          <w:sz w:val="24"/>
          <w:szCs w:val="24"/>
          <w:lang w:val="lt-LT"/>
        </w:rPr>
        <w:t>įstatym</w:t>
      </w:r>
      <w:r w:rsidR="00691225">
        <w:rPr>
          <w:rFonts w:ascii="Times New Roman" w:eastAsia="Times New Roman" w:hAnsi="Times New Roman" w:cs="Times New Roman"/>
          <w:sz w:val="24"/>
          <w:szCs w:val="24"/>
          <w:lang w:val="lt-LT"/>
        </w:rPr>
        <w:t>e. Šio</w:t>
      </w:r>
      <w:r>
        <w:rPr>
          <w:rFonts w:ascii="Times New Roman" w:eastAsia="Times New Roman" w:hAnsi="Times New Roman" w:cs="Times New Roman"/>
          <w:sz w:val="24"/>
          <w:szCs w:val="24"/>
          <w:lang w:val="lt-LT"/>
        </w:rPr>
        <w:t xml:space="preserve"> įstatymo 1</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lt-LT"/>
        </w:rPr>
        <w:t xml:space="preserve"> straipsnio 3 dalyje nustatyta, kad automatų salonuose privalo būti įrengta ne mažiau kaip 10 B kategorijos automatų, o šio įstatymo 5 dalyje nustatyta, kad </w:t>
      </w:r>
      <w:r>
        <w:rPr>
          <w:rFonts w:ascii="Times New Roman" w:hAnsi="Times New Roman" w:cs="Times New Roman"/>
          <w:sz w:val="24"/>
          <w:szCs w:val="24"/>
          <w:lang w:val="lt-LT"/>
        </w:rPr>
        <w:t>vienuose lošimo namuose (kazino) turi būti ne mažiau kaip 3 lošimo stalai, iš kurių bent vienas</w:t>
      </w:r>
      <w:r>
        <w:rPr>
          <w:rFonts w:ascii="Times New Roman" w:hAnsi="Times New Roman" w:cs="Times New Roman"/>
          <w:color w:val="FF0000"/>
          <w:sz w:val="24"/>
          <w:szCs w:val="24"/>
          <w:lang w:val="lt-LT"/>
        </w:rPr>
        <w:t> </w:t>
      </w:r>
      <w:r>
        <w:rPr>
          <w:rFonts w:ascii="Times New Roman" w:hAnsi="Times New Roman" w:cs="Times New Roman"/>
          <w:sz w:val="24"/>
          <w:szCs w:val="24"/>
          <w:lang w:val="lt-LT"/>
        </w:rPr>
        <w:t>ruletės stalas, ir ne mažiau kaip 30 A kategorijos automatų.</w:t>
      </w:r>
      <w:r>
        <w:rPr>
          <w:rFonts w:ascii="Times New Roman" w:eastAsia="Times New Roman" w:hAnsi="Times New Roman" w:cs="Times New Roman"/>
          <w:sz w:val="24"/>
          <w:szCs w:val="24"/>
          <w:lang w:val="lt-LT"/>
        </w:rPr>
        <w:t xml:space="preserve"> Šiuo metu Azartinių lošimų įstatymas nenumato galimybės sustabdyti </w:t>
      </w:r>
      <w:r>
        <w:rPr>
          <w:rFonts w:ascii="Times New Roman" w:hAnsi="Times New Roman" w:cs="Times New Roman"/>
          <w:sz w:val="24"/>
          <w:szCs w:val="24"/>
          <w:lang w:val="lt-LT"/>
        </w:rPr>
        <w:t>leidimo galiojimo.</w:t>
      </w:r>
      <w:r>
        <w:rPr>
          <w:rFonts w:ascii="Times New Roman" w:eastAsia="Times New Roman" w:hAnsi="Times New Roman" w:cs="Times New Roman"/>
          <w:sz w:val="24"/>
          <w:szCs w:val="24"/>
          <w:lang w:val="lt-LT"/>
        </w:rPr>
        <w:t xml:space="preserve"> Lošimų operatoriai gali pasikeisti leidimus ir sumažinti lošimo įrenginių skaičių, tačiau daugelyje lošimo vietų lošimo įrenginių skaičius dažniausiai nėra didesnis už nustatytą minimalų skaičių. Pagal Lošimų priežiūros tarnybos prie Lietuvos Respublikos finansų ministerijos pateiktą informaciją leidimus pasikeitė </w:t>
      </w:r>
      <w:r w:rsidR="00A8697E" w:rsidRPr="00691225">
        <w:rPr>
          <w:rFonts w:ascii="Times New Roman" w:eastAsia="Times New Roman" w:hAnsi="Times New Roman" w:cs="Times New Roman"/>
          <w:sz w:val="24"/>
          <w:szCs w:val="24"/>
          <w:lang w:val="lt-LT"/>
        </w:rPr>
        <w:t>viena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lt-LT"/>
        </w:rPr>
        <w:t xml:space="preserve">bendrovė – sumažino lošimų įrenginių skaičių dvejuose lošimų namuose (kazino) ir dviejuose automatų salonuose – iš viso sumažinta </w:t>
      </w: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lang w:val="lt-LT"/>
        </w:rPr>
        <w:t xml:space="preserve">A kategorijos automatais, </w:t>
      </w: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lang w:val="lt-LT"/>
        </w:rPr>
        <w:t xml:space="preserve">kortų stalais, </w:t>
      </w: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lang w:val="lt-LT"/>
        </w:rPr>
        <w:t>ruletės stalais ir</w:t>
      </w:r>
      <w:r>
        <w:rPr>
          <w:rFonts w:ascii="Times New Roman" w:eastAsia="Times New Roman" w:hAnsi="Times New Roman" w:cs="Times New Roman"/>
          <w:sz w:val="24"/>
          <w:szCs w:val="24"/>
        </w:rPr>
        <w:t xml:space="preserve"> 16 </w:t>
      </w:r>
      <w:r>
        <w:rPr>
          <w:rFonts w:ascii="Times New Roman" w:eastAsia="Times New Roman" w:hAnsi="Times New Roman" w:cs="Times New Roman"/>
          <w:sz w:val="24"/>
          <w:szCs w:val="24"/>
          <w:lang w:val="lt-LT"/>
        </w:rPr>
        <w:t>B kategorijos automatų.</w:t>
      </w:r>
    </w:p>
    <w:p w14:paraId="31C8C361" w14:textId="77777777" w:rsidR="000A4F04" w:rsidRDefault="009346CC" w:rsidP="00691225">
      <w:pPr>
        <w:pStyle w:val="Standard"/>
        <w:spacing w:after="0" w:line="240" w:lineRule="auto"/>
        <w:ind w:firstLine="851"/>
        <w:jc w:val="both"/>
      </w:pPr>
      <w:r>
        <w:rPr>
          <w:rFonts w:ascii="Times New Roman" w:hAnsi="Times New Roman" w:cs="Times New Roman"/>
          <w:sz w:val="24"/>
          <w:szCs w:val="24"/>
          <w:lang w:val="lt-LT"/>
        </w:rPr>
        <w:t>Pagal Lietuvos Respublikos loterijų ir lošimų mokesčio įstatymo 4 straipsnio 3 dalį, organizuojant lošimus lošimo automatais ir stalo lošimus, skaičiuojama fiksuota mokesčio suma už kiekvieną leidime nurodytą lošimo įrenginį, o šio įstatymo 5 straipsnio 3 dalyje nustatytos fiksuotos mokesčio sumos (eurais per kalendorinių metų mėnesį)</w:t>
      </w:r>
      <w:r w:rsidR="00A8697E">
        <w:rPr>
          <w:rFonts w:ascii="Times New Roman" w:hAnsi="Times New Roman" w:cs="Times New Roman"/>
          <w:sz w:val="24"/>
          <w:szCs w:val="24"/>
          <w:lang w:val="lt-LT"/>
        </w:rPr>
        <w:t>,</w:t>
      </w:r>
      <w:r>
        <w:rPr>
          <w:rFonts w:ascii="Times New Roman" w:hAnsi="Times New Roman" w:cs="Times New Roman"/>
          <w:sz w:val="24"/>
          <w:szCs w:val="24"/>
          <w:lang w:val="lt-LT"/>
        </w:rPr>
        <w:t xml:space="preserve"> taikomos atitinkamam lošimų įrenginiui:</w:t>
      </w:r>
    </w:p>
    <w:p w14:paraId="31C8C362" w14:textId="77777777" w:rsidR="000A4F04" w:rsidRDefault="009346CC" w:rsidP="00691225">
      <w:pPr>
        <w:pStyle w:val="Standard"/>
        <w:spacing w:after="0" w:line="240" w:lineRule="auto"/>
        <w:ind w:firstLine="851"/>
        <w:jc w:val="both"/>
      </w:pPr>
      <w:bookmarkStart w:id="1" w:name="part_574a15073f2749d6aae4edcf285eeb6e"/>
      <w:bookmarkEnd w:id="1"/>
      <w:r>
        <w:rPr>
          <w:rFonts w:ascii="Times New Roman" w:eastAsia="Times New Roman" w:hAnsi="Times New Roman" w:cs="Times New Roman"/>
          <w:color w:val="000000"/>
          <w:sz w:val="24"/>
          <w:szCs w:val="24"/>
          <w:lang w:val="lt-LT" w:eastAsia="lt-LT"/>
        </w:rPr>
        <w:lastRenderedPageBreak/>
        <w:t>- už A kategorijos lošimo automatą – 260 eurų;</w:t>
      </w:r>
    </w:p>
    <w:p w14:paraId="31C8C363" w14:textId="77777777" w:rsidR="000A4F04" w:rsidRDefault="009346CC" w:rsidP="00691225">
      <w:pPr>
        <w:pStyle w:val="Standard"/>
        <w:spacing w:after="0" w:line="240" w:lineRule="auto"/>
        <w:ind w:firstLine="851"/>
        <w:jc w:val="both"/>
      </w:pPr>
      <w:bookmarkStart w:id="2" w:name="part_50358f63f2bf4ba38f48742bb16414fe"/>
      <w:bookmarkEnd w:id="2"/>
      <w:r>
        <w:rPr>
          <w:rFonts w:ascii="Times New Roman" w:eastAsia="Times New Roman" w:hAnsi="Times New Roman" w:cs="Times New Roman"/>
          <w:color w:val="000000"/>
          <w:sz w:val="24"/>
          <w:szCs w:val="24"/>
          <w:lang w:val="lt-LT" w:eastAsia="lt-LT"/>
        </w:rPr>
        <w:t>- už B kategorijos lošimo automatą – 130 eurų;</w:t>
      </w:r>
    </w:p>
    <w:p w14:paraId="31C8C364" w14:textId="77777777" w:rsidR="000A4F04" w:rsidRDefault="009346CC" w:rsidP="00691225">
      <w:pPr>
        <w:pStyle w:val="Standard"/>
        <w:spacing w:after="0" w:line="240" w:lineRule="auto"/>
        <w:ind w:firstLine="851"/>
        <w:jc w:val="both"/>
      </w:pPr>
      <w:bookmarkStart w:id="3" w:name="part_be57f81bb49e4aadaa907ae84d19a14d"/>
      <w:bookmarkEnd w:id="3"/>
      <w:r>
        <w:rPr>
          <w:rFonts w:ascii="Times New Roman" w:eastAsia="Times New Roman" w:hAnsi="Times New Roman" w:cs="Times New Roman"/>
          <w:color w:val="000000"/>
          <w:sz w:val="24"/>
          <w:szCs w:val="24"/>
          <w:lang w:val="lt-LT" w:eastAsia="lt-LT"/>
        </w:rPr>
        <w:t>- už ruletės, kortų arba kauliukų stalą – 2 300 eurų.</w:t>
      </w:r>
    </w:p>
    <w:p w14:paraId="31C8C365" w14:textId="77777777" w:rsidR="000A4F04" w:rsidRDefault="009346CC" w:rsidP="00691225">
      <w:pPr>
        <w:pStyle w:val="Standard"/>
        <w:spacing w:after="0" w:line="240" w:lineRule="auto"/>
        <w:ind w:firstLine="851"/>
        <w:jc w:val="both"/>
      </w:pPr>
      <w:r>
        <w:rPr>
          <w:rFonts w:ascii="Times New Roman" w:hAnsi="Times New Roman" w:cs="Times New Roman"/>
          <w:sz w:val="24"/>
          <w:szCs w:val="24"/>
          <w:lang w:val="lt-LT"/>
        </w:rPr>
        <w:t>Pažymėtina, kad organizuojant minėtus lošimus mokėtina loterijų ir lošimų mokesčio suma priklauso nuo mokesčio mokėtojui išduotame leidime nurodyto lošimo įrenginių skaičiaus. Mėnesio suma, mokama už visus galiojančiuose leidimuose nurodytus fiksuotu mokesčiu apmokes</w:t>
      </w:r>
      <w:r w:rsidR="00DA6A2C">
        <w:rPr>
          <w:rFonts w:ascii="Times New Roman" w:hAnsi="Times New Roman" w:cs="Times New Roman"/>
          <w:sz w:val="24"/>
          <w:szCs w:val="24"/>
          <w:lang w:val="lt-LT"/>
        </w:rPr>
        <w:t>tintus lošimo įrenginius, sudar</w:t>
      </w:r>
      <w:r w:rsidR="006002B9">
        <w:rPr>
          <w:rFonts w:ascii="Times New Roman" w:hAnsi="Times New Roman" w:cs="Times New Roman"/>
          <w:sz w:val="24"/>
          <w:szCs w:val="24"/>
          <w:lang w:val="lt-LT"/>
        </w:rPr>
        <w:t>o</w:t>
      </w:r>
      <w:r>
        <w:rPr>
          <w:rFonts w:ascii="Times New Roman" w:hAnsi="Times New Roman" w:cs="Times New Roman"/>
          <w:sz w:val="24"/>
          <w:szCs w:val="24"/>
          <w:lang w:val="lt-LT"/>
        </w:rPr>
        <w:t xml:space="preserve"> </w:t>
      </w:r>
      <w:r>
        <w:rPr>
          <w:rFonts w:ascii="Times New Roman" w:hAnsi="Times New Roman" w:cs="Times New Roman"/>
          <w:sz w:val="24"/>
          <w:szCs w:val="24"/>
        </w:rPr>
        <w:t>820 300 eur</w:t>
      </w:r>
      <w:r>
        <w:rPr>
          <w:rFonts w:ascii="Times New Roman" w:hAnsi="Times New Roman" w:cs="Times New Roman"/>
          <w:sz w:val="24"/>
          <w:szCs w:val="24"/>
          <w:lang w:val="lt-LT"/>
        </w:rPr>
        <w:t>ų.</w:t>
      </w:r>
    </w:p>
    <w:p w14:paraId="31C8C366"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w:t>
      </w:r>
    </w:p>
    <w:p w14:paraId="31C8C367"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4. Kokios siūlomos naujos teisinio reguliavimo nuostatos ir kokių teigiamų rezultatų laukiama</w:t>
      </w:r>
    </w:p>
    <w:p w14:paraId="31C8C368" w14:textId="77777777" w:rsidR="000A4F04" w:rsidRDefault="009346CC" w:rsidP="00AC01A5">
      <w:pPr>
        <w:pStyle w:val="Standard"/>
        <w:spacing w:after="0" w:line="240" w:lineRule="auto"/>
        <w:ind w:firstLine="851"/>
        <w:jc w:val="both"/>
      </w:pPr>
      <w:r>
        <w:rPr>
          <w:rFonts w:ascii="Times New Roman" w:hAnsi="Times New Roman" w:cs="Times New Roman"/>
          <w:sz w:val="24"/>
          <w:szCs w:val="24"/>
          <w:lang w:val="lt-LT"/>
        </w:rPr>
        <w:t xml:space="preserve">Remiantis Lietuvos Respublikos Vyriausybės 2020 m. kovo 14 d. nutarimo Nr. 207 </w:t>
      </w:r>
      <w:r>
        <w:rPr>
          <w:rFonts w:ascii="Times New Roman" w:hAnsi="Times New Roman" w:cs="Times New Roman"/>
          <w:sz w:val="24"/>
          <w:szCs w:val="24"/>
        </w:rPr>
        <w:t>„</w:t>
      </w:r>
      <w:r>
        <w:rPr>
          <w:rFonts w:ascii="Times New Roman" w:hAnsi="Times New Roman" w:cs="Times New Roman"/>
          <w:sz w:val="24"/>
          <w:szCs w:val="24"/>
          <w:lang w:val="lt-LT"/>
        </w:rPr>
        <w:t>Dėl karantino Lietuvos Respublikos teritorijoje paskelbimo“ 3.2.9 papunkčiu, karantino laikotarpiu lošimo namų (kazino) ir lošimo automatų salonų veikla yra draudžiama, todėl ji faktiškai negali būti vykdoma. Organizuojant lošimus lošimo automatais ir stalo lošimus</w:t>
      </w:r>
      <w:r w:rsidR="00803393">
        <w:rPr>
          <w:rFonts w:ascii="Times New Roman" w:hAnsi="Times New Roman" w:cs="Times New Roman"/>
          <w:sz w:val="24"/>
          <w:szCs w:val="24"/>
          <w:lang w:val="lt-LT"/>
        </w:rPr>
        <w:t>,</w:t>
      </w:r>
      <w:r>
        <w:rPr>
          <w:rFonts w:ascii="Times New Roman" w:hAnsi="Times New Roman" w:cs="Times New Roman"/>
          <w:sz w:val="24"/>
          <w:szCs w:val="24"/>
          <w:lang w:val="lt-LT"/>
        </w:rPr>
        <w:t xml:space="preserve"> fiksuotas mokestis taikomas neatsižvelgiant į tai, ar mokesčio mokėtojas turi galimybę faktiškai vykdyti veiklą, ir į tai, ar iš tokios veiklos gaunama pajamų. Todėl </w:t>
      </w:r>
      <w:r>
        <w:rPr>
          <w:rFonts w:ascii="Times New Roman" w:eastAsia="Times New Roman" w:hAnsi="Times New Roman" w:cs="Times New Roman"/>
          <w:color w:val="000000"/>
          <w:sz w:val="24"/>
          <w:szCs w:val="24"/>
          <w:lang w:val="lt-LT"/>
        </w:rPr>
        <w:t xml:space="preserve">Įstatymo projektu siūloma numatyti, kad, Lietuvos Respublikoje paskelbus nepaprastąją padėtį, ekstremaliąją situaciją, karantiną ir dėl nustatytų ribojimų ar draudimų leidimus turinčioms bendrovėms negalint organizuoti leidimuose nurodytos lošimų veiklos, leidimų galiojimas automatiškai sustabdomas nuo nustatytų ribojimų ar draudimų įsigaliojimo dienos iki nustatytų ribojimų ar draudimų panaikinimo dienos. Įtvirtinus tokį teisinį reguliavimą, lošimų organizatoriui nebūtų taikoma prievolė mokėti fiksuotą mokestį už neeksploatuojamus lošimo įrenginius, nes leidimas būtų sustabdytas. Pažymėtina, kad automatinis leidimo sustabdymas nesukurtų papildomos administracinės naštos </w:t>
      </w:r>
      <w:r w:rsidRPr="00AC01A5">
        <w:rPr>
          <w:rFonts w:ascii="Times New Roman" w:eastAsia="Times New Roman" w:hAnsi="Times New Roman" w:cs="Times New Roman"/>
          <w:color w:val="000000"/>
          <w:sz w:val="24"/>
          <w:szCs w:val="24"/>
          <w:lang w:val="lt-LT"/>
        </w:rPr>
        <w:t xml:space="preserve">verslui, o priežiūros institucijai ji būtų minimali – apie leidimų sustabdymą </w:t>
      </w:r>
      <w:r w:rsidR="00803393" w:rsidRPr="00AC01A5">
        <w:rPr>
          <w:rFonts w:ascii="Times New Roman" w:eastAsia="Times New Roman" w:hAnsi="Times New Roman" w:cs="Times New Roman"/>
          <w:color w:val="000000"/>
          <w:sz w:val="24"/>
          <w:szCs w:val="24"/>
          <w:lang w:val="lt-LT"/>
        </w:rPr>
        <w:t xml:space="preserve">ir </w:t>
      </w:r>
      <w:r w:rsidRPr="00AC01A5">
        <w:rPr>
          <w:rFonts w:ascii="Times New Roman" w:eastAsia="Times New Roman" w:hAnsi="Times New Roman" w:cs="Times New Roman"/>
          <w:color w:val="000000"/>
          <w:sz w:val="24"/>
          <w:szCs w:val="24"/>
          <w:lang w:val="lt-LT"/>
        </w:rPr>
        <w:t xml:space="preserve">sustabdymo panaikinimą </w:t>
      </w:r>
      <w:r w:rsidRPr="00AC01A5">
        <w:rPr>
          <w:rFonts w:ascii="Times New Roman" w:hAnsi="Times New Roman" w:cs="Times New Roman"/>
          <w:sz w:val="24"/>
          <w:szCs w:val="24"/>
          <w:lang w:val="lt-LT"/>
        </w:rPr>
        <w:t xml:space="preserve">Lošimų </w:t>
      </w:r>
      <w:r w:rsidRPr="00AC01A5">
        <w:rPr>
          <w:rFonts w:ascii="Times New Roman" w:eastAsia="Times New Roman" w:hAnsi="Times New Roman" w:cs="Times New Roman"/>
          <w:color w:val="000000"/>
          <w:sz w:val="24"/>
          <w:szCs w:val="24"/>
          <w:lang w:val="lt-LT"/>
        </w:rPr>
        <w:t xml:space="preserve">priežiūros tarnyba </w:t>
      </w:r>
      <w:r w:rsidRPr="00AC01A5">
        <w:rPr>
          <w:rFonts w:ascii="Times New Roman" w:hAnsi="Times New Roman" w:cs="Times New Roman"/>
          <w:sz w:val="24"/>
          <w:szCs w:val="24"/>
          <w:lang w:val="lt-LT"/>
        </w:rPr>
        <w:t>prie Lietuvos Respublikos finansų ministerijos</w:t>
      </w:r>
      <w:r w:rsidRPr="00AC01A5">
        <w:rPr>
          <w:rFonts w:ascii="Times New Roman" w:hAnsi="Times New Roman"/>
          <w:sz w:val="24"/>
          <w:lang w:val="lt-LT"/>
        </w:rPr>
        <w:t xml:space="preserve"> </w:t>
      </w:r>
      <w:r w:rsidRPr="00AC01A5">
        <w:rPr>
          <w:rFonts w:ascii="Times New Roman" w:eastAsia="Times New Roman" w:hAnsi="Times New Roman" w:cs="Times New Roman"/>
          <w:color w:val="000000"/>
          <w:sz w:val="24"/>
          <w:szCs w:val="24"/>
          <w:lang w:val="lt-LT"/>
        </w:rPr>
        <w:t>informuotų</w:t>
      </w:r>
      <w:r>
        <w:rPr>
          <w:rFonts w:ascii="Times New Roman" w:eastAsia="Times New Roman" w:hAnsi="Times New Roman" w:cs="Times New Roman"/>
          <w:color w:val="000000"/>
          <w:sz w:val="24"/>
          <w:szCs w:val="24"/>
          <w:lang w:val="lt-LT"/>
        </w:rPr>
        <w:t xml:space="preserve"> Valstybinę mokesčių inspekciją prie Lietuvos Respublikos finansų ministerijos.</w:t>
      </w:r>
    </w:p>
    <w:p w14:paraId="31C8C369" w14:textId="77777777" w:rsidR="000A4F04" w:rsidRDefault="000A4F04" w:rsidP="00AC01A5">
      <w:pPr>
        <w:pStyle w:val="Standard"/>
        <w:spacing w:after="0" w:line="240" w:lineRule="auto"/>
        <w:ind w:firstLine="851"/>
        <w:jc w:val="both"/>
        <w:rPr>
          <w:rFonts w:eastAsia="Times New Roman" w:cs="Calibri"/>
          <w:color w:val="000000"/>
        </w:rPr>
      </w:pPr>
    </w:p>
    <w:p w14:paraId="31C8C36A"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31C8C36B"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Neigiamų pasekmių nenumatoma.</w:t>
      </w:r>
    </w:p>
    <w:p w14:paraId="31C8C36C"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w:t>
      </w:r>
    </w:p>
    <w:p w14:paraId="31C8C36D"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6. Kokią įtaką priimtas įstatymas turės kriminogeninei situacijai, korupcijai</w:t>
      </w:r>
    </w:p>
    <w:p w14:paraId="31C8C36E"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Priimtas Įstatymo projektas kriminogeninei situacijai įtakos neturės.</w:t>
      </w:r>
    </w:p>
    <w:p w14:paraId="31C8C36F"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w:t>
      </w:r>
    </w:p>
    <w:p w14:paraId="31C8C370"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7. Kaip įstatymo įgyvendinimas atsilieps verslo sąlygoms ir jo plėtrai</w:t>
      </w:r>
    </w:p>
    <w:p w14:paraId="31C8C371"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xml:space="preserve">Priimtas Įstatymo projektas teisingiau sureguliuos verslo sąlygas, t. y. sumažins lošimo bendrovių patiriamus nuostolius, kai lošimų salonų ir lošimų namų (kazino) veikla draudžiama esant </w:t>
      </w:r>
      <w:r w:rsidR="00FF0989">
        <w:rPr>
          <w:rFonts w:ascii="Times New Roman" w:eastAsia="Times New Roman" w:hAnsi="Times New Roman" w:cs="Times New Roman"/>
          <w:color w:val="000000"/>
          <w:sz w:val="24"/>
          <w:szCs w:val="24"/>
          <w:lang w:val="lt-LT"/>
        </w:rPr>
        <w:t xml:space="preserve">nepaprastajai padėčiai, </w:t>
      </w:r>
      <w:r>
        <w:rPr>
          <w:rFonts w:ascii="Times New Roman" w:eastAsia="Times New Roman" w:hAnsi="Times New Roman" w:cs="Times New Roman"/>
          <w:color w:val="000000"/>
          <w:sz w:val="24"/>
          <w:szCs w:val="24"/>
          <w:lang w:val="lt-LT"/>
        </w:rPr>
        <w:t>ekstremaliajai situacijai</w:t>
      </w:r>
      <w:r w:rsidR="00FF0989">
        <w:rPr>
          <w:rFonts w:ascii="Times New Roman" w:eastAsia="Times New Roman" w:hAnsi="Times New Roman" w:cs="Times New Roman"/>
          <w:color w:val="000000"/>
          <w:sz w:val="24"/>
          <w:szCs w:val="24"/>
          <w:lang w:val="lt-LT"/>
        </w:rPr>
        <w:t xml:space="preserve">, </w:t>
      </w:r>
      <w:r w:rsidR="00803393">
        <w:rPr>
          <w:rFonts w:ascii="Times New Roman" w:eastAsia="Times New Roman" w:hAnsi="Times New Roman" w:cs="Times New Roman"/>
          <w:color w:val="000000"/>
          <w:sz w:val="24"/>
          <w:szCs w:val="24"/>
          <w:lang w:val="lt-LT"/>
        </w:rPr>
        <w:t>karantino režimui</w:t>
      </w:r>
      <w:r>
        <w:rPr>
          <w:rFonts w:ascii="Times New Roman" w:eastAsia="Times New Roman" w:hAnsi="Times New Roman" w:cs="Times New Roman"/>
          <w:color w:val="000000"/>
          <w:sz w:val="24"/>
          <w:szCs w:val="24"/>
          <w:lang w:val="lt-LT"/>
        </w:rPr>
        <w:t xml:space="preserve">, taip pat prisidės prie darbo vietų išsaugojimo (lošimų sektoriuje iš viso dirba </w:t>
      </w:r>
      <w:r>
        <w:rPr>
          <w:rFonts w:ascii="Times New Roman" w:eastAsia="Times New Roman" w:hAnsi="Times New Roman" w:cs="Times New Roman"/>
          <w:color w:val="000000"/>
          <w:sz w:val="24"/>
          <w:szCs w:val="24"/>
        </w:rPr>
        <w:t>2</w:t>
      </w:r>
      <w:r w:rsidR="0080339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146 </w:t>
      </w:r>
      <w:r>
        <w:rPr>
          <w:rFonts w:ascii="Times New Roman" w:eastAsia="Times New Roman" w:hAnsi="Times New Roman" w:cs="Times New Roman"/>
          <w:color w:val="000000"/>
          <w:sz w:val="24"/>
          <w:szCs w:val="24"/>
          <w:lang w:val="lt-LT"/>
        </w:rPr>
        <w:t xml:space="preserve">darbuotojai, iš kurių </w:t>
      </w:r>
      <w:r>
        <w:rPr>
          <w:rFonts w:ascii="Times New Roman" w:eastAsia="Times New Roman" w:hAnsi="Times New Roman" w:cs="Times New Roman"/>
          <w:color w:val="000000"/>
          <w:sz w:val="24"/>
          <w:szCs w:val="24"/>
        </w:rPr>
        <w:t>1</w:t>
      </w:r>
      <w:r w:rsidR="0080339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724 </w:t>
      </w:r>
      <w:r>
        <w:rPr>
          <w:rFonts w:ascii="Times New Roman" w:eastAsia="Times New Roman" w:hAnsi="Times New Roman" w:cs="Times New Roman"/>
          <w:color w:val="000000"/>
          <w:sz w:val="24"/>
          <w:szCs w:val="24"/>
          <w:lang w:val="lt-LT"/>
        </w:rPr>
        <w:t>dėl paskelbtos ekstremaliosios situacijos ir karantino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lt-LT"/>
        </w:rPr>
        <w:t>nedirba).</w:t>
      </w:r>
    </w:p>
    <w:p w14:paraId="31C8C372"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w:t>
      </w:r>
    </w:p>
    <w:p w14:paraId="31C8C373"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8. Įstatymo inkorporavimas į teisinę sistemą, kokius teisės aktus būtina priimti, kokius galiojančius teisės aktus reikia pakeisti ar pripažinti netekusiais galios</w:t>
      </w:r>
    </w:p>
    <w:p w14:paraId="31C8C374"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Priėmus Įstatymo projektą, kitų įstatymų keisti nereikės. </w:t>
      </w:r>
    </w:p>
    <w:p w14:paraId="31C8C375" w14:textId="77777777" w:rsidR="000A4F04" w:rsidRDefault="000A4F04">
      <w:pPr>
        <w:pStyle w:val="Standard"/>
        <w:spacing w:after="0" w:line="240" w:lineRule="auto"/>
        <w:ind w:firstLine="851"/>
        <w:jc w:val="both"/>
        <w:rPr>
          <w:rFonts w:eastAsia="Times New Roman" w:cs="Calibri"/>
          <w:color w:val="000000"/>
        </w:rPr>
      </w:pPr>
    </w:p>
    <w:p w14:paraId="31C8C376"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31C8C377"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lastRenderedPageBreak/>
        <w:t>Įstatymo projektas parengtas laikantis nustatytų reikalavimų. Įstatymo projekte naujų sąvokų neapibrėžiama.</w:t>
      </w:r>
    </w:p>
    <w:p w14:paraId="31C8C378"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w:t>
      </w:r>
    </w:p>
    <w:p w14:paraId="31C8C379"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10. Ar įstatymo projektas atitinka Žmogaus teisių ir pagrindinių laisvių apsaugos konvencijos nuostatas ir Europos Sąjungos dokumentus</w:t>
      </w:r>
    </w:p>
    <w:p w14:paraId="31C8C37A"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Įstatymo projektas atitinka Žmogaus teisių ir pagrindinių laisvių apsaugos konvencijos nuostatas ir Europos Sąjungos dokumentus.</w:t>
      </w:r>
    </w:p>
    <w:p w14:paraId="31C8C37B"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 </w:t>
      </w:r>
    </w:p>
    <w:p w14:paraId="31C8C37C"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11. Jeigu įstatymui įgyvendinti reikia įgyvendinamųjų teisės aktų, – kas ir kada juos turėtų priimti</w:t>
      </w:r>
    </w:p>
    <w:p w14:paraId="31C8C37D"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Įstatymo projektui įgyvendinti nereikės priimti įstatymo įgyvendinamųjų teisės aktų.</w:t>
      </w:r>
    </w:p>
    <w:p w14:paraId="31C8C37E"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 </w:t>
      </w:r>
    </w:p>
    <w:p w14:paraId="31C8C37F"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12. Kiek valstybės, savivaldybių biudžetų ir kitų valstybės įsteigtų fondų lėšų prireiks įstatymui įgyvendinti, ar bus galima sutaupyti (pateikiami prognozuojami rodikliai einamaisiais ir artimiausiais 3 biudžetiniais metais)</w:t>
      </w:r>
    </w:p>
    <w:p w14:paraId="31C8C380"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xml:space="preserve">Įstatymo projektui įgyvendinti papildomų valstybės lėšų nereikės, tačiau valstybės biudžetas neteks apie </w:t>
      </w:r>
      <w:r>
        <w:rPr>
          <w:rFonts w:ascii="Times New Roman" w:eastAsia="Times New Roman" w:hAnsi="Times New Roman" w:cs="Times New Roman"/>
          <w:color w:val="000000"/>
          <w:sz w:val="24"/>
          <w:szCs w:val="24"/>
        </w:rPr>
        <w:t xml:space="preserve">820 300 </w:t>
      </w:r>
      <w:r>
        <w:rPr>
          <w:rFonts w:ascii="Times New Roman" w:eastAsia="Times New Roman" w:hAnsi="Times New Roman" w:cs="Times New Roman"/>
          <w:color w:val="000000"/>
          <w:sz w:val="24"/>
          <w:szCs w:val="24"/>
          <w:lang w:val="lt-LT"/>
        </w:rPr>
        <w:t>eurų mėnesio azartinių lošimų ir loterijų mokesčio sumos.</w:t>
      </w:r>
    </w:p>
    <w:p w14:paraId="31C8C381"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w:t>
      </w:r>
    </w:p>
    <w:p w14:paraId="31C8C382"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13. Įstatymo projekto rengimo metu gauti specialistų vertinimai ir išvados</w:t>
      </w:r>
    </w:p>
    <w:p w14:paraId="31C8C383"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Įstatymo projekto rengimo metu specialistų vertinimų ir išvadų neprašyta.</w:t>
      </w:r>
    </w:p>
    <w:p w14:paraId="31C8C384"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w:t>
      </w:r>
    </w:p>
    <w:p w14:paraId="31C8C385"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14. Reikšminiai žodžiai, kurių reikia šiam projektui įtraukti į kompiuterinę paieškos sistemą, įskaitant Europos žodyno „Eurovoc“ terminus, temas bei sritis</w:t>
      </w:r>
    </w:p>
    <w:p w14:paraId="31C8C386"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„Lošimų veikla“.</w:t>
      </w:r>
    </w:p>
    <w:p w14:paraId="31C8C387"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w:t>
      </w:r>
    </w:p>
    <w:p w14:paraId="31C8C388" w14:textId="77777777" w:rsidR="000A4F04" w:rsidRDefault="009346CC">
      <w:pPr>
        <w:pStyle w:val="Standard"/>
        <w:spacing w:after="0" w:line="240" w:lineRule="auto"/>
        <w:ind w:firstLine="851"/>
        <w:jc w:val="both"/>
      </w:pPr>
      <w:r>
        <w:rPr>
          <w:rFonts w:ascii="Times New Roman" w:eastAsia="Times New Roman" w:hAnsi="Times New Roman" w:cs="Times New Roman"/>
          <w:b/>
          <w:bCs/>
          <w:color w:val="000000"/>
          <w:sz w:val="24"/>
          <w:szCs w:val="24"/>
          <w:lang w:val="lt-LT"/>
        </w:rPr>
        <w:t>15. Kiti, iniciatorių nuomone, reikalingi pagrindimai ir paaiškinimai</w:t>
      </w:r>
    </w:p>
    <w:p w14:paraId="31C8C389"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Nėra.</w:t>
      </w:r>
    </w:p>
    <w:p w14:paraId="31C8C38A" w14:textId="77777777" w:rsidR="000A4F04" w:rsidRDefault="009346CC">
      <w:pPr>
        <w:pStyle w:val="Standard"/>
        <w:spacing w:after="0" w:line="240" w:lineRule="auto"/>
        <w:ind w:firstLine="851"/>
        <w:jc w:val="both"/>
      </w:pPr>
      <w:r>
        <w:rPr>
          <w:rFonts w:ascii="Times New Roman" w:eastAsia="Times New Roman" w:hAnsi="Times New Roman" w:cs="Times New Roman"/>
          <w:color w:val="000000"/>
          <w:sz w:val="24"/>
          <w:szCs w:val="24"/>
          <w:lang w:val="lt-LT"/>
        </w:rPr>
        <w:t> </w:t>
      </w:r>
    </w:p>
    <w:p w14:paraId="31C8C38B" w14:textId="77777777" w:rsidR="000A4F04" w:rsidRDefault="00DA4DF4" w:rsidP="00FF0989">
      <w:pPr>
        <w:pStyle w:val="Standard"/>
        <w:spacing w:after="0" w:line="240" w:lineRule="auto"/>
        <w:ind w:firstLine="851"/>
        <w:jc w:val="center"/>
      </w:pPr>
      <w:r>
        <w:rPr>
          <w:rFonts w:ascii="Times New Roman" w:eastAsia="Times New Roman" w:hAnsi="Times New Roman" w:cs="Times New Roman"/>
          <w:color w:val="000000"/>
          <w:sz w:val="24"/>
          <w:szCs w:val="24"/>
          <w:lang w:val="lt-LT"/>
        </w:rPr>
        <w:t>______________________________</w:t>
      </w:r>
    </w:p>
    <w:p w14:paraId="31C8C38C" w14:textId="77777777" w:rsidR="000A4F04" w:rsidRDefault="000A4F04">
      <w:pPr>
        <w:pStyle w:val="Standard"/>
        <w:spacing w:after="0" w:line="240" w:lineRule="auto"/>
        <w:ind w:firstLine="851"/>
        <w:rPr>
          <w:rFonts w:eastAsia="Times New Roman" w:cs="Calibri"/>
          <w:color w:val="000000"/>
        </w:rPr>
      </w:pPr>
    </w:p>
    <w:p w14:paraId="31C8C38D" w14:textId="77777777" w:rsidR="000A4F04" w:rsidRDefault="000A4F04" w:rsidP="00A62BF0">
      <w:pPr>
        <w:pStyle w:val="Standard"/>
        <w:spacing w:after="0" w:line="240" w:lineRule="auto"/>
      </w:pPr>
    </w:p>
    <w:p w14:paraId="31C8C38E" w14:textId="77777777" w:rsidR="000A4F04" w:rsidRDefault="000A4F04">
      <w:pPr>
        <w:pStyle w:val="Standard"/>
      </w:pPr>
    </w:p>
    <w:sectPr w:rsidR="000A4F04">
      <w:headerReference w:type="default" r:id="rId7"/>
      <w:pgSz w:w="12240" w:h="15840"/>
      <w:pgMar w:top="720"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8C392" w14:textId="77777777" w:rsidR="00975AAA" w:rsidRDefault="00975AAA">
      <w:pPr>
        <w:spacing w:after="0" w:line="240" w:lineRule="auto"/>
      </w:pPr>
      <w:r>
        <w:separator/>
      </w:r>
    </w:p>
  </w:endnote>
  <w:endnote w:type="continuationSeparator" w:id="0">
    <w:p w14:paraId="31C8C393" w14:textId="77777777" w:rsidR="00975AAA" w:rsidRDefault="00975AAA">
      <w:pPr>
        <w:spacing w:after="0" w:line="240" w:lineRule="auto"/>
      </w:pPr>
      <w:r>
        <w:continuationSeparator/>
      </w:r>
    </w:p>
  </w:endnote>
  <w:endnote w:type="continuationNotice" w:id="1">
    <w:p w14:paraId="31C8C394" w14:textId="77777777" w:rsidR="00975AAA" w:rsidRDefault="00975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8C38F" w14:textId="77777777" w:rsidR="00975AAA" w:rsidRDefault="00975AAA">
      <w:pPr>
        <w:spacing w:after="0" w:line="240" w:lineRule="auto"/>
      </w:pPr>
      <w:r>
        <w:rPr>
          <w:color w:val="000000"/>
        </w:rPr>
        <w:separator/>
      </w:r>
    </w:p>
  </w:footnote>
  <w:footnote w:type="continuationSeparator" w:id="0">
    <w:p w14:paraId="31C8C390" w14:textId="77777777" w:rsidR="00975AAA" w:rsidRDefault="00975AAA">
      <w:pPr>
        <w:spacing w:after="0" w:line="240" w:lineRule="auto"/>
      </w:pPr>
      <w:r>
        <w:continuationSeparator/>
      </w:r>
    </w:p>
  </w:footnote>
  <w:footnote w:type="continuationNotice" w:id="1">
    <w:p w14:paraId="31C8C391" w14:textId="77777777" w:rsidR="00975AAA" w:rsidRDefault="00975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C395" w14:textId="77777777" w:rsidR="00AE5E46" w:rsidRPr="00FF0989" w:rsidRDefault="009346CC">
    <w:pPr>
      <w:pStyle w:val="Header"/>
      <w:jc w:val="center"/>
      <w:rPr>
        <w:rFonts w:ascii="Times New Roman" w:hAnsi="Times New Roman" w:cs="Times New Roman"/>
        <w:sz w:val="24"/>
        <w:szCs w:val="24"/>
      </w:rPr>
    </w:pPr>
    <w:r w:rsidRPr="00FF0989">
      <w:rPr>
        <w:rFonts w:ascii="Times New Roman" w:hAnsi="Times New Roman" w:cs="Times New Roman"/>
        <w:sz w:val="24"/>
        <w:szCs w:val="24"/>
      </w:rPr>
      <w:fldChar w:fldCharType="begin"/>
    </w:r>
    <w:r w:rsidRPr="00FF0989">
      <w:rPr>
        <w:rFonts w:ascii="Times New Roman" w:hAnsi="Times New Roman" w:cs="Times New Roman"/>
        <w:sz w:val="24"/>
        <w:szCs w:val="24"/>
      </w:rPr>
      <w:instrText xml:space="preserve"> PAGE </w:instrText>
    </w:r>
    <w:r w:rsidRPr="00FF0989">
      <w:rPr>
        <w:rFonts w:ascii="Times New Roman" w:hAnsi="Times New Roman" w:cs="Times New Roman"/>
        <w:sz w:val="24"/>
        <w:szCs w:val="24"/>
      </w:rPr>
      <w:fldChar w:fldCharType="separate"/>
    </w:r>
    <w:r w:rsidR="00DF0C1D">
      <w:rPr>
        <w:rFonts w:ascii="Times New Roman" w:hAnsi="Times New Roman" w:cs="Times New Roman"/>
        <w:noProof/>
        <w:sz w:val="24"/>
        <w:szCs w:val="24"/>
      </w:rPr>
      <w:t>3</w:t>
    </w:r>
    <w:r w:rsidRPr="00FF0989">
      <w:rPr>
        <w:rFonts w:ascii="Times New Roman" w:hAnsi="Times New Roman" w:cs="Times New Roman"/>
        <w:sz w:val="24"/>
        <w:szCs w:val="24"/>
      </w:rPr>
      <w:fldChar w:fldCharType="end"/>
    </w:r>
  </w:p>
  <w:p w14:paraId="31C8C396" w14:textId="77777777" w:rsidR="00AE5E46" w:rsidRDefault="00BB72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04"/>
    <w:rsid w:val="00046D72"/>
    <w:rsid w:val="00070B4F"/>
    <w:rsid w:val="000846F1"/>
    <w:rsid w:val="000A4F04"/>
    <w:rsid w:val="00113518"/>
    <w:rsid w:val="00180FD1"/>
    <w:rsid w:val="002C317E"/>
    <w:rsid w:val="00364970"/>
    <w:rsid w:val="00386574"/>
    <w:rsid w:val="004E3DCE"/>
    <w:rsid w:val="006002B9"/>
    <w:rsid w:val="00682BDC"/>
    <w:rsid w:val="00691225"/>
    <w:rsid w:val="006B07EE"/>
    <w:rsid w:val="006D335A"/>
    <w:rsid w:val="007C0BFC"/>
    <w:rsid w:val="00803393"/>
    <w:rsid w:val="00821904"/>
    <w:rsid w:val="00890C76"/>
    <w:rsid w:val="00892862"/>
    <w:rsid w:val="008B178C"/>
    <w:rsid w:val="008C1D22"/>
    <w:rsid w:val="00917513"/>
    <w:rsid w:val="009346CC"/>
    <w:rsid w:val="00934B6C"/>
    <w:rsid w:val="00975AAA"/>
    <w:rsid w:val="009779ED"/>
    <w:rsid w:val="00987648"/>
    <w:rsid w:val="00A62BF0"/>
    <w:rsid w:val="00A8697E"/>
    <w:rsid w:val="00AC01A5"/>
    <w:rsid w:val="00B35CD9"/>
    <w:rsid w:val="00BB7294"/>
    <w:rsid w:val="00BB775C"/>
    <w:rsid w:val="00D84899"/>
    <w:rsid w:val="00DA4DF4"/>
    <w:rsid w:val="00DA6A2C"/>
    <w:rsid w:val="00DF0C1D"/>
    <w:rsid w:val="00F428DE"/>
    <w:rsid w:val="00F551FE"/>
    <w:rsid w:val="00F83AF8"/>
    <w:rsid w:val="00F9293B"/>
    <w:rsid w:val="00F931C1"/>
    <w:rsid w:val="00FF09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C354"/>
  <w15:docId w15:val="{5C780CFE-EA52-4B9C-A583-BAFD1F05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en-US" w:eastAsia="en-US" w:bidi="ar-SA"/>
      </w:rPr>
    </w:rPrDefault>
    <w:pPrDefault>
      <w:pPr>
        <w:widowControl w:val="0"/>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8B178C"/>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B178C"/>
    <w:pPr>
      <w:widowControl/>
      <w:suppressAutoHyphens/>
    </w:pPr>
  </w:style>
  <w:style w:type="paragraph" w:customStyle="1" w:styleId="Heading">
    <w:name w:val="Heading"/>
    <w:basedOn w:val="Standard"/>
    <w:next w:val="Textbody"/>
    <w:rsid w:val="008B178C"/>
    <w:pPr>
      <w:keepNext/>
      <w:spacing w:before="240" w:after="120"/>
    </w:pPr>
    <w:rPr>
      <w:rFonts w:ascii="Arial" w:hAnsi="Arial" w:cs="Lucida Sans"/>
      <w:sz w:val="28"/>
      <w:szCs w:val="28"/>
    </w:rPr>
  </w:style>
  <w:style w:type="paragraph" w:customStyle="1" w:styleId="Textbody">
    <w:name w:val="Text body"/>
    <w:basedOn w:val="Standard"/>
    <w:rsid w:val="008B178C"/>
    <w:pPr>
      <w:spacing w:after="120"/>
    </w:pPr>
  </w:style>
  <w:style w:type="paragraph" w:styleId="List">
    <w:name w:val="List"/>
    <w:basedOn w:val="Textbody"/>
    <w:rsid w:val="008B178C"/>
    <w:rPr>
      <w:rFonts w:cs="Lucida Sans"/>
    </w:rPr>
  </w:style>
  <w:style w:type="paragraph" w:styleId="Caption">
    <w:name w:val="caption"/>
    <w:basedOn w:val="Standard"/>
    <w:rsid w:val="008B178C"/>
    <w:pPr>
      <w:suppressLineNumbers/>
      <w:spacing w:before="120" w:after="120"/>
    </w:pPr>
    <w:rPr>
      <w:rFonts w:cs="Lucida Sans"/>
      <w:i/>
      <w:iCs/>
      <w:sz w:val="24"/>
      <w:szCs w:val="24"/>
    </w:rPr>
  </w:style>
  <w:style w:type="paragraph" w:customStyle="1" w:styleId="Index">
    <w:name w:val="Index"/>
    <w:basedOn w:val="Standard"/>
    <w:rsid w:val="008B178C"/>
    <w:pPr>
      <w:suppressLineNumbers/>
    </w:pPr>
    <w:rPr>
      <w:rFonts w:cs="Lucida Sans"/>
    </w:rPr>
  </w:style>
  <w:style w:type="paragraph" w:styleId="Header">
    <w:name w:val="header"/>
    <w:basedOn w:val="Standard"/>
    <w:pPr>
      <w:suppressLineNumbers/>
      <w:tabs>
        <w:tab w:val="center" w:pos="4680"/>
        <w:tab w:val="right" w:pos="9360"/>
      </w:tabs>
      <w:spacing w:after="0" w:line="240" w:lineRule="auto"/>
    </w:pPr>
  </w:style>
  <w:style w:type="paragraph" w:styleId="Footer">
    <w:name w:val="footer"/>
    <w:basedOn w:val="Standard"/>
    <w:pPr>
      <w:suppressLineNumbers/>
      <w:tabs>
        <w:tab w:val="center" w:pos="4680"/>
        <w:tab w:val="right" w:pos="9360"/>
      </w:tabs>
      <w:spacing w:after="0" w:line="240" w:lineRule="auto"/>
    </w:pPr>
  </w:style>
  <w:style w:type="paragraph" w:styleId="BalloonText">
    <w:name w:val="Balloon Text"/>
    <w:basedOn w:val="Standard"/>
    <w:rsid w:val="008B178C"/>
  </w:style>
  <w:style w:type="paragraph" w:styleId="NoSpacing">
    <w:name w:val="No Spacing"/>
    <w:rsid w:val="008B178C"/>
    <w:pPr>
      <w:suppressAutoHyphens/>
    </w:pPr>
  </w:style>
  <w:style w:type="character" w:customStyle="1" w:styleId="AntratsDiagrama">
    <w:name w:val="Antraštės Diagrama"/>
    <w:basedOn w:val="DefaultParagraphFont"/>
  </w:style>
  <w:style w:type="character" w:customStyle="1" w:styleId="PoratDiagrama">
    <w:name w:val="Poraštė Diagrama"/>
    <w:basedOn w:val="DefaultParagraphFont"/>
  </w:style>
  <w:style w:type="character" w:customStyle="1" w:styleId="DebesliotekstasDiagrama">
    <w:name w:val="Debesėlio tekstas Diagrama"/>
    <w:basedOn w:val="DefaultParagraphFont"/>
  </w:style>
  <w:style w:type="character" w:customStyle="1" w:styleId="Internetlink">
    <w:name w:val="Internet link"/>
    <w:basedOn w:val="DefaultParagraphFont"/>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b/>
      <w:bCs/>
      <w:sz w:val="20"/>
      <w:szCs w:val="20"/>
    </w:rPr>
  </w:style>
  <w:style w:type="paragraph" w:styleId="Revision">
    <w:name w:val="Revision"/>
    <w:hidden/>
    <w:uiPriority w:val="99"/>
    <w:semiHidden/>
    <w:rsid w:val="00A8697E"/>
    <w:pPr>
      <w:widowControl/>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61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a.kliukiene@finmin.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5654</Words>
  <Characters>3223</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Kliukienė</dc:creator>
  <cp:lastModifiedBy>Piotras Gerasimovičius</cp:lastModifiedBy>
  <cp:revision>2</cp:revision>
  <dcterms:created xsi:type="dcterms:W3CDTF">2020-04-30T06:54:00Z</dcterms:created>
  <dcterms:modified xsi:type="dcterms:W3CDTF">2020-04-30T06:54:00Z</dcterms:modified>
</cp:coreProperties>
</file>