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D92" w:rsidRPr="00714087" w:rsidRDefault="00056E53" w:rsidP="00FC2042">
      <w:pPr>
        <w:jc w:val="center"/>
        <w:outlineLvl w:val="0"/>
        <w:rPr>
          <w:b/>
        </w:rPr>
      </w:pPr>
      <w:bookmarkStart w:id="0" w:name="_GoBack"/>
      <w:bookmarkEnd w:id="0"/>
      <w:r w:rsidRPr="00714087">
        <w:rPr>
          <w:b/>
        </w:rPr>
        <w:t xml:space="preserve">LIETUVOS RESPUBLIKOS </w:t>
      </w:r>
      <w:r w:rsidR="00822860" w:rsidRPr="00714087">
        <w:rPr>
          <w:b/>
        </w:rPr>
        <w:t xml:space="preserve">CIVILINIO PROCESO KODEKSO </w:t>
      </w:r>
      <w:r w:rsidR="004D7E2D">
        <w:rPr>
          <w:b/>
        </w:rPr>
        <w:t xml:space="preserve">3, </w:t>
      </w:r>
      <w:r w:rsidR="00FC2042" w:rsidRPr="00FC2042">
        <w:rPr>
          <w:b/>
        </w:rPr>
        <w:t xml:space="preserve"> 801 STRAIPSNIŲ PAKEITIMO, LX SKYRIAUS KETVIRTOJO, PENKTOJO IR ŠEŠTOJO SKIRSNIŲ </w:t>
      </w:r>
      <w:r w:rsidR="00FC2042">
        <w:rPr>
          <w:b/>
        </w:rPr>
        <w:t xml:space="preserve">PAVADINIMŲ PAKEITIMO IR KODEKSO </w:t>
      </w:r>
      <w:r w:rsidR="00FC2042" w:rsidRPr="00FC2042">
        <w:rPr>
          <w:b/>
        </w:rPr>
        <w:t>PAPILDYMO 799</w:t>
      </w:r>
      <w:r w:rsidR="00FC2042" w:rsidRPr="00FC2042">
        <w:rPr>
          <w:b/>
          <w:vertAlign w:val="superscript"/>
        </w:rPr>
        <w:t>1</w:t>
      </w:r>
      <w:r w:rsidR="00FC2042" w:rsidRPr="00FC2042">
        <w:rPr>
          <w:b/>
        </w:rPr>
        <w:t xml:space="preserve"> STRAIPSNIU</w:t>
      </w:r>
      <w:r w:rsidR="008B13D9">
        <w:rPr>
          <w:b/>
        </w:rPr>
        <w:t xml:space="preserve"> ĮSTATYMO </w:t>
      </w:r>
      <w:r w:rsidR="00FA1D92" w:rsidRPr="00714087">
        <w:rPr>
          <w:b/>
        </w:rPr>
        <w:t>PROJEKT</w:t>
      </w:r>
      <w:r w:rsidR="008B13D9">
        <w:rPr>
          <w:b/>
        </w:rPr>
        <w:t>O</w:t>
      </w:r>
    </w:p>
    <w:p w:rsidR="00D30D08" w:rsidRDefault="00D30D08" w:rsidP="00563AE2">
      <w:pPr>
        <w:pStyle w:val="BodyText"/>
        <w:outlineLvl w:val="0"/>
      </w:pPr>
      <w:r w:rsidRPr="00714087">
        <w:t>AIŠKINAMASIS RAŠTAS</w:t>
      </w:r>
    </w:p>
    <w:p w:rsidR="00563AE2" w:rsidRPr="00563AE2" w:rsidRDefault="00563AE2" w:rsidP="00563AE2">
      <w:pPr>
        <w:pStyle w:val="BodyText"/>
        <w:outlineLvl w:val="0"/>
      </w:pPr>
    </w:p>
    <w:p w:rsidR="00880305" w:rsidRPr="00A761F5" w:rsidRDefault="00880305" w:rsidP="001F73EF">
      <w:pPr>
        <w:tabs>
          <w:tab w:val="left" w:pos="720"/>
          <w:tab w:val="left" w:pos="1080"/>
        </w:tabs>
      </w:pPr>
    </w:p>
    <w:p w:rsidR="00D30D08" w:rsidRDefault="005B09A5" w:rsidP="005B09A5">
      <w:pPr>
        <w:tabs>
          <w:tab w:val="left" w:pos="851"/>
          <w:tab w:val="left" w:pos="1080"/>
        </w:tabs>
        <w:ind w:firstLine="720"/>
        <w:jc w:val="both"/>
        <w:rPr>
          <w:b/>
        </w:rPr>
      </w:pPr>
      <w:r w:rsidRPr="005B09A5">
        <w:rPr>
          <w:b/>
        </w:rPr>
        <w:t>1.</w:t>
      </w:r>
      <w:r>
        <w:rPr>
          <w:b/>
        </w:rPr>
        <w:t xml:space="preserve"> </w:t>
      </w:r>
      <w:r w:rsidR="00F772A7" w:rsidRPr="005B09A5">
        <w:rPr>
          <w:b/>
        </w:rPr>
        <w:t>Įstatym</w:t>
      </w:r>
      <w:r w:rsidR="008B13D9">
        <w:rPr>
          <w:b/>
        </w:rPr>
        <w:t>o</w:t>
      </w:r>
      <w:r w:rsidR="00F772A7" w:rsidRPr="005B09A5">
        <w:rPr>
          <w:b/>
        </w:rPr>
        <w:t xml:space="preserve"> projekt</w:t>
      </w:r>
      <w:r w:rsidR="008B13D9">
        <w:rPr>
          <w:b/>
        </w:rPr>
        <w:t>o</w:t>
      </w:r>
      <w:r w:rsidR="00D30D08" w:rsidRPr="005B09A5">
        <w:rPr>
          <w:b/>
        </w:rPr>
        <w:t xml:space="preserve"> rengimą paskatinusios priežastys</w:t>
      </w:r>
      <w:r w:rsidR="00D11143" w:rsidRPr="005B09A5">
        <w:rPr>
          <w:b/>
        </w:rPr>
        <w:t>.</w:t>
      </w:r>
      <w:r w:rsidR="00F772A7" w:rsidRPr="005B09A5">
        <w:rPr>
          <w:b/>
        </w:rPr>
        <w:t xml:space="preserve"> </w:t>
      </w:r>
      <w:r w:rsidR="00D11143" w:rsidRPr="005B09A5">
        <w:rPr>
          <w:b/>
        </w:rPr>
        <w:t>Į</w:t>
      </w:r>
      <w:r w:rsidR="00F772A7" w:rsidRPr="005B09A5">
        <w:rPr>
          <w:b/>
        </w:rPr>
        <w:t>statym</w:t>
      </w:r>
      <w:r w:rsidR="008B13D9">
        <w:rPr>
          <w:b/>
        </w:rPr>
        <w:t>o</w:t>
      </w:r>
      <w:r w:rsidR="00F772A7" w:rsidRPr="005B09A5">
        <w:rPr>
          <w:b/>
        </w:rPr>
        <w:t xml:space="preserve"> projekt</w:t>
      </w:r>
      <w:r w:rsidR="008B13D9">
        <w:rPr>
          <w:b/>
        </w:rPr>
        <w:t>o</w:t>
      </w:r>
      <w:r w:rsidR="00D30D08" w:rsidRPr="005B09A5">
        <w:rPr>
          <w:b/>
        </w:rPr>
        <w:t xml:space="preserve"> tikslai ir uždaviniai</w:t>
      </w:r>
      <w:r w:rsidR="00D11143" w:rsidRPr="005B09A5">
        <w:rPr>
          <w:b/>
        </w:rPr>
        <w:t>.</w:t>
      </w:r>
    </w:p>
    <w:p w:rsidR="008B13D9" w:rsidRDefault="002C429A" w:rsidP="008B13D9">
      <w:pPr>
        <w:ind w:firstLine="851"/>
        <w:jc w:val="both"/>
        <w:rPr>
          <w:bCs/>
        </w:rPr>
      </w:pPr>
      <w:r>
        <w:rPr>
          <w:bCs/>
        </w:rPr>
        <w:t>Lietuvos Respub</w:t>
      </w:r>
      <w:r w:rsidR="00FC2042">
        <w:rPr>
          <w:bCs/>
        </w:rPr>
        <w:t xml:space="preserve">likos civilinio proceso kodekso </w:t>
      </w:r>
      <w:r w:rsidR="004D7E2D">
        <w:rPr>
          <w:bCs/>
        </w:rPr>
        <w:t xml:space="preserve">3, </w:t>
      </w:r>
      <w:r w:rsidR="00FC2042" w:rsidRPr="00FC2042">
        <w:rPr>
          <w:bCs/>
        </w:rPr>
        <w:t xml:space="preserve">801 straipsnių pakeitimo, </w:t>
      </w:r>
      <w:r w:rsidR="00FC2042">
        <w:rPr>
          <w:bCs/>
        </w:rPr>
        <w:t>LX</w:t>
      </w:r>
      <w:r w:rsidR="001A3AE9">
        <w:rPr>
          <w:bCs/>
        </w:rPr>
        <w:t xml:space="preserve"> skyriaus ketvirtojo, p</w:t>
      </w:r>
      <w:r w:rsidR="0050446C">
        <w:rPr>
          <w:bCs/>
        </w:rPr>
        <w:t>enktojo ir š</w:t>
      </w:r>
      <w:r w:rsidR="00FC2042" w:rsidRPr="00FC2042">
        <w:rPr>
          <w:bCs/>
        </w:rPr>
        <w:t>eštojo sk</w:t>
      </w:r>
      <w:r w:rsidR="001A3AE9">
        <w:rPr>
          <w:bCs/>
        </w:rPr>
        <w:t>irsnių pavadinimų pakeitimo ir K</w:t>
      </w:r>
      <w:r w:rsidR="00FC2042" w:rsidRPr="00FC2042">
        <w:rPr>
          <w:bCs/>
        </w:rPr>
        <w:t>odekso papildymo 799</w:t>
      </w:r>
      <w:r w:rsidR="00FC2042" w:rsidRPr="00FC2042">
        <w:rPr>
          <w:bCs/>
          <w:vertAlign w:val="superscript"/>
        </w:rPr>
        <w:t>1</w:t>
      </w:r>
      <w:r w:rsidR="00FC2042" w:rsidRPr="00FC2042">
        <w:rPr>
          <w:bCs/>
        </w:rPr>
        <w:t xml:space="preserve"> straipsniu įstatymo </w:t>
      </w:r>
      <w:r w:rsidR="008B13D9">
        <w:rPr>
          <w:bCs/>
        </w:rPr>
        <w:t xml:space="preserve">projektu </w:t>
      </w:r>
      <w:r>
        <w:rPr>
          <w:bCs/>
        </w:rPr>
        <w:t>(toliau –</w:t>
      </w:r>
      <w:r w:rsidR="008B13D9">
        <w:rPr>
          <w:bCs/>
        </w:rPr>
        <w:t xml:space="preserve"> Įstatymo </w:t>
      </w:r>
      <w:r>
        <w:rPr>
          <w:bCs/>
        </w:rPr>
        <w:t xml:space="preserve">projektas) </w:t>
      </w:r>
      <w:r w:rsidR="008B13D9">
        <w:rPr>
          <w:bCs/>
        </w:rPr>
        <w:t xml:space="preserve">siekiama </w:t>
      </w:r>
      <w:r w:rsidR="008B13D9">
        <w:t xml:space="preserve">užtikrinti sąlygas </w:t>
      </w:r>
      <w:r w:rsidR="008B13D9" w:rsidRPr="00BA0B57">
        <w:t>efektyviam Europos Sąjungos teismų sprendimų pripažinimui ir leidimui juos vykdyti Lietuvoje</w:t>
      </w:r>
      <w:r w:rsidR="008B13D9">
        <w:t xml:space="preserve">, kai </w:t>
      </w:r>
      <w:r w:rsidR="008B13D9" w:rsidRPr="00F2645A">
        <w:t>konkrečios ginčų kategorijos nepatenka į jokių Europos Sąjungos reglamentų taikymo sritį</w:t>
      </w:r>
      <w:r w:rsidR="008B13D9">
        <w:t>, paspartinti</w:t>
      </w:r>
      <w:r w:rsidR="008B13D9" w:rsidRPr="00BA0B57">
        <w:t xml:space="preserve"> teisminio bendradarbi</w:t>
      </w:r>
      <w:r w:rsidR="008B13D9">
        <w:t>avimo civilinėse bylose procesą</w:t>
      </w:r>
      <w:r w:rsidR="008B13D9" w:rsidRPr="00BA0B57">
        <w:t xml:space="preserve">, </w:t>
      </w:r>
      <w:r w:rsidR="008B13D9">
        <w:rPr>
          <w:bCs/>
        </w:rPr>
        <w:t xml:space="preserve">Lietuvos Respublikos civilinio proceso kodekse (toliau – </w:t>
      </w:r>
      <w:r w:rsidR="008B13D9">
        <w:t>CPK) įtvirtinti v</w:t>
      </w:r>
      <w:r w:rsidR="008B13D9">
        <w:rPr>
          <w:bCs/>
        </w:rPr>
        <w:t xml:space="preserve">ieningai Europos Sąjungos teisės normose </w:t>
      </w:r>
      <w:r w:rsidR="008B13D9" w:rsidRPr="00596E75">
        <w:rPr>
          <w:bCs/>
        </w:rPr>
        <w:t xml:space="preserve">ir </w:t>
      </w:r>
      <w:r w:rsidR="008B13D9">
        <w:rPr>
          <w:bCs/>
        </w:rPr>
        <w:t xml:space="preserve">nacionalinės teisės aktuose vartojamą Europos Sąjungos teisminės institucijos </w:t>
      </w:r>
      <w:r w:rsidR="008B13D9" w:rsidRPr="00596E75">
        <w:rPr>
          <w:bCs/>
          <w:i/>
        </w:rPr>
        <w:t>pre</w:t>
      </w:r>
      <w:r w:rsidR="008B13D9">
        <w:rPr>
          <w:bCs/>
          <w:i/>
        </w:rPr>
        <w:t xml:space="preserve">judicinio sprendimo </w:t>
      </w:r>
      <w:r w:rsidR="008B13D9">
        <w:rPr>
          <w:bCs/>
        </w:rPr>
        <w:t xml:space="preserve">sąvoką. </w:t>
      </w:r>
    </w:p>
    <w:p w:rsidR="003C284C" w:rsidRPr="0009531E" w:rsidRDefault="003C284C" w:rsidP="008B13D9">
      <w:pPr>
        <w:ind w:firstLine="851"/>
        <w:jc w:val="both"/>
        <w:rPr>
          <w:bCs/>
        </w:rPr>
      </w:pPr>
    </w:p>
    <w:p w:rsidR="00D30D08" w:rsidRDefault="00D30D08" w:rsidP="001F73EF">
      <w:pPr>
        <w:tabs>
          <w:tab w:val="left" w:pos="720"/>
          <w:tab w:val="left" w:pos="1080"/>
        </w:tabs>
        <w:jc w:val="both"/>
        <w:rPr>
          <w:b/>
        </w:rPr>
      </w:pPr>
      <w:r>
        <w:rPr>
          <w:bCs/>
        </w:rPr>
        <w:tab/>
      </w:r>
      <w:r w:rsidRPr="00AD7124">
        <w:rPr>
          <w:b/>
          <w:bCs/>
        </w:rPr>
        <w:t xml:space="preserve">2. </w:t>
      </w:r>
      <w:r w:rsidR="00F772A7">
        <w:rPr>
          <w:b/>
        </w:rPr>
        <w:t>Įstatym</w:t>
      </w:r>
      <w:r w:rsidR="0062372B">
        <w:rPr>
          <w:b/>
        </w:rPr>
        <w:t>o</w:t>
      </w:r>
      <w:r w:rsidR="00F772A7">
        <w:rPr>
          <w:b/>
        </w:rPr>
        <w:t xml:space="preserve"> projekt</w:t>
      </w:r>
      <w:r w:rsidR="0062372B">
        <w:rPr>
          <w:b/>
        </w:rPr>
        <w:t>o</w:t>
      </w:r>
      <w:r w:rsidRPr="00AD7124">
        <w:rPr>
          <w:b/>
        </w:rPr>
        <w:t xml:space="preserve"> iniciatoriai ir rengėjai</w:t>
      </w:r>
      <w:r w:rsidR="00D11143">
        <w:rPr>
          <w:b/>
        </w:rPr>
        <w:t>.</w:t>
      </w:r>
    </w:p>
    <w:p w:rsidR="00D30D08" w:rsidRDefault="009C654B" w:rsidP="001F73EF">
      <w:pPr>
        <w:tabs>
          <w:tab w:val="left" w:pos="720"/>
          <w:tab w:val="left" w:pos="1080"/>
        </w:tabs>
        <w:jc w:val="both"/>
        <w:rPr>
          <w:bCs/>
        </w:rPr>
      </w:pPr>
      <w:r>
        <w:rPr>
          <w:bCs/>
        </w:rPr>
        <w:tab/>
      </w:r>
      <w:r w:rsidR="0040166F">
        <w:rPr>
          <w:bCs/>
        </w:rPr>
        <w:t>Įstatym</w:t>
      </w:r>
      <w:r w:rsidR="003C284C">
        <w:rPr>
          <w:bCs/>
        </w:rPr>
        <w:t>o</w:t>
      </w:r>
      <w:r w:rsidR="00ED6E6F">
        <w:rPr>
          <w:bCs/>
        </w:rPr>
        <w:t xml:space="preserve"> p</w:t>
      </w:r>
      <w:r w:rsidR="00D748D4">
        <w:rPr>
          <w:bCs/>
        </w:rPr>
        <w:t>rojekt</w:t>
      </w:r>
      <w:r w:rsidR="003C284C">
        <w:rPr>
          <w:bCs/>
        </w:rPr>
        <w:t>ą</w:t>
      </w:r>
      <w:r w:rsidR="00D748D4">
        <w:rPr>
          <w:bCs/>
        </w:rPr>
        <w:t xml:space="preserve"> inicijavo ir parengė Lietuvos Respublikos teisingumo ministerija. </w:t>
      </w:r>
    </w:p>
    <w:p w:rsidR="00D748D4" w:rsidRPr="00AD7124" w:rsidRDefault="00D748D4" w:rsidP="001F73EF">
      <w:pPr>
        <w:tabs>
          <w:tab w:val="left" w:pos="720"/>
          <w:tab w:val="left" w:pos="1080"/>
        </w:tabs>
        <w:jc w:val="both"/>
        <w:rPr>
          <w:bCs/>
        </w:rPr>
      </w:pPr>
    </w:p>
    <w:p w:rsidR="00D30D08" w:rsidRDefault="00D30D08" w:rsidP="001F73EF">
      <w:pPr>
        <w:tabs>
          <w:tab w:val="left" w:pos="720"/>
          <w:tab w:val="left" w:pos="1080"/>
        </w:tabs>
        <w:jc w:val="both"/>
        <w:rPr>
          <w:b/>
          <w:bCs/>
        </w:rPr>
      </w:pPr>
      <w:r>
        <w:rPr>
          <w:bCs/>
        </w:rPr>
        <w:tab/>
      </w:r>
      <w:r w:rsidRPr="00E408CE">
        <w:rPr>
          <w:b/>
          <w:bCs/>
        </w:rPr>
        <w:t>3.</w:t>
      </w:r>
      <w:r>
        <w:rPr>
          <w:bCs/>
        </w:rPr>
        <w:t xml:space="preserve"> </w:t>
      </w:r>
      <w:r w:rsidR="00D11143" w:rsidRPr="00D11143">
        <w:rPr>
          <w:b/>
          <w:bCs/>
        </w:rPr>
        <w:t>Kaip šiuo metu yra reguliuojami Įstatym</w:t>
      </w:r>
      <w:r w:rsidR="0062372B">
        <w:rPr>
          <w:b/>
          <w:bCs/>
        </w:rPr>
        <w:t>o projekte</w:t>
      </w:r>
      <w:r w:rsidR="00D11143" w:rsidRPr="00D11143">
        <w:rPr>
          <w:b/>
          <w:bCs/>
        </w:rPr>
        <w:t xml:space="preserve"> aptarti teisiniai santykiai.</w:t>
      </w:r>
    </w:p>
    <w:p w:rsidR="00987F64" w:rsidRDefault="00596E75" w:rsidP="003C284C">
      <w:pPr>
        <w:tabs>
          <w:tab w:val="left" w:pos="720"/>
          <w:tab w:val="left" w:pos="1080"/>
        </w:tabs>
        <w:jc w:val="both"/>
        <w:rPr>
          <w:bCs/>
        </w:rPr>
      </w:pPr>
      <w:r>
        <w:rPr>
          <w:b/>
          <w:bCs/>
        </w:rPr>
        <w:tab/>
      </w:r>
      <w:r w:rsidRPr="00596E75">
        <w:rPr>
          <w:bCs/>
        </w:rPr>
        <w:t xml:space="preserve">Galiojančios redakcijos CPK </w:t>
      </w:r>
      <w:r>
        <w:rPr>
          <w:bCs/>
        </w:rPr>
        <w:t xml:space="preserve">3 straipsnio 5 dalyje vartojama Europos Sąjungos teisminės institucijos </w:t>
      </w:r>
      <w:r w:rsidRPr="00596E75">
        <w:rPr>
          <w:bCs/>
          <w:i/>
        </w:rPr>
        <w:t>preliminaraus nutarimo</w:t>
      </w:r>
      <w:r>
        <w:rPr>
          <w:bCs/>
        </w:rPr>
        <w:t xml:space="preserve"> sąvoka, nors Europos Sąjungos sutarties 19 straipsnyje, Sutarties dėl Europos Sąjungos veikimo</w:t>
      </w:r>
      <w:r w:rsidRPr="00596E75">
        <w:rPr>
          <w:bCs/>
        </w:rPr>
        <w:t xml:space="preserve"> 256 </w:t>
      </w:r>
      <w:r>
        <w:rPr>
          <w:bCs/>
        </w:rPr>
        <w:t>ir 267 straipsniuose</w:t>
      </w:r>
      <w:r w:rsidRPr="00596E75">
        <w:rPr>
          <w:bCs/>
        </w:rPr>
        <w:t xml:space="preserve"> vartojama są</w:t>
      </w:r>
      <w:r>
        <w:rPr>
          <w:bCs/>
        </w:rPr>
        <w:t>voka „</w:t>
      </w:r>
      <w:r w:rsidRPr="00596E75">
        <w:rPr>
          <w:bCs/>
          <w:i/>
        </w:rPr>
        <w:t>prejudicinis sprendimas</w:t>
      </w:r>
      <w:r>
        <w:rPr>
          <w:bCs/>
        </w:rPr>
        <w:t xml:space="preserve">“, </w:t>
      </w:r>
      <w:r w:rsidRPr="00596E75">
        <w:rPr>
          <w:bCs/>
        </w:rPr>
        <w:t>kuri nuos</w:t>
      </w:r>
      <w:r w:rsidR="003C284C">
        <w:rPr>
          <w:bCs/>
        </w:rPr>
        <w:t>ekliai vartojama ir nacionalinės</w:t>
      </w:r>
      <w:r>
        <w:rPr>
          <w:bCs/>
        </w:rPr>
        <w:t xml:space="preserve"> teisės aktuose –</w:t>
      </w:r>
      <w:r w:rsidR="003C284C">
        <w:rPr>
          <w:bCs/>
        </w:rPr>
        <w:t xml:space="preserve"> </w:t>
      </w:r>
      <w:r>
        <w:rPr>
          <w:bCs/>
        </w:rPr>
        <w:t>Lietuvos Respublikos teismų įstatymo 33 straipsnyje</w:t>
      </w:r>
      <w:r w:rsidRPr="00596E75">
        <w:rPr>
          <w:bCs/>
        </w:rPr>
        <w:t xml:space="preserve">, </w:t>
      </w:r>
      <w:r>
        <w:rPr>
          <w:bCs/>
        </w:rPr>
        <w:t xml:space="preserve">Lietuvos Respublikos </w:t>
      </w:r>
      <w:r w:rsidRPr="00596E75">
        <w:rPr>
          <w:bCs/>
        </w:rPr>
        <w:t>Konst</w:t>
      </w:r>
      <w:r>
        <w:rPr>
          <w:bCs/>
        </w:rPr>
        <w:t xml:space="preserve">itucinio Teismo įstatymo 28 straipsnyje. </w:t>
      </w:r>
      <w:r w:rsidR="00987F64">
        <w:rPr>
          <w:bCs/>
        </w:rPr>
        <w:tab/>
      </w:r>
    </w:p>
    <w:p w:rsidR="00A037C4" w:rsidRDefault="00A037C4" w:rsidP="00987F64">
      <w:pPr>
        <w:tabs>
          <w:tab w:val="left" w:pos="720"/>
          <w:tab w:val="left" w:pos="1080"/>
        </w:tabs>
        <w:jc w:val="both"/>
        <w:rPr>
          <w:bCs/>
        </w:rPr>
      </w:pPr>
      <w:r>
        <w:rPr>
          <w:bCs/>
        </w:rPr>
        <w:tab/>
        <w:t xml:space="preserve">Galiojančios redakcijos CPK </w:t>
      </w:r>
      <w:r w:rsidRPr="00A037C4">
        <w:rPr>
          <w:bCs/>
        </w:rPr>
        <w:t xml:space="preserve">801 straipsnis nustato, jog teismai nagrinėdami bylas su užsienio valstybių teismais dėl teisinės pagalbos susižino per </w:t>
      </w:r>
      <w:r>
        <w:rPr>
          <w:bCs/>
        </w:rPr>
        <w:t>T</w:t>
      </w:r>
      <w:r w:rsidRPr="00A037C4">
        <w:rPr>
          <w:bCs/>
        </w:rPr>
        <w:t>eisingumo ministeriją, numatant išimtį tais atvejais, kai tarptautin</w:t>
      </w:r>
      <w:r>
        <w:rPr>
          <w:bCs/>
        </w:rPr>
        <w:t>ės sutartys ar Europos Sąjungos</w:t>
      </w:r>
      <w:r w:rsidRPr="00A037C4">
        <w:rPr>
          <w:bCs/>
        </w:rPr>
        <w:t xml:space="preserve"> teisės aktai numato tiesioginį susižinojimą. Pažymėtina, jog Teisingumo ministerija gauna daug teisinės  pagalbos prašymų iš teismų, nors pagal Lietuvos Respublikos tarptautines sutartis Lietuvos Respublikos teismai galė</w:t>
      </w:r>
      <w:r w:rsidR="0050446C">
        <w:rPr>
          <w:bCs/>
        </w:rPr>
        <w:t xml:space="preserve">tų bendradarbiauti su užsienio </w:t>
      </w:r>
      <w:r w:rsidRPr="00A037C4">
        <w:rPr>
          <w:bCs/>
        </w:rPr>
        <w:t>valstybių teismais ir susižinoti dėl teisinės pagalbos ne</w:t>
      </w:r>
      <w:r w:rsidR="00765B00">
        <w:rPr>
          <w:bCs/>
        </w:rPr>
        <w:t xml:space="preserve"> </w:t>
      </w:r>
      <w:r w:rsidRPr="00A037C4">
        <w:rPr>
          <w:bCs/>
        </w:rPr>
        <w:t>tarpininkaujant Teisingumo ministerijai, o teik</w:t>
      </w:r>
      <w:r w:rsidR="00765B00">
        <w:rPr>
          <w:bCs/>
        </w:rPr>
        <w:t>dami</w:t>
      </w:r>
      <w:r w:rsidRPr="00A037C4">
        <w:rPr>
          <w:bCs/>
        </w:rPr>
        <w:t xml:space="preserve"> teisinės pagalbos prašymus tiesiogiai konkrečios užsienio valstybės nurodytoms institucijoms. Tokiu būdu </w:t>
      </w:r>
      <w:r w:rsidR="00765B00" w:rsidRPr="00A037C4">
        <w:rPr>
          <w:bCs/>
        </w:rPr>
        <w:t xml:space="preserve">ilgėja bendra teisinės pagalbos prašymo vykdymo trukmė </w:t>
      </w:r>
      <w:r w:rsidR="00765B00">
        <w:rPr>
          <w:bCs/>
        </w:rPr>
        <w:t xml:space="preserve">ir </w:t>
      </w:r>
      <w:r w:rsidRPr="00A037C4">
        <w:rPr>
          <w:bCs/>
        </w:rPr>
        <w:t>didinama  administracinė našta Teisingumo ministerijai.</w:t>
      </w:r>
    </w:p>
    <w:p w:rsidR="00987F64" w:rsidRDefault="00987F64" w:rsidP="00B55466">
      <w:pPr>
        <w:tabs>
          <w:tab w:val="left" w:pos="720"/>
          <w:tab w:val="left" w:pos="1080"/>
        </w:tabs>
        <w:jc w:val="both"/>
        <w:rPr>
          <w:bCs/>
        </w:rPr>
      </w:pPr>
      <w:r>
        <w:rPr>
          <w:bCs/>
        </w:rPr>
        <w:tab/>
      </w:r>
      <w:r w:rsidRPr="00987F64">
        <w:rPr>
          <w:bCs/>
        </w:rPr>
        <w:t xml:space="preserve">Galiojančios redakcijos </w:t>
      </w:r>
      <w:r>
        <w:rPr>
          <w:bCs/>
        </w:rPr>
        <w:t xml:space="preserve">CPK </w:t>
      </w:r>
      <w:r w:rsidRPr="00987F64">
        <w:rPr>
          <w:bCs/>
        </w:rPr>
        <w:t xml:space="preserve">LX skyriaus ketvirtojo, penktojo ir šeštojo skirsnių nuostatos netaikomos Europos Sąjungos valstybių narių teismų sprendimams, teisme patvirtintoms taikos sutartims ir teismo nutartims, kadangi Europos Sąjungos valstybių narių teismų sprendimai pripažįstami ir vykdomi vadovaujantis konkrečių Europos Sąjungos reglamentų, taip pat Lietuvos Respublikos civilinį procesą reglamentuojančių Europos Sąjungos ir tarptautinės teisės aktų įgyvendinimo įstatymo nuostatomis. Vis dėlto yra tokių Europos Sąjungos teismų sprendimų civilinėse bylose kategorijų (pavyzdžiui, teismo sprendimai dėl įvaikinimo, dėl asmens pripažinimo neveiksniu), kurios nepatenka į jokių Europos Sąjungos reglamentų taikymo sritį, ir tokie sprendimai taip pat negali būti pripažįstami ir vykdomi vadovaujantis </w:t>
      </w:r>
      <w:r w:rsidR="00BD0B6A">
        <w:rPr>
          <w:bCs/>
        </w:rPr>
        <w:t>C</w:t>
      </w:r>
      <w:r w:rsidRPr="00987F64">
        <w:rPr>
          <w:bCs/>
        </w:rPr>
        <w:t xml:space="preserve">ivilinį procesą reglamentuojančių Europos Sąjungos ir tarptautinės teisės aktų įgyvendinimo įstatymo nuostatomis. </w:t>
      </w:r>
      <w:r w:rsidR="0009531E" w:rsidRPr="0009531E">
        <w:rPr>
          <w:bCs/>
        </w:rPr>
        <w:t xml:space="preserve">Atsižvelgiant į tai, tokių sprendimų pripažinimui ir vykdymui būtų tikslinga taikyti </w:t>
      </w:r>
      <w:r w:rsidR="0009531E">
        <w:rPr>
          <w:bCs/>
        </w:rPr>
        <w:t xml:space="preserve">CPK </w:t>
      </w:r>
      <w:r w:rsidR="0009531E" w:rsidRPr="0009531E">
        <w:rPr>
          <w:bCs/>
        </w:rPr>
        <w:t>nuostatas.</w:t>
      </w:r>
    </w:p>
    <w:p w:rsidR="00E5188E" w:rsidRDefault="00C97677" w:rsidP="003C284C">
      <w:pPr>
        <w:tabs>
          <w:tab w:val="left" w:pos="709"/>
          <w:tab w:val="left" w:pos="1080"/>
        </w:tabs>
        <w:jc w:val="both"/>
        <w:rPr>
          <w:b/>
        </w:rPr>
      </w:pPr>
      <w:r>
        <w:rPr>
          <w:bCs/>
        </w:rPr>
        <w:tab/>
      </w:r>
    </w:p>
    <w:p w:rsidR="00A34E04" w:rsidRDefault="00D30D08" w:rsidP="00280671">
      <w:pPr>
        <w:tabs>
          <w:tab w:val="left" w:pos="709"/>
        </w:tabs>
        <w:ind w:firstLine="709"/>
        <w:jc w:val="both"/>
        <w:rPr>
          <w:b/>
        </w:rPr>
      </w:pPr>
      <w:r w:rsidRPr="000003E1">
        <w:rPr>
          <w:b/>
        </w:rPr>
        <w:t xml:space="preserve">4. </w:t>
      </w:r>
      <w:r>
        <w:rPr>
          <w:b/>
        </w:rPr>
        <w:t>Siūlomos naujos teisinio reguliavimo</w:t>
      </w:r>
      <w:r w:rsidRPr="000003E1">
        <w:rPr>
          <w:b/>
        </w:rPr>
        <w:t xml:space="preserve"> </w:t>
      </w:r>
      <w:r>
        <w:rPr>
          <w:b/>
        </w:rPr>
        <w:t xml:space="preserve">nuostatos ir </w:t>
      </w:r>
      <w:r w:rsidR="00D11143" w:rsidRPr="00D11143">
        <w:rPr>
          <w:b/>
        </w:rPr>
        <w:t>kokių teigiamų rezultatų laukiama.</w:t>
      </w:r>
    </w:p>
    <w:p w:rsidR="00596E75" w:rsidRDefault="00464874" w:rsidP="00280671">
      <w:pPr>
        <w:tabs>
          <w:tab w:val="left" w:pos="709"/>
        </w:tabs>
        <w:ind w:firstLine="709"/>
        <w:jc w:val="both"/>
      </w:pPr>
      <w:r>
        <w:t>Įstatymo</w:t>
      </w:r>
      <w:r w:rsidR="00596E75">
        <w:t xml:space="preserve"> projektu siūloma patikslinti galiojančias CPK 3 straipsnio 5 dalies nuostatas, čia vartojamą preliminaraus nutarimo sąvoką keičiant prejudicinio sprendimo sąvoka, kuri</w:t>
      </w:r>
      <w:r w:rsidR="00596E75" w:rsidRPr="00596E75">
        <w:t xml:space="preserve"> kyla iš </w:t>
      </w:r>
      <w:r w:rsidR="00596E75" w:rsidRPr="00596E75">
        <w:lastRenderedPageBreak/>
        <w:t>pirminės Europos Sąjungos teisės</w:t>
      </w:r>
      <w:r w:rsidR="00596E75">
        <w:t xml:space="preserve"> ir nuosekliai vartojama tiek Europo</w:t>
      </w:r>
      <w:r w:rsidR="003C284C">
        <w:t>s Sąjungos, tiek nacionalinės</w:t>
      </w:r>
      <w:r w:rsidR="00596E75">
        <w:t xml:space="preserve"> teisės aktuose. Tokiu būdu būtų užtikrintas CPK vartojamų terminų aiškumas ir nuoseklumas. </w:t>
      </w:r>
    </w:p>
    <w:p w:rsidR="00BA6836" w:rsidRPr="0009531E" w:rsidRDefault="00464874" w:rsidP="00C36F4A">
      <w:pPr>
        <w:tabs>
          <w:tab w:val="left" w:pos="709"/>
        </w:tabs>
        <w:ind w:firstLine="709"/>
        <w:jc w:val="both"/>
        <w:rPr>
          <w:bCs/>
        </w:rPr>
      </w:pPr>
      <w:r>
        <w:rPr>
          <w:bCs/>
        </w:rPr>
        <w:t>Įstatymo</w:t>
      </w:r>
      <w:r w:rsidR="00BA6836">
        <w:rPr>
          <w:bCs/>
        </w:rPr>
        <w:t xml:space="preserve"> projektu keičiamo </w:t>
      </w:r>
      <w:r w:rsidR="00BA6836" w:rsidRPr="00BA6836">
        <w:rPr>
          <w:bCs/>
        </w:rPr>
        <w:t xml:space="preserve">CPK 801 straipsnio 1 dalyje siūloma nustatyti bendrą teismų susižinojimo su užsienio valstybėmis dėl teisinės pagalbos principą, jog susižinojimas vyksta  tarptautinių sutarčių ir </w:t>
      </w:r>
      <w:r w:rsidR="00BA6836">
        <w:rPr>
          <w:bCs/>
        </w:rPr>
        <w:t>Europos Sąjungos</w:t>
      </w:r>
      <w:r w:rsidR="00BA6836" w:rsidRPr="00BA6836">
        <w:rPr>
          <w:bCs/>
        </w:rPr>
        <w:t xml:space="preserve"> teisės aktų nustatyta tvarka ir sąlygomis. </w:t>
      </w:r>
      <w:r w:rsidR="00BA6836">
        <w:rPr>
          <w:bCs/>
        </w:rPr>
        <w:t xml:space="preserve">Keičiamo </w:t>
      </w:r>
      <w:r w:rsidR="00BA6836" w:rsidRPr="00BA6836">
        <w:rPr>
          <w:bCs/>
        </w:rPr>
        <w:t xml:space="preserve">CPK 801 straipsnio 2 dalyje siūloma nustatyti, jog Lietuvos Respublikos teismai su Europos Sąjungos valstybių narių teismais dėl teisinės pagalbos susižino tiesiogiai Europos Sąjungos teisės aktų nustatyta tvarka ir sąlygomis. </w:t>
      </w:r>
      <w:r w:rsidR="00BA6836">
        <w:rPr>
          <w:bCs/>
        </w:rPr>
        <w:t>To paties straipsnio 3 dalyje siūloma nustatyti, kad</w:t>
      </w:r>
      <w:r w:rsidR="00BA6836" w:rsidRPr="00BA6836">
        <w:rPr>
          <w:bCs/>
        </w:rPr>
        <w:t xml:space="preserve"> tais atvejais, kai tarp Lietuvos Respublikos ir valstybės, kuri nėra Europos Sąjungos narė, galioja tarptautinė sutartis, nustatanti tiesioginį bendradarbiavimą (susižinojimą), Lietuvos Respublikos teismai susižino šios tarptautinės sutarties </w:t>
      </w:r>
      <w:r w:rsidR="00136C19">
        <w:rPr>
          <w:bCs/>
        </w:rPr>
        <w:t xml:space="preserve">nustatyta tvarka ir sąlygomis. Keičiamo </w:t>
      </w:r>
      <w:r w:rsidR="00BA6836" w:rsidRPr="00BA6836">
        <w:rPr>
          <w:bCs/>
        </w:rPr>
        <w:t>CPK 801 straipsnio 4</w:t>
      </w:r>
      <w:r w:rsidR="00136C19">
        <w:rPr>
          <w:bCs/>
        </w:rPr>
        <w:t xml:space="preserve"> dalyje siūloma įtvirtinti, kad, kai </w:t>
      </w:r>
      <w:r w:rsidR="00BA6836" w:rsidRPr="00BA6836">
        <w:rPr>
          <w:bCs/>
        </w:rPr>
        <w:t>tarp Lietuvos Respublikos ir valstybės, kuri nėra Europos Sąjungos narė, nėra tarptautinės sutarties, nustatančios tiesioginį bendradarbiavimą (susižinojimą), tačiau galioja tarptautinė sutartis, kuri nenustato tiesioginio b</w:t>
      </w:r>
      <w:r w:rsidR="00534A08">
        <w:rPr>
          <w:bCs/>
        </w:rPr>
        <w:t xml:space="preserve">endradarbiavimo (susižinojimo), </w:t>
      </w:r>
      <w:r w:rsidR="00BA6836" w:rsidRPr="00BA6836">
        <w:rPr>
          <w:bCs/>
        </w:rPr>
        <w:t xml:space="preserve">Lietuvos Respublikos teismai susižino šios sutarties nustatyta tvarka ir sąlygomis per Lietuvos Respublikos teisingumo ministeriją. </w:t>
      </w:r>
      <w:r w:rsidR="00C36F4A">
        <w:rPr>
          <w:bCs/>
        </w:rPr>
        <w:t>To paties straipsnio 5 dalyj</w:t>
      </w:r>
      <w:r w:rsidR="00BA6836" w:rsidRPr="00BA6836">
        <w:rPr>
          <w:bCs/>
        </w:rPr>
        <w:t>e siūlom</w:t>
      </w:r>
      <w:r w:rsidR="00C36F4A">
        <w:rPr>
          <w:bCs/>
        </w:rPr>
        <w:t>a nustatyti, kad</w:t>
      </w:r>
      <w:r w:rsidR="00BA6836" w:rsidRPr="00BA6836">
        <w:rPr>
          <w:bCs/>
        </w:rPr>
        <w:t xml:space="preserve"> tais atvejais, kai tarp Lietuvos Respublikos ir valstybės, kuri nėra Europos Sąjungos narė, nėra galiojančios tarptautinės sutarties, kurios pagrindu Lietuvos teismai galėtų susižinoti, susižinojimas vyksta diplomatine tvarka per Lietuvos Respublikos užsienio reikalų ministeriją.</w:t>
      </w:r>
      <w:r w:rsidR="00C36F4A">
        <w:rPr>
          <w:bCs/>
        </w:rPr>
        <w:t xml:space="preserve"> </w:t>
      </w:r>
      <w:r w:rsidR="00BA6836" w:rsidRPr="00BA6836">
        <w:rPr>
          <w:bCs/>
        </w:rPr>
        <w:t>Priėmus siūlomus CPK 801 straipsnio nuostatų pakeitimus, būtų paspartintas teisminio bendradarbiavimo civilinėse bylose procesas, sutrumpinta bendra teisinės pagalbos prašymo vykdymo trukmė, sumažinta administracinė našta, tenkanti Teisingumo ministerijai.</w:t>
      </w:r>
    </w:p>
    <w:p w:rsidR="0009531E" w:rsidRPr="0009531E" w:rsidRDefault="00464874" w:rsidP="0009531E">
      <w:pPr>
        <w:tabs>
          <w:tab w:val="left" w:pos="709"/>
        </w:tabs>
        <w:ind w:firstLine="709"/>
        <w:jc w:val="both"/>
        <w:rPr>
          <w:bCs/>
        </w:rPr>
      </w:pPr>
      <w:r>
        <w:rPr>
          <w:bCs/>
        </w:rPr>
        <w:t xml:space="preserve">Įstatymo </w:t>
      </w:r>
      <w:r w:rsidR="0009531E">
        <w:rPr>
          <w:bCs/>
        </w:rPr>
        <w:t xml:space="preserve">projektu </w:t>
      </w:r>
      <w:r w:rsidR="0009531E" w:rsidRPr="0009531E">
        <w:rPr>
          <w:bCs/>
        </w:rPr>
        <w:t xml:space="preserve">siūloma patikslinti </w:t>
      </w:r>
      <w:r w:rsidR="0009531E">
        <w:rPr>
          <w:bCs/>
        </w:rPr>
        <w:t xml:space="preserve">CPK </w:t>
      </w:r>
      <w:r w:rsidR="0009531E" w:rsidRPr="0009531E">
        <w:rPr>
          <w:bCs/>
        </w:rPr>
        <w:t>LX skyriaus nuostatas ir numatyti, kad š</w:t>
      </w:r>
      <w:r w:rsidR="00534A08">
        <w:rPr>
          <w:bCs/>
        </w:rPr>
        <w:t xml:space="preserve">io skyriaus </w:t>
      </w:r>
      <w:r w:rsidR="0050446C">
        <w:rPr>
          <w:bCs/>
        </w:rPr>
        <w:t>k</w:t>
      </w:r>
      <w:r w:rsidR="00534A08">
        <w:rPr>
          <w:bCs/>
        </w:rPr>
        <w:t xml:space="preserve">etvirtojo, </w:t>
      </w:r>
      <w:r w:rsidR="0050446C">
        <w:rPr>
          <w:bCs/>
        </w:rPr>
        <w:t>p</w:t>
      </w:r>
      <w:r w:rsidR="00534A08">
        <w:rPr>
          <w:bCs/>
        </w:rPr>
        <w:t xml:space="preserve">enktojo ir </w:t>
      </w:r>
      <w:r w:rsidR="0050446C">
        <w:rPr>
          <w:bCs/>
        </w:rPr>
        <w:t>š</w:t>
      </w:r>
      <w:r w:rsidR="0009531E" w:rsidRPr="0009531E">
        <w:rPr>
          <w:bCs/>
        </w:rPr>
        <w:t xml:space="preserve">eštojo skirsnių nuostatos taikomos Europos Sąjungos valstybių narių teismų sprendimams, teisme patvirtintoms taikos sutartims ir teismo nutartims, kai nėra Europos Sąjungos reglamentų, nustatančių šių teismų sprendimų, teisme patvirtintų taikos sutarčių ir teismo nutarčių pripažinimą ir leidimą juos vykdyti. Tokia nuostata įtvirtintų aiškų teisinį pagrindą pagal </w:t>
      </w:r>
      <w:r w:rsidR="0009531E">
        <w:rPr>
          <w:bCs/>
        </w:rPr>
        <w:t xml:space="preserve">CPK </w:t>
      </w:r>
      <w:r w:rsidR="0009531E" w:rsidRPr="0009531E">
        <w:rPr>
          <w:bCs/>
        </w:rPr>
        <w:t>nuostatas pripažinti ir leisti vykdyti Europos Sąjungos valstybių narių teismų sprendimus, teisme patvirtintas taikos sutartis ir teismo nutartis, kai konkrečios ginčų kategorijos nepatenka į jokių Europos Sąjungos reglamentų taikymo sritį</w:t>
      </w:r>
      <w:r w:rsidR="0009531E">
        <w:rPr>
          <w:bCs/>
        </w:rPr>
        <w:t>, tokiu būdu</w:t>
      </w:r>
      <w:r w:rsidR="0009531E" w:rsidRPr="0009531E">
        <w:rPr>
          <w:bCs/>
        </w:rPr>
        <w:t xml:space="preserve"> užtikr</w:t>
      </w:r>
      <w:r w:rsidR="0009531E">
        <w:rPr>
          <w:bCs/>
        </w:rPr>
        <w:t>inant sąlygas</w:t>
      </w:r>
      <w:r w:rsidR="0009531E" w:rsidRPr="0009531E">
        <w:rPr>
          <w:bCs/>
        </w:rPr>
        <w:t xml:space="preserve"> efektyviam Europos Sąjungos teismų sprendimų pripažinimui ir leidimui juos vykdyti Lietuvoje.</w:t>
      </w:r>
    </w:p>
    <w:p w:rsidR="00745B2B" w:rsidRDefault="00745B2B" w:rsidP="00983F34">
      <w:pPr>
        <w:tabs>
          <w:tab w:val="left" w:pos="709"/>
        </w:tabs>
        <w:jc w:val="both"/>
      </w:pPr>
    </w:p>
    <w:p w:rsidR="00D30D08" w:rsidRPr="00ED36BA" w:rsidRDefault="00D30D08" w:rsidP="001F73EF">
      <w:pPr>
        <w:tabs>
          <w:tab w:val="left" w:pos="720"/>
          <w:tab w:val="left" w:pos="960"/>
          <w:tab w:val="left" w:pos="1080"/>
        </w:tabs>
        <w:jc w:val="both"/>
        <w:rPr>
          <w:b/>
        </w:rPr>
      </w:pPr>
      <w:r w:rsidRPr="000003E1">
        <w:tab/>
      </w:r>
      <w:r>
        <w:rPr>
          <w:b/>
        </w:rPr>
        <w:t xml:space="preserve">5. </w:t>
      </w:r>
      <w:r w:rsidRPr="00ED36BA">
        <w:rPr>
          <w:b/>
        </w:rPr>
        <w:t>Numatomo teisinio reguliavimo poveikio vertinimo rezul</w:t>
      </w:r>
      <w:r w:rsidR="00F772A7">
        <w:rPr>
          <w:b/>
        </w:rPr>
        <w:t>tatai, galimos neigiamos priimt</w:t>
      </w:r>
      <w:r w:rsidR="0062372B">
        <w:rPr>
          <w:b/>
        </w:rPr>
        <w:t>o</w:t>
      </w:r>
      <w:r w:rsidR="00F772A7">
        <w:rPr>
          <w:b/>
        </w:rPr>
        <w:t xml:space="preserve"> įstatym</w:t>
      </w:r>
      <w:r w:rsidR="0062372B">
        <w:rPr>
          <w:b/>
        </w:rPr>
        <w:t>o</w:t>
      </w:r>
      <w:r w:rsidRPr="00ED36BA">
        <w:rPr>
          <w:b/>
        </w:rPr>
        <w:t xml:space="preserve"> pasekmės ir kokių priemonių reikėtų imtis, kad tokių pasekmių būtų išvengta</w:t>
      </w:r>
      <w:r w:rsidR="005B09A5">
        <w:rPr>
          <w:b/>
        </w:rPr>
        <w:t>.</w:t>
      </w:r>
    </w:p>
    <w:p w:rsidR="00503DF3" w:rsidRPr="00503DF3" w:rsidRDefault="00464874" w:rsidP="00503DF3">
      <w:pPr>
        <w:ind w:firstLine="720"/>
        <w:jc w:val="both"/>
      </w:pPr>
      <w:r>
        <w:t>Numatomos teigiamos Įstatymo projekto</w:t>
      </w:r>
      <w:r w:rsidR="008F3DC2">
        <w:t xml:space="preserve"> siūlomo </w:t>
      </w:r>
      <w:r w:rsidR="00503DF3" w:rsidRPr="00503DF3">
        <w:t xml:space="preserve">teisinio reguliavimo pasekmės aptartos </w:t>
      </w:r>
      <w:r w:rsidR="00503DF3">
        <w:t xml:space="preserve">šio aiškinamojo rašto 4 dalyje. </w:t>
      </w:r>
      <w:r w:rsidR="00503DF3" w:rsidRPr="00503DF3">
        <w:t>Priėmus Įstatym</w:t>
      </w:r>
      <w:r>
        <w:t>o</w:t>
      </w:r>
      <w:r w:rsidR="00503DF3" w:rsidRPr="00503DF3">
        <w:t xml:space="preserve"> projekt</w:t>
      </w:r>
      <w:r>
        <w:t>ą</w:t>
      </w:r>
      <w:r w:rsidR="00503DF3" w:rsidRPr="00503DF3">
        <w:t>, neigiamų pasekmių nenumatoma</w:t>
      </w:r>
      <w:r w:rsidR="00503DF3" w:rsidRPr="00503DF3">
        <w:rPr>
          <w:rFonts w:eastAsia="Calibri"/>
          <w:lang w:eastAsia="en-US"/>
        </w:rPr>
        <w:t>.</w:t>
      </w:r>
    </w:p>
    <w:p w:rsidR="00A525CB" w:rsidRDefault="00A525CB" w:rsidP="001F73EF">
      <w:pPr>
        <w:pStyle w:val="HTMLPreformatted"/>
        <w:ind w:firstLine="720"/>
        <w:jc w:val="both"/>
        <w:rPr>
          <w:rFonts w:ascii="Times New Roman" w:hAnsi="Times New Roman" w:cs="Times New Roman"/>
          <w:sz w:val="24"/>
          <w:szCs w:val="24"/>
        </w:rPr>
      </w:pPr>
    </w:p>
    <w:p w:rsidR="00D30D08" w:rsidRPr="000003E1" w:rsidRDefault="0062372B" w:rsidP="001F73EF">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6. Galima priimto</w:t>
      </w:r>
      <w:r w:rsidR="00F772A7">
        <w:rPr>
          <w:rFonts w:ascii="Times New Roman" w:hAnsi="Times New Roman" w:cs="Times New Roman"/>
          <w:b/>
          <w:sz w:val="24"/>
          <w:szCs w:val="24"/>
        </w:rPr>
        <w:t xml:space="preserve"> įstatym</w:t>
      </w:r>
      <w:r>
        <w:rPr>
          <w:rFonts w:ascii="Times New Roman" w:hAnsi="Times New Roman" w:cs="Times New Roman"/>
          <w:b/>
          <w:sz w:val="24"/>
          <w:szCs w:val="24"/>
        </w:rPr>
        <w:t>o</w:t>
      </w:r>
      <w:r w:rsidR="00D30D08" w:rsidRPr="000003E1">
        <w:rPr>
          <w:rFonts w:ascii="Times New Roman" w:hAnsi="Times New Roman" w:cs="Times New Roman"/>
          <w:b/>
          <w:sz w:val="24"/>
          <w:szCs w:val="24"/>
        </w:rPr>
        <w:t xml:space="preserve"> įtaka kriminogeninei situacijai, korupcijai</w:t>
      </w:r>
      <w:r w:rsidR="005B09A5">
        <w:rPr>
          <w:rFonts w:ascii="Times New Roman" w:hAnsi="Times New Roman" w:cs="Times New Roman"/>
          <w:b/>
          <w:sz w:val="24"/>
          <w:szCs w:val="24"/>
        </w:rPr>
        <w:t>.</w:t>
      </w:r>
    </w:p>
    <w:p w:rsidR="00D30D08" w:rsidRDefault="008F3DC2" w:rsidP="001F73EF">
      <w:pPr>
        <w:pStyle w:val="HTMLPreformatted"/>
        <w:ind w:firstLine="720"/>
        <w:jc w:val="both"/>
        <w:rPr>
          <w:rFonts w:ascii="Times New Roman" w:hAnsi="Times New Roman" w:cs="Times New Roman"/>
          <w:sz w:val="24"/>
          <w:szCs w:val="24"/>
        </w:rPr>
      </w:pPr>
      <w:r>
        <w:rPr>
          <w:rFonts w:ascii="Times New Roman" w:hAnsi="Times New Roman" w:cs="Times New Roman"/>
          <w:sz w:val="24"/>
          <w:szCs w:val="24"/>
        </w:rPr>
        <w:t>Priimt</w:t>
      </w:r>
      <w:r w:rsidR="00464874">
        <w:rPr>
          <w:rFonts w:ascii="Times New Roman" w:hAnsi="Times New Roman" w:cs="Times New Roman"/>
          <w:sz w:val="24"/>
          <w:szCs w:val="24"/>
        </w:rPr>
        <w:t xml:space="preserve">as įstatymas </w:t>
      </w:r>
      <w:r w:rsidRPr="008F3DC2">
        <w:rPr>
          <w:rFonts w:ascii="Times New Roman" w:hAnsi="Times New Roman" w:cs="Times New Roman"/>
          <w:sz w:val="24"/>
          <w:szCs w:val="24"/>
        </w:rPr>
        <w:t>neigiamos įtakos kriminogeninei situacijai ir korupcijai neturės.</w:t>
      </w:r>
    </w:p>
    <w:p w:rsidR="00534A08" w:rsidRPr="000003E1" w:rsidRDefault="00534A08" w:rsidP="001F73EF">
      <w:pPr>
        <w:pStyle w:val="HTMLPreformatted"/>
        <w:ind w:firstLine="720"/>
        <w:jc w:val="both"/>
        <w:rPr>
          <w:rFonts w:ascii="Times New Roman" w:hAnsi="Times New Roman" w:cs="Times New Roman"/>
          <w:sz w:val="24"/>
          <w:szCs w:val="24"/>
        </w:rPr>
      </w:pPr>
    </w:p>
    <w:p w:rsidR="00D30D08" w:rsidRPr="000003E1" w:rsidRDefault="005B09A5" w:rsidP="005B09A5">
      <w:pPr>
        <w:tabs>
          <w:tab w:val="left" w:pos="960"/>
          <w:tab w:val="left" w:pos="1080"/>
        </w:tabs>
        <w:ind w:left="709"/>
        <w:jc w:val="both"/>
        <w:rPr>
          <w:b/>
        </w:rPr>
      </w:pPr>
      <w:r>
        <w:rPr>
          <w:b/>
        </w:rPr>
        <w:t xml:space="preserve">7. </w:t>
      </w:r>
      <w:r w:rsidR="00D30D08">
        <w:rPr>
          <w:b/>
        </w:rPr>
        <w:t xml:space="preserve">Galima </w:t>
      </w:r>
      <w:r w:rsidR="0016490B">
        <w:rPr>
          <w:b/>
        </w:rPr>
        <w:t>priimt</w:t>
      </w:r>
      <w:r w:rsidR="0062372B">
        <w:rPr>
          <w:b/>
        </w:rPr>
        <w:t>o</w:t>
      </w:r>
      <w:r w:rsidRPr="005B09A5">
        <w:rPr>
          <w:b/>
        </w:rPr>
        <w:t xml:space="preserve"> </w:t>
      </w:r>
      <w:r w:rsidR="00F772A7">
        <w:rPr>
          <w:b/>
        </w:rPr>
        <w:t>įstatym</w:t>
      </w:r>
      <w:r w:rsidR="0062372B">
        <w:rPr>
          <w:b/>
        </w:rPr>
        <w:t>o</w:t>
      </w:r>
      <w:r w:rsidR="00D30D08" w:rsidRPr="000003E1">
        <w:rPr>
          <w:b/>
        </w:rPr>
        <w:t xml:space="preserve"> </w:t>
      </w:r>
      <w:r w:rsidR="00D30D08">
        <w:rPr>
          <w:b/>
        </w:rPr>
        <w:t xml:space="preserve">įgyvendinimo </w:t>
      </w:r>
      <w:r w:rsidR="00D30D08" w:rsidRPr="000003E1">
        <w:rPr>
          <w:b/>
        </w:rPr>
        <w:t>įtaka verslo sąlygoms ir jo plėtrai</w:t>
      </w:r>
      <w:r>
        <w:rPr>
          <w:b/>
        </w:rPr>
        <w:t>.</w:t>
      </w:r>
    </w:p>
    <w:p w:rsidR="008F3DC2" w:rsidRDefault="008C3127" w:rsidP="0062372B">
      <w:pPr>
        <w:pStyle w:val="Standarduser"/>
        <w:spacing w:line="240" w:lineRule="auto"/>
        <w:ind w:firstLine="720"/>
        <w:jc w:val="both"/>
      </w:pPr>
      <w:r>
        <w:t xml:space="preserve">CPK </w:t>
      </w:r>
      <w:r w:rsidR="0062372B">
        <w:t xml:space="preserve">pakeitimas </w:t>
      </w:r>
      <w:r>
        <w:t>sukurtų teisines</w:t>
      </w:r>
      <w:r w:rsidR="0062372B">
        <w:t xml:space="preserve"> prielaidas efektyvesniam teisminiam bendradarbiavimui civilinėse bylose bei spartesniam bylų nagrinėjimui, </w:t>
      </w:r>
      <w:r>
        <w:t xml:space="preserve">o tai darytų teigiamą poveikį verslo sąlygoms ir jo plėtrai. </w:t>
      </w:r>
    </w:p>
    <w:p w:rsidR="0062372B" w:rsidRDefault="0062372B" w:rsidP="0062372B">
      <w:pPr>
        <w:pStyle w:val="Standarduser"/>
        <w:spacing w:line="240" w:lineRule="auto"/>
        <w:ind w:firstLine="720"/>
        <w:jc w:val="both"/>
      </w:pPr>
    </w:p>
    <w:p w:rsidR="00D30D08" w:rsidRPr="00F44327" w:rsidRDefault="005B09A5" w:rsidP="005B09A5">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B09A5">
        <w:rPr>
          <w:b/>
        </w:rPr>
        <w:t>8.</w:t>
      </w:r>
      <w:r>
        <w:rPr>
          <w:b/>
        </w:rPr>
        <w:t xml:space="preserve"> </w:t>
      </w:r>
      <w:r w:rsidRPr="005B09A5">
        <w:rPr>
          <w:b/>
        </w:rPr>
        <w:t>Įstatym</w:t>
      </w:r>
      <w:r w:rsidR="0062372B">
        <w:rPr>
          <w:b/>
        </w:rPr>
        <w:t>o</w:t>
      </w:r>
      <w:r w:rsidRPr="005B09A5">
        <w:rPr>
          <w:b/>
        </w:rPr>
        <w:t xml:space="preserve"> inkorporavimas į teisinę sistemą, kokius teisės aktus būtina priimti, kokius galiojančius teisės aktus reikia pakeisti ar pripažinti netekusiais galios.</w:t>
      </w:r>
    </w:p>
    <w:p w:rsidR="006D309A" w:rsidRDefault="006D309A" w:rsidP="005E40E0">
      <w:pPr>
        <w:pStyle w:val="HTMLPreformatted"/>
        <w:tabs>
          <w:tab w:val="clear" w:pos="916"/>
          <w:tab w:val="left" w:pos="709"/>
        </w:tabs>
        <w:jc w:val="both"/>
        <w:rPr>
          <w:rFonts w:ascii="Times New Roman" w:hAnsi="Times New Roman" w:cs="Times New Roman"/>
          <w:sz w:val="24"/>
          <w:szCs w:val="24"/>
        </w:rPr>
      </w:pPr>
      <w:r>
        <w:rPr>
          <w:rFonts w:ascii="Times New Roman" w:hAnsi="Times New Roman" w:cs="Times New Roman"/>
          <w:sz w:val="24"/>
          <w:szCs w:val="24"/>
        </w:rPr>
        <w:tab/>
      </w:r>
      <w:r w:rsidR="000E3A56">
        <w:rPr>
          <w:rFonts w:ascii="Times New Roman" w:hAnsi="Times New Roman" w:cs="Times New Roman"/>
          <w:sz w:val="24"/>
          <w:szCs w:val="24"/>
        </w:rPr>
        <w:t xml:space="preserve">Siekiant </w:t>
      </w:r>
      <w:r w:rsidR="008C2007">
        <w:rPr>
          <w:rFonts w:ascii="Times New Roman" w:hAnsi="Times New Roman" w:cs="Times New Roman"/>
          <w:sz w:val="24"/>
          <w:szCs w:val="24"/>
        </w:rPr>
        <w:t>Įstatym</w:t>
      </w:r>
      <w:r w:rsidR="0062372B">
        <w:rPr>
          <w:rFonts w:ascii="Times New Roman" w:hAnsi="Times New Roman" w:cs="Times New Roman"/>
          <w:sz w:val="24"/>
          <w:szCs w:val="24"/>
        </w:rPr>
        <w:t>o</w:t>
      </w:r>
      <w:r w:rsidR="008C2007">
        <w:rPr>
          <w:rFonts w:ascii="Times New Roman" w:hAnsi="Times New Roman" w:cs="Times New Roman"/>
          <w:sz w:val="24"/>
          <w:szCs w:val="24"/>
        </w:rPr>
        <w:t xml:space="preserve"> p</w:t>
      </w:r>
      <w:r w:rsidR="001B18B6">
        <w:rPr>
          <w:rFonts w:ascii="Times New Roman" w:hAnsi="Times New Roman" w:cs="Times New Roman"/>
          <w:sz w:val="24"/>
          <w:szCs w:val="24"/>
        </w:rPr>
        <w:t>rojekt</w:t>
      </w:r>
      <w:r w:rsidR="0062372B">
        <w:rPr>
          <w:rFonts w:ascii="Times New Roman" w:hAnsi="Times New Roman" w:cs="Times New Roman"/>
          <w:sz w:val="24"/>
          <w:szCs w:val="24"/>
        </w:rPr>
        <w:t>e</w:t>
      </w:r>
      <w:r w:rsidR="001B18B6">
        <w:rPr>
          <w:rFonts w:ascii="Times New Roman" w:hAnsi="Times New Roman" w:cs="Times New Roman"/>
          <w:sz w:val="24"/>
          <w:szCs w:val="24"/>
        </w:rPr>
        <w:t xml:space="preserve"> </w:t>
      </w:r>
      <w:r w:rsidR="000E3A56">
        <w:rPr>
          <w:rFonts w:ascii="Times New Roman" w:hAnsi="Times New Roman" w:cs="Times New Roman"/>
          <w:sz w:val="24"/>
          <w:szCs w:val="24"/>
        </w:rPr>
        <w:t>siūlomus pakeitimus inkorporuoti į teisinę sistemą, priimti nauj</w:t>
      </w:r>
      <w:r w:rsidR="001B18B6">
        <w:rPr>
          <w:rFonts w:ascii="Times New Roman" w:hAnsi="Times New Roman" w:cs="Times New Roman"/>
          <w:sz w:val="24"/>
          <w:szCs w:val="24"/>
        </w:rPr>
        <w:t>ų</w:t>
      </w:r>
      <w:r w:rsidR="000E3A56">
        <w:rPr>
          <w:rFonts w:ascii="Times New Roman" w:hAnsi="Times New Roman" w:cs="Times New Roman"/>
          <w:sz w:val="24"/>
          <w:szCs w:val="24"/>
        </w:rPr>
        <w:t xml:space="preserve">, pakeisti ar pripažinti netekusiais galios galiojančių </w:t>
      </w:r>
      <w:r w:rsidR="001B18B6">
        <w:rPr>
          <w:rFonts w:ascii="Times New Roman" w:hAnsi="Times New Roman" w:cs="Times New Roman"/>
          <w:sz w:val="24"/>
          <w:szCs w:val="24"/>
        </w:rPr>
        <w:t xml:space="preserve">įstatymų </w:t>
      </w:r>
      <w:r w:rsidR="000E3A56">
        <w:rPr>
          <w:rFonts w:ascii="Times New Roman" w:hAnsi="Times New Roman" w:cs="Times New Roman"/>
          <w:sz w:val="24"/>
          <w:szCs w:val="24"/>
        </w:rPr>
        <w:t xml:space="preserve">nereikės. </w:t>
      </w:r>
    </w:p>
    <w:p w:rsidR="006D309A" w:rsidRPr="000003E1" w:rsidRDefault="006D309A" w:rsidP="001F73EF">
      <w:pPr>
        <w:pStyle w:val="HTMLPreformatted"/>
        <w:jc w:val="both"/>
        <w:rPr>
          <w:rFonts w:ascii="Times New Roman" w:hAnsi="Times New Roman" w:cs="Times New Roman"/>
          <w:sz w:val="24"/>
          <w:szCs w:val="24"/>
        </w:rPr>
      </w:pPr>
    </w:p>
    <w:p w:rsidR="005E40E0" w:rsidRPr="005B09A5" w:rsidRDefault="005B09A5" w:rsidP="005B09A5">
      <w:pPr>
        <w:tabs>
          <w:tab w:val="left" w:pos="0"/>
          <w:tab w:val="left" w:pos="993"/>
        </w:tabs>
        <w:ind w:firstLine="709"/>
        <w:jc w:val="both"/>
        <w:rPr>
          <w:b/>
        </w:rPr>
      </w:pPr>
      <w:r>
        <w:rPr>
          <w:b/>
        </w:rPr>
        <w:lastRenderedPageBreak/>
        <w:t xml:space="preserve">9. </w:t>
      </w:r>
      <w:r w:rsidRPr="005B09A5">
        <w:rPr>
          <w:b/>
        </w:rPr>
        <w:t>Įstatym</w:t>
      </w:r>
      <w:r w:rsidR="0062372B">
        <w:rPr>
          <w:b/>
        </w:rPr>
        <w:t>o</w:t>
      </w:r>
      <w:r w:rsidRPr="005B09A5">
        <w:rPr>
          <w:b/>
        </w:rPr>
        <w:t xml:space="preserve"> projekt</w:t>
      </w:r>
      <w:r w:rsidR="0062372B">
        <w:rPr>
          <w:b/>
        </w:rPr>
        <w:t>o</w:t>
      </w:r>
      <w:r w:rsidRPr="005B09A5">
        <w:rPr>
          <w:b/>
        </w:rPr>
        <w:t xml:space="preserve"> atitiktis Valstybinės kalbos, Teisėkūros pagrindų įstatymų reikalavimams, </w:t>
      </w:r>
      <w:r w:rsidR="008C3127">
        <w:rPr>
          <w:b/>
        </w:rPr>
        <w:t>įstatymų projektų</w:t>
      </w:r>
      <w:r w:rsidR="008C3127" w:rsidRPr="008C3127">
        <w:rPr>
          <w:b/>
        </w:rPr>
        <w:t xml:space="preserve"> sąvokų ir jas įvardijančių terminų įvertinimas Terminų banko įstatymo ir jo įgyvendinamųjų teisės aktų nustatyta tvarka</w:t>
      </w:r>
      <w:r w:rsidR="008C3127">
        <w:rPr>
          <w:b/>
        </w:rPr>
        <w:t xml:space="preserve">. </w:t>
      </w:r>
    </w:p>
    <w:p w:rsidR="008E422E" w:rsidRDefault="008C3127" w:rsidP="001F73EF">
      <w:pPr>
        <w:pStyle w:val="HTMLPreformatted"/>
        <w:ind w:firstLine="709"/>
        <w:jc w:val="both"/>
        <w:rPr>
          <w:rFonts w:ascii="Times New Roman" w:hAnsi="Times New Roman" w:cs="Times New Roman"/>
          <w:sz w:val="24"/>
          <w:szCs w:val="24"/>
        </w:rPr>
      </w:pPr>
      <w:r>
        <w:rPr>
          <w:rFonts w:ascii="Times New Roman" w:hAnsi="Times New Roman" w:cs="Times New Roman"/>
          <w:sz w:val="24"/>
          <w:szCs w:val="24"/>
        </w:rPr>
        <w:t>Įstatym</w:t>
      </w:r>
      <w:r w:rsidR="0062372B">
        <w:rPr>
          <w:rFonts w:ascii="Times New Roman" w:hAnsi="Times New Roman" w:cs="Times New Roman"/>
          <w:sz w:val="24"/>
          <w:szCs w:val="24"/>
        </w:rPr>
        <w:t xml:space="preserve">o projektas parengtas </w:t>
      </w:r>
      <w:r w:rsidRPr="008C3127">
        <w:rPr>
          <w:rFonts w:ascii="Times New Roman" w:hAnsi="Times New Roman" w:cs="Times New Roman"/>
          <w:sz w:val="24"/>
          <w:szCs w:val="24"/>
        </w:rPr>
        <w:t xml:space="preserve">laikantis Valstybinės kalbos, Teisėkūros pagrindų įstatymo reikalavimų ir atitinka bendrinės </w:t>
      </w:r>
      <w:r w:rsidR="0062372B">
        <w:rPr>
          <w:rFonts w:ascii="Times New Roman" w:hAnsi="Times New Roman" w:cs="Times New Roman"/>
          <w:sz w:val="24"/>
          <w:szCs w:val="24"/>
        </w:rPr>
        <w:t>lietuvių kalbos normas. Įstatymo projekte</w:t>
      </w:r>
      <w:r w:rsidRPr="008C3127">
        <w:rPr>
          <w:rFonts w:ascii="Times New Roman" w:hAnsi="Times New Roman" w:cs="Times New Roman"/>
          <w:sz w:val="24"/>
          <w:szCs w:val="24"/>
        </w:rPr>
        <w:t xml:space="preserve"> nepateikiama naujų sąvokų ir sąvokas įvard</w:t>
      </w:r>
      <w:r w:rsidR="0062372B">
        <w:rPr>
          <w:rFonts w:ascii="Times New Roman" w:hAnsi="Times New Roman" w:cs="Times New Roman"/>
          <w:sz w:val="24"/>
          <w:szCs w:val="24"/>
        </w:rPr>
        <w:t>ijančių terminų, todėl projektas nevertintinas</w:t>
      </w:r>
      <w:r w:rsidRPr="008C3127">
        <w:rPr>
          <w:rFonts w:ascii="Times New Roman" w:hAnsi="Times New Roman" w:cs="Times New Roman"/>
          <w:sz w:val="24"/>
          <w:szCs w:val="24"/>
        </w:rPr>
        <w:t xml:space="preserve"> Terminų banko įstatymo ir jo įgyvendinamųjų teisės aktų nustatyta tvarka.</w:t>
      </w:r>
    </w:p>
    <w:p w:rsidR="008C3127" w:rsidRPr="000003E1" w:rsidRDefault="008C3127" w:rsidP="001F73EF">
      <w:pPr>
        <w:pStyle w:val="HTMLPreformatted"/>
        <w:ind w:firstLine="709"/>
        <w:jc w:val="both"/>
        <w:rPr>
          <w:rFonts w:ascii="Times New Roman" w:hAnsi="Times New Roman" w:cs="Times New Roman"/>
          <w:sz w:val="24"/>
          <w:szCs w:val="24"/>
        </w:rPr>
      </w:pPr>
    </w:p>
    <w:p w:rsidR="003133F1" w:rsidRDefault="005B09A5" w:rsidP="005B09A5">
      <w:pPr>
        <w:tabs>
          <w:tab w:val="left" w:pos="0"/>
          <w:tab w:val="left" w:pos="1080"/>
        </w:tabs>
        <w:ind w:firstLine="720"/>
        <w:jc w:val="both"/>
        <w:rPr>
          <w:b/>
        </w:rPr>
      </w:pPr>
      <w:r w:rsidRPr="005B09A5">
        <w:rPr>
          <w:b/>
        </w:rPr>
        <w:t>10. Įstatym</w:t>
      </w:r>
      <w:r w:rsidR="0062372B">
        <w:rPr>
          <w:b/>
        </w:rPr>
        <w:t>o</w:t>
      </w:r>
      <w:r w:rsidRPr="005B09A5">
        <w:rPr>
          <w:b/>
        </w:rPr>
        <w:t xml:space="preserve"> projekt</w:t>
      </w:r>
      <w:r w:rsidR="0062372B">
        <w:rPr>
          <w:b/>
        </w:rPr>
        <w:t>o</w:t>
      </w:r>
      <w:r w:rsidRPr="005B09A5">
        <w:rPr>
          <w:b/>
        </w:rPr>
        <w:t xml:space="preserve"> atitiktis Žmogaus teisių ir pagrindinių laisvių apsaugos konvencijos nuostatoms ir Europos Sąjungos teisei.</w:t>
      </w:r>
      <w:r>
        <w:rPr>
          <w:b/>
        </w:rPr>
        <w:t xml:space="preserve"> </w:t>
      </w:r>
    </w:p>
    <w:p w:rsidR="00D30D08" w:rsidRDefault="005262FA" w:rsidP="005B09A5">
      <w:pPr>
        <w:tabs>
          <w:tab w:val="left" w:pos="0"/>
          <w:tab w:val="left" w:pos="1080"/>
        </w:tabs>
        <w:ind w:firstLine="720"/>
        <w:jc w:val="both"/>
      </w:pPr>
      <w:r>
        <w:t>Įstatym</w:t>
      </w:r>
      <w:r w:rsidR="0062372B">
        <w:t>o</w:t>
      </w:r>
      <w:r>
        <w:t xml:space="preserve"> p</w:t>
      </w:r>
      <w:r w:rsidR="001B18B6">
        <w:t>rojekta</w:t>
      </w:r>
      <w:r w:rsidR="0062372B">
        <w:t>s</w:t>
      </w:r>
      <w:r w:rsidR="001B18B6">
        <w:t xml:space="preserve"> </w:t>
      </w:r>
      <w:r w:rsidR="00D30D08">
        <w:t xml:space="preserve">atitinka Žmogaus teisių ir pagrindinių laisvių apsaugos konvencijos nuostatas ir Europos Sąjungos dokumentus. </w:t>
      </w:r>
    </w:p>
    <w:p w:rsidR="00D30D08" w:rsidRPr="000003E1" w:rsidRDefault="00D30D08" w:rsidP="001F73EF">
      <w:pPr>
        <w:pStyle w:val="HTMLPreformatted"/>
        <w:ind w:firstLine="720"/>
        <w:jc w:val="both"/>
        <w:rPr>
          <w:rFonts w:ascii="Times New Roman" w:hAnsi="Times New Roman" w:cs="Times New Roman"/>
          <w:sz w:val="24"/>
          <w:szCs w:val="24"/>
        </w:rPr>
      </w:pPr>
    </w:p>
    <w:p w:rsidR="00D30D08" w:rsidRDefault="00280671" w:rsidP="001F73EF">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11.</w:t>
      </w:r>
      <w:r w:rsidR="00F772A7">
        <w:rPr>
          <w:rFonts w:ascii="Times New Roman" w:hAnsi="Times New Roman" w:cs="Times New Roman"/>
          <w:b/>
          <w:sz w:val="24"/>
          <w:szCs w:val="24"/>
        </w:rPr>
        <w:t xml:space="preserve"> Įstatym</w:t>
      </w:r>
      <w:r w:rsidR="0062372B">
        <w:rPr>
          <w:rFonts w:ascii="Times New Roman" w:hAnsi="Times New Roman" w:cs="Times New Roman"/>
          <w:b/>
          <w:sz w:val="24"/>
          <w:szCs w:val="24"/>
        </w:rPr>
        <w:t>o</w:t>
      </w:r>
      <w:r w:rsidR="00D30D08" w:rsidRPr="000003E1">
        <w:rPr>
          <w:rFonts w:ascii="Times New Roman" w:hAnsi="Times New Roman" w:cs="Times New Roman"/>
          <w:b/>
          <w:sz w:val="24"/>
          <w:szCs w:val="24"/>
        </w:rPr>
        <w:t xml:space="preserve"> įgyvendin</w:t>
      </w:r>
      <w:r w:rsidR="00E502DA">
        <w:rPr>
          <w:rFonts w:ascii="Times New Roman" w:hAnsi="Times New Roman" w:cs="Times New Roman"/>
          <w:b/>
          <w:sz w:val="24"/>
          <w:szCs w:val="24"/>
        </w:rPr>
        <w:t>imui</w:t>
      </w:r>
      <w:r w:rsidR="00D30D08" w:rsidRPr="000003E1">
        <w:rPr>
          <w:rFonts w:ascii="Times New Roman" w:hAnsi="Times New Roman" w:cs="Times New Roman"/>
          <w:b/>
          <w:sz w:val="24"/>
          <w:szCs w:val="24"/>
        </w:rPr>
        <w:t xml:space="preserve"> reikalingi </w:t>
      </w:r>
      <w:r w:rsidR="00D30D08">
        <w:rPr>
          <w:rFonts w:ascii="Times New Roman" w:hAnsi="Times New Roman" w:cs="Times New Roman"/>
          <w:b/>
          <w:sz w:val="24"/>
          <w:szCs w:val="24"/>
        </w:rPr>
        <w:t xml:space="preserve">įgyvendinamieji teisės </w:t>
      </w:r>
      <w:r w:rsidR="00D30D08" w:rsidRPr="000003E1">
        <w:rPr>
          <w:rFonts w:ascii="Times New Roman" w:hAnsi="Times New Roman" w:cs="Times New Roman"/>
          <w:b/>
          <w:sz w:val="24"/>
          <w:szCs w:val="24"/>
        </w:rPr>
        <w:t xml:space="preserve">aktai, </w:t>
      </w:r>
      <w:r w:rsidR="00E502DA" w:rsidRPr="00E502DA">
        <w:rPr>
          <w:rFonts w:ascii="Times New Roman" w:hAnsi="Times New Roman" w:cs="Times New Roman"/>
          <w:b/>
          <w:sz w:val="24"/>
          <w:szCs w:val="24"/>
        </w:rPr>
        <w:t xml:space="preserve">juos priimti turintys subjektai. </w:t>
      </w:r>
    </w:p>
    <w:p w:rsidR="00D30D08" w:rsidRPr="007A5D21" w:rsidRDefault="0062372B" w:rsidP="008715AC">
      <w:pPr>
        <w:pStyle w:val="HTMLPreformatted"/>
        <w:ind w:firstLine="720"/>
        <w:jc w:val="both"/>
        <w:rPr>
          <w:rFonts w:ascii="Times New Roman" w:hAnsi="Times New Roman" w:cs="Times New Roman"/>
          <w:sz w:val="24"/>
          <w:szCs w:val="24"/>
        </w:rPr>
      </w:pPr>
      <w:r>
        <w:rPr>
          <w:rFonts w:ascii="Times New Roman" w:hAnsi="Times New Roman" w:cs="Times New Roman"/>
          <w:sz w:val="24"/>
          <w:szCs w:val="24"/>
        </w:rPr>
        <w:t>Įstatymo</w:t>
      </w:r>
      <w:r w:rsidR="0050446C">
        <w:rPr>
          <w:rFonts w:ascii="Times New Roman" w:hAnsi="Times New Roman" w:cs="Times New Roman"/>
          <w:sz w:val="24"/>
          <w:szCs w:val="24"/>
        </w:rPr>
        <w:t xml:space="preserve"> </w:t>
      </w:r>
      <w:r w:rsidR="005262FA">
        <w:rPr>
          <w:rFonts w:ascii="Times New Roman" w:hAnsi="Times New Roman" w:cs="Times New Roman"/>
          <w:sz w:val="24"/>
          <w:szCs w:val="24"/>
        </w:rPr>
        <w:t>p</w:t>
      </w:r>
      <w:r>
        <w:rPr>
          <w:rFonts w:ascii="Times New Roman" w:hAnsi="Times New Roman" w:cs="Times New Roman"/>
          <w:sz w:val="24"/>
          <w:szCs w:val="24"/>
        </w:rPr>
        <w:t>rojekte</w:t>
      </w:r>
      <w:r w:rsidR="001B18B6">
        <w:rPr>
          <w:rFonts w:ascii="Times New Roman" w:hAnsi="Times New Roman" w:cs="Times New Roman"/>
          <w:sz w:val="24"/>
          <w:szCs w:val="24"/>
        </w:rPr>
        <w:t xml:space="preserve"> </w:t>
      </w:r>
      <w:r w:rsidR="008E422E">
        <w:rPr>
          <w:rFonts w:ascii="Times New Roman" w:hAnsi="Times New Roman" w:cs="Times New Roman"/>
          <w:sz w:val="24"/>
          <w:szCs w:val="24"/>
        </w:rPr>
        <w:t xml:space="preserve">siūlomiems pakeitimams įgyvendinti </w:t>
      </w:r>
      <w:r w:rsidR="0050446C">
        <w:rPr>
          <w:rFonts w:ascii="Times New Roman" w:hAnsi="Times New Roman" w:cs="Times New Roman"/>
          <w:sz w:val="24"/>
          <w:szCs w:val="24"/>
        </w:rPr>
        <w:t xml:space="preserve">įgyvendinamųjų teisės aktų priimti nereikės. </w:t>
      </w:r>
    </w:p>
    <w:p w:rsidR="00D30D08" w:rsidRDefault="00D30D08" w:rsidP="001F73EF">
      <w:pPr>
        <w:tabs>
          <w:tab w:val="left" w:pos="960"/>
          <w:tab w:val="left" w:pos="1080"/>
        </w:tabs>
        <w:jc w:val="both"/>
      </w:pPr>
      <w:r w:rsidRPr="007A5D21">
        <w:tab/>
      </w:r>
    </w:p>
    <w:p w:rsidR="00D30D08" w:rsidRDefault="00D30D08" w:rsidP="005E40E0">
      <w:pPr>
        <w:tabs>
          <w:tab w:val="left" w:pos="709"/>
          <w:tab w:val="left" w:pos="1080"/>
        </w:tabs>
        <w:jc w:val="both"/>
        <w:rPr>
          <w:b/>
        </w:rPr>
      </w:pPr>
      <w:r>
        <w:tab/>
      </w:r>
      <w:r>
        <w:rPr>
          <w:b/>
        </w:rPr>
        <w:t xml:space="preserve"> 12. </w:t>
      </w:r>
      <w:r w:rsidR="00002061" w:rsidRPr="00002061">
        <w:rPr>
          <w:b/>
        </w:rPr>
        <w:t>Kiek valstybės, savivaldybių biudžetų ir kitų valstybės įsteigtų fondų lėšų prireiks įstatym</w:t>
      </w:r>
      <w:r w:rsidR="0062372B">
        <w:rPr>
          <w:b/>
        </w:rPr>
        <w:t>ui</w:t>
      </w:r>
      <w:r w:rsidR="00002061" w:rsidRPr="00002061">
        <w:rPr>
          <w:b/>
        </w:rPr>
        <w:t xml:space="preserve"> įgyvendinti, ar bus galima sutaupyti.</w:t>
      </w:r>
    </w:p>
    <w:p w:rsidR="008C3127" w:rsidRPr="008C3127" w:rsidRDefault="0062372B" w:rsidP="008C3127">
      <w:pPr>
        <w:ind w:firstLine="709"/>
      </w:pPr>
      <w:r>
        <w:t>Įstatymo</w:t>
      </w:r>
      <w:r w:rsidR="000358C2">
        <w:t xml:space="preserve"> projekt</w:t>
      </w:r>
      <w:r>
        <w:t>o</w:t>
      </w:r>
      <w:r w:rsidR="008C3127" w:rsidRPr="008C3127">
        <w:t xml:space="preserve"> nuostatų įgyvendinimas papildomų valstybės biudžeto lėšų nepareikalaus.</w:t>
      </w:r>
    </w:p>
    <w:p w:rsidR="00D30D08" w:rsidRPr="000003E1" w:rsidRDefault="00D30D08" w:rsidP="008C3127">
      <w:pPr>
        <w:tabs>
          <w:tab w:val="left" w:pos="960"/>
          <w:tab w:val="left" w:pos="1080"/>
        </w:tabs>
        <w:ind w:firstLine="709"/>
        <w:jc w:val="both"/>
      </w:pPr>
    </w:p>
    <w:p w:rsidR="00D30D08" w:rsidRPr="000003E1" w:rsidRDefault="00F772A7" w:rsidP="001F73EF">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13. Įstatym</w:t>
      </w:r>
      <w:r w:rsidR="0062372B">
        <w:rPr>
          <w:rFonts w:ascii="Times New Roman" w:hAnsi="Times New Roman" w:cs="Times New Roman"/>
          <w:b/>
          <w:sz w:val="24"/>
          <w:szCs w:val="24"/>
        </w:rPr>
        <w:t>o</w:t>
      </w:r>
      <w:r>
        <w:rPr>
          <w:rFonts w:ascii="Times New Roman" w:hAnsi="Times New Roman" w:cs="Times New Roman"/>
          <w:b/>
          <w:sz w:val="24"/>
          <w:szCs w:val="24"/>
        </w:rPr>
        <w:t xml:space="preserve"> projekt</w:t>
      </w:r>
      <w:r w:rsidR="0062372B">
        <w:rPr>
          <w:rFonts w:ascii="Times New Roman" w:hAnsi="Times New Roman" w:cs="Times New Roman"/>
          <w:b/>
          <w:sz w:val="24"/>
          <w:szCs w:val="24"/>
        </w:rPr>
        <w:t>o</w:t>
      </w:r>
      <w:r w:rsidR="00D30D08" w:rsidRPr="000003E1">
        <w:rPr>
          <w:rFonts w:ascii="Times New Roman" w:hAnsi="Times New Roman" w:cs="Times New Roman"/>
          <w:b/>
          <w:sz w:val="24"/>
          <w:szCs w:val="24"/>
        </w:rPr>
        <w:t xml:space="preserve"> rengimo metu gauti specialistų vertinimai ir išvados</w:t>
      </w:r>
      <w:r w:rsidR="00C2504C">
        <w:rPr>
          <w:rFonts w:ascii="Times New Roman" w:hAnsi="Times New Roman" w:cs="Times New Roman"/>
          <w:b/>
          <w:sz w:val="24"/>
          <w:szCs w:val="24"/>
        </w:rPr>
        <w:t>.</w:t>
      </w:r>
    </w:p>
    <w:p w:rsidR="00D30D08" w:rsidRDefault="00112726"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112726">
        <w:t>Įstatym</w:t>
      </w:r>
      <w:r w:rsidR="0062372B">
        <w:t>o</w:t>
      </w:r>
      <w:r w:rsidRPr="00112726">
        <w:t xml:space="preserve"> projekt</w:t>
      </w:r>
      <w:r w:rsidR="0062372B">
        <w:t>o</w:t>
      </w:r>
      <w:r w:rsidRPr="00112726">
        <w:t xml:space="preserve"> rengimo metu specialistų vertinimų ir išvadų </w:t>
      </w:r>
      <w:r>
        <w:t xml:space="preserve">papildomai </w:t>
      </w:r>
      <w:r w:rsidRPr="00112726">
        <w:t>negauta.</w:t>
      </w:r>
      <w:r w:rsidR="008E422E">
        <w:t xml:space="preserve"> </w:t>
      </w:r>
      <w:r w:rsidR="00D30D08">
        <w:t xml:space="preserve"> </w:t>
      </w:r>
    </w:p>
    <w:p w:rsidR="006F5831" w:rsidRPr="000003E1" w:rsidRDefault="006F5831" w:rsidP="001F73E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D30D08" w:rsidRDefault="00D30D08" w:rsidP="001F73EF">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 xml:space="preserve">14. </w:t>
      </w:r>
      <w:r w:rsidRPr="00520024">
        <w:rPr>
          <w:rFonts w:ascii="Times New Roman" w:hAnsi="Times New Roman" w:cs="Times New Roman"/>
          <w:b/>
          <w:sz w:val="24"/>
          <w:szCs w:val="24"/>
        </w:rPr>
        <w:t>Reikšm</w:t>
      </w:r>
      <w:r w:rsidR="00F772A7">
        <w:rPr>
          <w:rFonts w:ascii="Times New Roman" w:hAnsi="Times New Roman" w:cs="Times New Roman"/>
          <w:b/>
          <w:sz w:val="24"/>
          <w:szCs w:val="24"/>
        </w:rPr>
        <w:t>iniai žodžiai, kurių reikia ši</w:t>
      </w:r>
      <w:r w:rsidR="008931AA">
        <w:rPr>
          <w:rFonts w:ascii="Times New Roman" w:hAnsi="Times New Roman" w:cs="Times New Roman"/>
          <w:b/>
          <w:sz w:val="24"/>
          <w:szCs w:val="24"/>
        </w:rPr>
        <w:t>a</w:t>
      </w:r>
      <w:r w:rsidR="00F772A7">
        <w:rPr>
          <w:rFonts w:ascii="Times New Roman" w:hAnsi="Times New Roman" w:cs="Times New Roman"/>
          <w:b/>
          <w:sz w:val="24"/>
          <w:szCs w:val="24"/>
        </w:rPr>
        <w:t>m projekt</w:t>
      </w:r>
      <w:r w:rsidR="008931AA">
        <w:rPr>
          <w:rFonts w:ascii="Times New Roman" w:hAnsi="Times New Roman" w:cs="Times New Roman"/>
          <w:b/>
          <w:sz w:val="24"/>
          <w:szCs w:val="24"/>
        </w:rPr>
        <w:t>ui</w:t>
      </w:r>
      <w:r w:rsidRPr="00520024">
        <w:rPr>
          <w:rFonts w:ascii="Times New Roman" w:hAnsi="Times New Roman" w:cs="Times New Roman"/>
          <w:b/>
          <w:sz w:val="24"/>
          <w:szCs w:val="24"/>
        </w:rPr>
        <w:t xml:space="preserve"> įtraukti į kompiuterinę paieškos sistemą, įskaitant Europos žodyno „Eurovoc“ terminus, temas bei sritis</w:t>
      </w:r>
      <w:r w:rsidR="00C2504C">
        <w:rPr>
          <w:rFonts w:ascii="Times New Roman" w:hAnsi="Times New Roman" w:cs="Times New Roman"/>
          <w:b/>
          <w:sz w:val="24"/>
          <w:szCs w:val="24"/>
        </w:rPr>
        <w:t>.</w:t>
      </w:r>
    </w:p>
    <w:p w:rsidR="001A774A" w:rsidRDefault="00D30D08" w:rsidP="001F73EF">
      <w:pPr>
        <w:pStyle w:val="HTMLPreformatted"/>
        <w:ind w:firstLine="720"/>
        <w:jc w:val="both"/>
        <w:rPr>
          <w:rFonts w:ascii="Times New Roman" w:hAnsi="Times New Roman" w:cs="Times New Roman"/>
          <w:sz w:val="24"/>
          <w:szCs w:val="24"/>
        </w:rPr>
      </w:pPr>
      <w:r>
        <w:rPr>
          <w:rFonts w:ascii="Times New Roman" w:hAnsi="Times New Roman" w:cs="Times New Roman"/>
          <w:sz w:val="24"/>
          <w:szCs w:val="24"/>
        </w:rPr>
        <w:t>Reikšmini</w:t>
      </w:r>
      <w:r w:rsidR="00765B00">
        <w:rPr>
          <w:rFonts w:ascii="Times New Roman" w:hAnsi="Times New Roman" w:cs="Times New Roman"/>
          <w:sz w:val="24"/>
          <w:szCs w:val="24"/>
        </w:rPr>
        <w:t>s</w:t>
      </w:r>
      <w:r>
        <w:rPr>
          <w:rFonts w:ascii="Times New Roman" w:hAnsi="Times New Roman" w:cs="Times New Roman"/>
          <w:sz w:val="24"/>
          <w:szCs w:val="24"/>
        </w:rPr>
        <w:t xml:space="preserve"> </w:t>
      </w:r>
      <w:r w:rsidR="007C1226">
        <w:rPr>
          <w:rFonts w:ascii="Times New Roman" w:hAnsi="Times New Roman" w:cs="Times New Roman"/>
          <w:sz w:val="24"/>
          <w:szCs w:val="24"/>
        </w:rPr>
        <w:t>Įstatym</w:t>
      </w:r>
      <w:r w:rsidR="0062372B">
        <w:rPr>
          <w:rFonts w:ascii="Times New Roman" w:hAnsi="Times New Roman" w:cs="Times New Roman"/>
          <w:sz w:val="24"/>
          <w:szCs w:val="24"/>
        </w:rPr>
        <w:t>o</w:t>
      </w:r>
      <w:r w:rsidR="007C1226">
        <w:rPr>
          <w:rFonts w:ascii="Times New Roman" w:hAnsi="Times New Roman" w:cs="Times New Roman"/>
          <w:sz w:val="24"/>
          <w:szCs w:val="24"/>
        </w:rPr>
        <w:t xml:space="preserve"> p</w:t>
      </w:r>
      <w:r w:rsidR="0025060D">
        <w:rPr>
          <w:rFonts w:ascii="Times New Roman" w:hAnsi="Times New Roman" w:cs="Times New Roman"/>
          <w:sz w:val="24"/>
          <w:szCs w:val="24"/>
        </w:rPr>
        <w:t>rojekt</w:t>
      </w:r>
      <w:r w:rsidR="0062372B">
        <w:rPr>
          <w:rFonts w:ascii="Times New Roman" w:hAnsi="Times New Roman" w:cs="Times New Roman"/>
          <w:sz w:val="24"/>
          <w:szCs w:val="24"/>
        </w:rPr>
        <w:t>o</w:t>
      </w:r>
      <w:r w:rsidR="0025060D">
        <w:rPr>
          <w:rFonts w:ascii="Times New Roman" w:hAnsi="Times New Roman" w:cs="Times New Roman"/>
          <w:sz w:val="24"/>
          <w:szCs w:val="24"/>
        </w:rPr>
        <w:t xml:space="preserve"> žod</w:t>
      </w:r>
      <w:r w:rsidR="00765B00">
        <w:rPr>
          <w:rFonts w:ascii="Times New Roman" w:hAnsi="Times New Roman" w:cs="Times New Roman"/>
          <w:sz w:val="24"/>
          <w:szCs w:val="24"/>
        </w:rPr>
        <w:t>is</w:t>
      </w:r>
      <w:r w:rsidR="0025060D">
        <w:rPr>
          <w:rFonts w:ascii="Times New Roman" w:hAnsi="Times New Roman" w:cs="Times New Roman"/>
          <w:sz w:val="24"/>
          <w:szCs w:val="24"/>
        </w:rPr>
        <w:t>, kuri</w:t>
      </w:r>
      <w:r w:rsidR="00765B00">
        <w:rPr>
          <w:rFonts w:ascii="Times New Roman" w:hAnsi="Times New Roman" w:cs="Times New Roman"/>
          <w:sz w:val="24"/>
          <w:szCs w:val="24"/>
        </w:rPr>
        <w:t>o</w:t>
      </w:r>
      <w:r w:rsidR="0025060D">
        <w:rPr>
          <w:rFonts w:ascii="Times New Roman" w:hAnsi="Times New Roman" w:cs="Times New Roman"/>
          <w:sz w:val="24"/>
          <w:szCs w:val="24"/>
        </w:rPr>
        <w:t xml:space="preserve"> reikia j</w:t>
      </w:r>
      <w:r w:rsidR="008931AA">
        <w:rPr>
          <w:rFonts w:ascii="Times New Roman" w:hAnsi="Times New Roman" w:cs="Times New Roman"/>
          <w:sz w:val="24"/>
          <w:szCs w:val="24"/>
        </w:rPr>
        <w:t>am</w:t>
      </w:r>
      <w:r w:rsidRPr="000003E1">
        <w:rPr>
          <w:rFonts w:ascii="Times New Roman" w:hAnsi="Times New Roman" w:cs="Times New Roman"/>
          <w:sz w:val="24"/>
          <w:szCs w:val="24"/>
        </w:rPr>
        <w:t xml:space="preserve"> įtraukti į komp</w:t>
      </w:r>
      <w:r w:rsidR="00497017">
        <w:rPr>
          <w:rFonts w:ascii="Times New Roman" w:hAnsi="Times New Roman" w:cs="Times New Roman"/>
          <w:sz w:val="24"/>
          <w:szCs w:val="24"/>
        </w:rPr>
        <w:t>iuterinę paieškos sistemą, yra</w:t>
      </w:r>
      <w:r w:rsidR="000358C2">
        <w:rPr>
          <w:rFonts w:ascii="Times New Roman" w:hAnsi="Times New Roman" w:cs="Times New Roman"/>
          <w:sz w:val="24"/>
          <w:szCs w:val="24"/>
        </w:rPr>
        <w:t xml:space="preserve"> </w:t>
      </w:r>
      <w:r w:rsidR="0062372B">
        <w:rPr>
          <w:rFonts w:ascii="Times New Roman" w:hAnsi="Times New Roman" w:cs="Times New Roman"/>
          <w:sz w:val="24"/>
          <w:szCs w:val="24"/>
        </w:rPr>
        <w:t>„prejudicinis sprendimas“.</w:t>
      </w:r>
    </w:p>
    <w:p w:rsidR="0062372B" w:rsidRDefault="0062372B" w:rsidP="001F73EF">
      <w:pPr>
        <w:pStyle w:val="HTMLPreformatted"/>
        <w:ind w:firstLine="720"/>
        <w:jc w:val="both"/>
        <w:rPr>
          <w:rFonts w:ascii="Times New Roman" w:hAnsi="Times New Roman" w:cs="Times New Roman"/>
          <w:b/>
          <w:sz w:val="24"/>
          <w:szCs w:val="24"/>
        </w:rPr>
      </w:pPr>
    </w:p>
    <w:p w:rsidR="00D30D08" w:rsidRPr="000003E1" w:rsidRDefault="00C03D41" w:rsidP="001F73EF">
      <w:pPr>
        <w:pStyle w:val="HTMLPreformatted"/>
        <w:ind w:firstLine="720"/>
        <w:jc w:val="both"/>
        <w:rPr>
          <w:rFonts w:ascii="Times New Roman" w:hAnsi="Times New Roman" w:cs="Times New Roman"/>
          <w:b/>
          <w:sz w:val="24"/>
          <w:szCs w:val="24"/>
        </w:rPr>
      </w:pPr>
      <w:r>
        <w:rPr>
          <w:rFonts w:ascii="Times New Roman" w:hAnsi="Times New Roman" w:cs="Times New Roman"/>
          <w:b/>
          <w:sz w:val="24"/>
          <w:szCs w:val="24"/>
        </w:rPr>
        <w:t>15</w:t>
      </w:r>
      <w:r w:rsidR="00D30D08" w:rsidRPr="000003E1">
        <w:rPr>
          <w:rFonts w:ascii="Times New Roman" w:hAnsi="Times New Roman" w:cs="Times New Roman"/>
          <w:b/>
          <w:sz w:val="24"/>
          <w:szCs w:val="24"/>
        </w:rPr>
        <w:t>. Kiti</w:t>
      </w:r>
      <w:r w:rsidR="00D30D08">
        <w:rPr>
          <w:rFonts w:ascii="Times New Roman" w:hAnsi="Times New Roman" w:cs="Times New Roman"/>
          <w:b/>
          <w:sz w:val="24"/>
          <w:szCs w:val="24"/>
        </w:rPr>
        <w:t>,</w:t>
      </w:r>
      <w:r w:rsidR="00D30D08" w:rsidRPr="000003E1">
        <w:rPr>
          <w:rFonts w:ascii="Times New Roman" w:hAnsi="Times New Roman" w:cs="Times New Roman"/>
          <w:b/>
          <w:sz w:val="24"/>
          <w:szCs w:val="24"/>
        </w:rPr>
        <w:t xml:space="preserve"> iniciatorių nuomone, reikalingi pagrindimai ir paaiškinimai</w:t>
      </w:r>
      <w:r w:rsidR="00C2504C">
        <w:rPr>
          <w:rFonts w:ascii="Times New Roman" w:hAnsi="Times New Roman" w:cs="Times New Roman"/>
          <w:b/>
          <w:sz w:val="24"/>
          <w:szCs w:val="24"/>
        </w:rPr>
        <w:t>.</w:t>
      </w:r>
    </w:p>
    <w:p w:rsidR="00D30D08" w:rsidRPr="000003E1" w:rsidRDefault="00D30D08" w:rsidP="001F73EF">
      <w:pPr>
        <w:pStyle w:val="HTMLPreformatted"/>
        <w:ind w:firstLine="720"/>
        <w:jc w:val="both"/>
        <w:rPr>
          <w:rFonts w:ascii="Times New Roman" w:hAnsi="Times New Roman" w:cs="Times New Roman"/>
          <w:sz w:val="24"/>
          <w:szCs w:val="24"/>
        </w:rPr>
      </w:pPr>
      <w:r w:rsidRPr="000003E1">
        <w:rPr>
          <w:rFonts w:ascii="Times New Roman" w:hAnsi="Times New Roman" w:cs="Times New Roman"/>
          <w:sz w:val="24"/>
          <w:szCs w:val="24"/>
        </w:rPr>
        <w:t>Nėra.</w:t>
      </w:r>
    </w:p>
    <w:sectPr w:rsidR="00D30D08" w:rsidRPr="000003E1" w:rsidSect="0039600E">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BAE" w:rsidRDefault="00BC6BAE">
      <w:r>
        <w:separator/>
      </w:r>
    </w:p>
  </w:endnote>
  <w:endnote w:type="continuationSeparator" w:id="0">
    <w:p w:rsidR="00BC6BAE" w:rsidRDefault="00BC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BAE" w:rsidRDefault="00BC6BAE">
      <w:r>
        <w:separator/>
      </w:r>
    </w:p>
  </w:footnote>
  <w:footnote w:type="continuationSeparator" w:id="0">
    <w:p w:rsidR="00BC6BAE" w:rsidRDefault="00BC6B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25057"/>
      <w:docPartObj>
        <w:docPartGallery w:val="Page Numbers (Top of Page)"/>
        <w:docPartUnique/>
      </w:docPartObj>
    </w:sdtPr>
    <w:sdtEndPr/>
    <w:sdtContent>
      <w:p w:rsidR="000420C8" w:rsidRDefault="00386277">
        <w:pPr>
          <w:pStyle w:val="Header"/>
          <w:jc w:val="center"/>
        </w:pPr>
        <w:r>
          <w:fldChar w:fldCharType="begin"/>
        </w:r>
        <w:r w:rsidR="00D30D08">
          <w:instrText xml:space="preserve"> PAGE   \* MERGEFORMAT </w:instrText>
        </w:r>
        <w:r>
          <w:fldChar w:fldCharType="separate"/>
        </w:r>
        <w:r w:rsidR="00914538">
          <w:rPr>
            <w:noProof/>
          </w:rPr>
          <w:t>3</w:t>
        </w:r>
        <w:r>
          <w:rPr>
            <w:noProof/>
          </w:rPr>
          <w:fldChar w:fldCharType="end"/>
        </w:r>
      </w:p>
    </w:sdtContent>
  </w:sdt>
  <w:p w:rsidR="000420C8" w:rsidRDefault="00BC6B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796"/>
    <w:multiLevelType w:val="hybridMultilevel"/>
    <w:tmpl w:val="706C4422"/>
    <w:lvl w:ilvl="0" w:tplc="4648CD0A">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4897"/>
        </w:tabs>
        <w:ind w:left="4897"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2" w15:restartNumberingAfterBreak="0">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DDB4064"/>
    <w:multiLevelType w:val="multilevel"/>
    <w:tmpl w:val="C276CD1A"/>
    <w:lvl w:ilvl="0">
      <w:start w:val="1"/>
      <w:numFmt w:val="decimal"/>
      <w:lvlText w:val="%1."/>
      <w:lvlJc w:val="left"/>
      <w:pPr>
        <w:ind w:left="3905" w:hanging="360"/>
      </w:pPr>
      <w:rPr>
        <w:rFonts w:cs="Times New Roman" w:hint="default"/>
        <w:i w:val="0"/>
      </w:rPr>
    </w:lvl>
    <w:lvl w:ilvl="1">
      <w:start w:val="1"/>
      <w:numFmt w:val="decimal"/>
      <w:isLgl/>
      <w:lvlText w:val="%1.%2."/>
      <w:lvlJc w:val="left"/>
      <w:pPr>
        <w:ind w:left="1256" w:hanging="405"/>
      </w:pPr>
      <w:rPr>
        <w:rFonts w:cs="Times New Roman" w:hint="default"/>
        <w:color w:val="auto"/>
        <w:sz w:val="24"/>
      </w:rPr>
    </w:lvl>
    <w:lvl w:ilvl="2">
      <w:start w:val="1"/>
      <w:numFmt w:val="decimal"/>
      <w:isLgl/>
      <w:lvlText w:val="%1.%2.%3."/>
      <w:lvlJc w:val="left"/>
      <w:pPr>
        <w:ind w:left="1080" w:hanging="720"/>
      </w:pPr>
      <w:rPr>
        <w:rFonts w:cs="Times New Roman" w:hint="default"/>
        <w:color w:val="auto"/>
        <w:sz w:val="24"/>
      </w:rPr>
    </w:lvl>
    <w:lvl w:ilvl="3">
      <w:start w:val="1"/>
      <w:numFmt w:val="decimal"/>
      <w:isLgl/>
      <w:lvlText w:val="%1.%2.%3.%4."/>
      <w:lvlJc w:val="left"/>
      <w:pPr>
        <w:ind w:left="1080" w:hanging="720"/>
      </w:pPr>
      <w:rPr>
        <w:rFonts w:cs="Times New Roman" w:hint="default"/>
        <w:color w:val="auto"/>
        <w:sz w:val="24"/>
      </w:rPr>
    </w:lvl>
    <w:lvl w:ilvl="4">
      <w:start w:val="1"/>
      <w:numFmt w:val="decimal"/>
      <w:isLgl/>
      <w:lvlText w:val="%1.%2.%3.%4.%5."/>
      <w:lvlJc w:val="left"/>
      <w:pPr>
        <w:ind w:left="1440" w:hanging="1080"/>
      </w:pPr>
      <w:rPr>
        <w:rFonts w:cs="Times New Roman" w:hint="default"/>
        <w:color w:val="auto"/>
        <w:sz w:val="24"/>
      </w:rPr>
    </w:lvl>
    <w:lvl w:ilvl="5">
      <w:start w:val="1"/>
      <w:numFmt w:val="decimal"/>
      <w:isLgl/>
      <w:lvlText w:val="%1.%2.%3.%4.%5.%6."/>
      <w:lvlJc w:val="left"/>
      <w:pPr>
        <w:ind w:left="1440" w:hanging="1080"/>
      </w:pPr>
      <w:rPr>
        <w:rFonts w:cs="Times New Roman" w:hint="default"/>
        <w:color w:val="auto"/>
        <w:sz w:val="24"/>
      </w:rPr>
    </w:lvl>
    <w:lvl w:ilvl="6">
      <w:start w:val="1"/>
      <w:numFmt w:val="decimal"/>
      <w:isLgl/>
      <w:lvlText w:val="%1.%2.%3.%4.%5.%6.%7."/>
      <w:lvlJc w:val="left"/>
      <w:pPr>
        <w:ind w:left="1800" w:hanging="1440"/>
      </w:pPr>
      <w:rPr>
        <w:rFonts w:cs="Times New Roman" w:hint="default"/>
        <w:color w:val="auto"/>
        <w:sz w:val="24"/>
      </w:rPr>
    </w:lvl>
    <w:lvl w:ilvl="7">
      <w:start w:val="1"/>
      <w:numFmt w:val="decimal"/>
      <w:isLgl/>
      <w:lvlText w:val="%1.%2.%3.%4.%5.%6.%7.%8."/>
      <w:lvlJc w:val="left"/>
      <w:pPr>
        <w:ind w:left="1800" w:hanging="1440"/>
      </w:pPr>
      <w:rPr>
        <w:rFonts w:cs="Times New Roman" w:hint="default"/>
        <w:color w:val="auto"/>
        <w:sz w:val="24"/>
      </w:rPr>
    </w:lvl>
    <w:lvl w:ilvl="8">
      <w:start w:val="1"/>
      <w:numFmt w:val="decimal"/>
      <w:isLgl/>
      <w:lvlText w:val="%1.%2.%3.%4.%5.%6.%7.%8.%9."/>
      <w:lvlJc w:val="left"/>
      <w:pPr>
        <w:ind w:left="2160" w:hanging="1800"/>
      </w:pPr>
      <w:rPr>
        <w:rFonts w:cs="Times New Roman" w:hint="default"/>
        <w:color w:val="auto"/>
        <w:sz w:val="24"/>
      </w:rPr>
    </w:lvl>
  </w:abstractNum>
  <w:abstractNum w:abstractNumId="4" w15:restartNumberingAfterBreak="0">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8B26A9A"/>
    <w:multiLevelType w:val="hybridMultilevel"/>
    <w:tmpl w:val="8432EF42"/>
    <w:lvl w:ilvl="0" w:tplc="F62C8F2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8787F79"/>
    <w:multiLevelType w:val="hybridMultilevel"/>
    <w:tmpl w:val="5C628256"/>
    <w:lvl w:ilvl="0" w:tplc="0E72B078">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95"/>
    <w:rsid w:val="00002061"/>
    <w:rsid w:val="000026F0"/>
    <w:rsid w:val="000101F0"/>
    <w:rsid w:val="00013855"/>
    <w:rsid w:val="00014AB7"/>
    <w:rsid w:val="000358C2"/>
    <w:rsid w:val="0005426D"/>
    <w:rsid w:val="00054C7E"/>
    <w:rsid w:val="00055D08"/>
    <w:rsid w:val="00056E53"/>
    <w:rsid w:val="000575D0"/>
    <w:rsid w:val="00060EFF"/>
    <w:rsid w:val="00062B99"/>
    <w:rsid w:val="000651B3"/>
    <w:rsid w:val="00065DE3"/>
    <w:rsid w:val="00067D8B"/>
    <w:rsid w:val="00070D46"/>
    <w:rsid w:val="00073C11"/>
    <w:rsid w:val="0007693E"/>
    <w:rsid w:val="000817F1"/>
    <w:rsid w:val="00090D63"/>
    <w:rsid w:val="000910D7"/>
    <w:rsid w:val="00091F8C"/>
    <w:rsid w:val="00092097"/>
    <w:rsid w:val="000930D6"/>
    <w:rsid w:val="0009531E"/>
    <w:rsid w:val="000A051C"/>
    <w:rsid w:val="000A2762"/>
    <w:rsid w:val="000B1153"/>
    <w:rsid w:val="000B28CA"/>
    <w:rsid w:val="000C05A4"/>
    <w:rsid w:val="000C150D"/>
    <w:rsid w:val="000C28D8"/>
    <w:rsid w:val="000D287E"/>
    <w:rsid w:val="000D3E54"/>
    <w:rsid w:val="000E067B"/>
    <w:rsid w:val="000E17AC"/>
    <w:rsid w:val="000E3A56"/>
    <w:rsid w:val="000E4AD8"/>
    <w:rsid w:val="000E61A9"/>
    <w:rsid w:val="000F2452"/>
    <w:rsid w:val="000F4068"/>
    <w:rsid w:val="000F4631"/>
    <w:rsid w:val="001049DA"/>
    <w:rsid w:val="00112726"/>
    <w:rsid w:val="00115775"/>
    <w:rsid w:val="00117830"/>
    <w:rsid w:val="00122450"/>
    <w:rsid w:val="00132A12"/>
    <w:rsid w:val="00134012"/>
    <w:rsid w:val="00135B66"/>
    <w:rsid w:val="00136C19"/>
    <w:rsid w:val="00137588"/>
    <w:rsid w:val="00141F41"/>
    <w:rsid w:val="00143D3F"/>
    <w:rsid w:val="0015277E"/>
    <w:rsid w:val="00156AF2"/>
    <w:rsid w:val="00156B89"/>
    <w:rsid w:val="00162142"/>
    <w:rsid w:val="00162494"/>
    <w:rsid w:val="0016490B"/>
    <w:rsid w:val="00170D3C"/>
    <w:rsid w:val="001740B5"/>
    <w:rsid w:val="00174B13"/>
    <w:rsid w:val="001822B1"/>
    <w:rsid w:val="00183F90"/>
    <w:rsid w:val="0019412A"/>
    <w:rsid w:val="001A0DBF"/>
    <w:rsid w:val="001A3AE9"/>
    <w:rsid w:val="001A4558"/>
    <w:rsid w:val="001A6D61"/>
    <w:rsid w:val="001A774A"/>
    <w:rsid w:val="001B18B6"/>
    <w:rsid w:val="001B413E"/>
    <w:rsid w:val="001B639B"/>
    <w:rsid w:val="001B74DD"/>
    <w:rsid w:val="001B790F"/>
    <w:rsid w:val="001B7999"/>
    <w:rsid w:val="001C1258"/>
    <w:rsid w:val="001C4A6E"/>
    <w:rsid w:val="001C4FAC"/>
    <w:rsid w:val="001C79D8"/>
    <w:rsid w:val="001D1549"/>
    <w:rsid w:val="001E0F3E"/>
    <w:rsid w:val="001E4CCA"/>
    <w:rsid w:val="001E5F6C"/>
    <w:rsid w:val="001F3F0B"/>
    <w:rsid w:val="001F62FB"/>
    <w:rsid w:val="001F73EF"/>
    <w:rsid w:val="00202184"/>
    <w:rsid w:val="0020254B"/>
    <w:rsid w:val="002117E8"/>
    <w:rsid w:val="0021376F"/>
    <w:rsid w:val="00214365"/>
    <w:rsid w:val="00222F2B"/>
    <w:rsid w:val="00223FE7"/>
    <w:rsid w:val="00225616"/>
    <w:rsid w:val="002257CB"/>
    <w:rsid w:val="0022765F"/>
    <w:rsid w:val="00230CF2"/>
    <w:rsid w:val="00232A7B"/>
    <w:rsid w:val="00235B74"/>
    <w:rsid w:val="00237163"/>
    <w:rsid w:val="0024253F"/>
    <w:rsid w:val="00243172"/>
    <w:rsid w:val="00243A11"/>
    <w:rsid w:val="0025060D"/>
    <w:rsid w:val="002508EE"/>
    <w:rsid w:val="00250F54"/>
    <w:rsid w:val="002544F9"/>
    <w:rsid w:val="00261DC3"/>
    <w:rsid w:val="002630E7"/>
    <w:rsid w:val="0026348A"/>
    <w:rsid w:val="002654F5"/>
    <w:rsid w:val="002671F4"/>
    <w:rsid w:val="00280086"/>
    <w:rsid w:val="00280671"/>
    <w:rsid w:val="00281FE3"/>
    <w:rsid w:val="00284498"/>
    <w:rsid w:val="002916F7"/>
    <w:rsid w:val="0029612D"/>
    <w:rsid w:val="002969E1"/>
    <w:rsid w:val="002A0BC2"/>
    <w:rsid w:val="002A4993"/>
    <w:rsid w:val="002A6052"/>
    <w:rsid w:val="002B51BA"/>
    <w:rsid w:val="002B6884"/>
    <w:rsid w:val="002C429A"/>
    <w:rsid w:val="002D2450"/>
    <w:rsid w:val="002D5E79"/>
    <w:rsid w:val="002D6BEE"/>
    <w:rsid w:val="002E0D73"/>
    <w:rsid w:val="002E3641"/>
    <w:rsid w:val="002E46F0"/>
    <w:rsid w:val="002E5BDE"/>
    <w:rsid w:val="002E614F"/>
    <w:rsid w:val="002F33BC"/>
    <w:rsid w:val="002F3F95"/>
    <w:rsid w:val="002F5076"/>
    <w:rsid w:val="0030106E"/>
    <w:rsid w:val="00306C3E"/>
    <w:rsid w:val="00307B6C"/>
    <w:rsid w:val="003133F1"/>
    <w:rsid w:val="00316819"/>
    <w:rsid w:val="00325A11"/>
    <w:rsid w:val="00326230"/>
    <w:rsid w:val="003323E4"/>
    <w:rsid w:val="003331A1"/>
    <w:rsid w:val="00347198"/>
    <w:rsid w:val="00347CB1"/>
    <w:rsid w:val="00352452"/>
    <w:rsid w:val="00352963"/>
    <w:rsid w:val="00353E68"/>
    <w:rsid w:val="00354138"/>
    <w:rsid w:val="0036180D"/>
    <w:rsid w:val="0036316E"/>
    <w:rsid w:val="00366006"/>
    <w:rsid w:val="00374A87"/>
    <w:rsid w:val="00376393"/>
    <w:rsid w:val="00377FE3"/>
    <w:rsid w:val="00382EA8"/>
    <w:rsid w:val="00386277"/>
    <w:rsid w:val="00392774"/>
    <w:rsid w:val="0039600E"/>
    <w:rsid w:val="003B245B"/>
    <w:rsid w:val="003B2C18"/>
    <w:rsid w:val="003B791D"/>
    <w:rsid w:val="003C06EE"/>
    <w:rsid w:val="003C284C"/>
    <w:rsid w:val="003C5E33"/>
    <w:rsid w:val="003D3706"/>
    <w:rsid w:val="003E4DB0"/>
    <w:rsid w:val="003F16CA"/>
    <w:rsid w:val="003F3E4D"/>
    <w:rsid w:val="003F4189"/>
    <w:rsid w:val="003F7903"/>
    <w:rsid w:val="0040166F"/>
    <w:rsid w:val="00401D73"/>
    <w:rsid w:val="00403BCF"/>
    <w:rsid w:val="004101D8"/>
    <w:rsid w:val="004109FC"/>
    <w:rsid w:val="00410E09"/>
    <w:rsid w:val="00411907"/>
    <w:rsid w:val="0041191F"/>
    <w:rsid w:val="004138FE"/>
    <w:rsid w:val="00414772"/>
    <w:rsid w:val="00415261"/>
    <w:rsid w:val="004205D1"/>
    <w:rsid w:val="004205F2"/>
    <w:rsid w:val="00420A5D"/>
    <w:rsid w:val="00425120"/>
    <w:rsid w:val="0042616D"/>
    <w:rsid w:val="00427004"/>
    <w:rsid w:val="00432167"/>
    <w:rsid w:val="00434B03"/>
    <w:rsid w:val="00450384"/>
    <w:rsid w:val="004538A1"/>
    <w:rsid w:val="00454933"/>
    <w:rsid w:val="00454BF4"/>
    <w:rsid w:val="00457614"/>
    <w:rsid w:val="0046124C"/>
    <w:rsid w:val="00464874"/>
    <w:rsid w:val="004673A5"/>
    <w:rsid w:val="00467874"/>
    <w:rsid w:val="00470CE6"/>
    <w:rsid w:val="00472332"/>
    <w:rsid w:val="004822E3"/>
    <w:rsid w:val="00486251"/>
    <w:rsid w:val="00493253"/>
    <w:rsid w:val="00493B18"/>
    <w:rsid w:val="00497017"/>
    <w:rsid w:val="004971D2"/>
    <w:rsid w:val="004C0476"/>
    <w:rsid w:val="004C4525"/>
    <w:rsid w:val="004D3D1A"/>
    <w:rsid w:val="004D5EC6"/>
    <w:rsid w:val="004D6C97"/>
    <w:rsid w:val="004D733C"/>
    <w:rsid w:val="004D7E2D"/>
    <w:rsid w:val="004E17B2"/>
    <w:rsid w:val="004E50B0"/>
    <w:rsid w:val="004E575C"/>
    <w:rsid w:val="004F4934"/>
    <w:rsid w:val="004F49AF"/>
    <w:rsid w:val="004F4A55"/>
    <w:rsid w:val="00501DC6"/>
    <w:rsid w:val="005030E8"/>
    <w:rsid w:val="00503DF3"/>
    <w:rsid w:val="0050446C"/>
    <w:rsid w:val="00504702"/>
    <w:rsid w:val="005102FC"/>
    <w:rsid w:val="00511340"/>
    <w:rsid w:val="005125BA"/>
    <w:rsid w:val="00513FD8"/>
    <w:rsid w:val="0051430F"/>
    <w:rsid w:val="005161DC"/>
    <w:rsid w:val="005241EE"/>
    <w:rsid w:val="005262FA"/>
    <w:rsid w:val="00526D6F"/>
    <w:rsid w:val="00534865"/>
    <w:rsid w:val="00534A08"/>
    <w:rsid w:val="00536607"/>
    <w:rsid w:val="00541016"/>
    <w:rsid w:val="005432D1"/>
    <w:rsid w:val="00544082"/>
    <w:rsid w:val="005451B3"/>
    <w:rsid w:val="00546A3A"/>
    <w:rsid w:val="005551CE"/>
    <w:rsid w:val="00556B76"/>
    <w:rsid w:val="0056019E"/>
    <w:rsid w:val="00560408"/>
    <w:rsid w:val="00560F95"/>
    <w:rsid w:val="00563AE2"/>
    <w:rsid w:val="00566D05"/>
    <w:rsid w:val="00566D2B"/>
    <w:rsid w:val="00571F93"/>
    <w:rsid w:val="00572081"/>
    <w:rsid w:val="00581B0C"/>
    <w:rsid w:val="00582F26"/>
    <w:rsid w:val="005855AF"/>
    <w:rsid w:val="00585C6A"/>
    <w:rsid w:val="00591C2B"/>
    <w:rsid w:val="00594812"/>
    <w:rsid w:val="005957BF"/>
    <w:rsid w:val="00596E75"/>
    <w:rsid w:val="005A05B9"/>
    <w:rsid w:val="005B09A5"/>
    <w:rsid w:val="005B0B08"/>
    <w:rsid w:val="005B25BF"/>
    <w:rsid w:val="005B316F"/>
    <w:rsid w:val="005C11A0"/>
    <w:rsid w:val="005C5EE1"/>
    <w:rsid w:val="005C6E3F"/>
    <w:rsid w:val="005D11B2"/>
    <w:rsid w:val="005E40E0"/>
    <w:rsid w:val="005E4A03"/>
    <w:rsid w:val="005E4A66"/>
    <w:rsid w:val="005E4FA9"/>
    <w:rsid w:val="005E5108"/>
    <w:rsid w:val="005F1368"/>
    <w:rsid w:val="005F146C"/>
    <w:rsid w:val="005F5A24"/>
    <w:rsid w:val="006007FD"/>
    <w:rsid w:val="006009EA"/>
    <w:rsid w:val="006018D4"/>
    <w:rsid w:val="00603EA4"/>
    <w:rsid w:val="006049A4"/>
    <w:rsid w:val="00606F7B"/>
    <w:rsid w:val="00611F65"/>
    <w:rsid w:val="00612103"/>
    <w:rsid w:val="00612472"/>
    <w:rsid w:val="0061312E"/>
    <w:rsid w:val="006139AD"/>
    <w:rsid w:val="00614662"/>
    <w:rsid w:val="00621E80"/>
    <w:rsid w:val="0062372B"/>
    <w:rsid w:val="006251FD"/>
    <w:rsid w:val="00632CA2"/>
    <w:rsid w:val="00633DED"/>
    <w:rsid w:val="00634422"/>
    <w:rsid w:val="00635618"/>
    <w:rsid w:val="00643044"/>
    <w:rsid w:val="00650A8A"/>
    <w:rsid w:val="00650B0D"/>
    <w:rsid w:val="0065101B"/>
    <w:rsid w:val="00657154"/>
    <w:rsid w:val="006574BF"/>
    <w:rsid w:val="006624D8"/>
    <w:rsid w:val="00662D5E"/>
    <w:rsid w:val="006753ED"/>
    <w:rsid w:val="00677790"/>
    <w:rsid w:val="00681043"/>
    <w:rsid w:val="00685F86"/>
    <w:rsid w:val="00696F19"/>
    <w:rsid w:val="006979E6"/>
    <w:rsid w:val="006A24B9"/>
    <w:rsid w:val="006B1ABD"/>
    <w:rsid w:val="006B354A"/>
    <w:rsid w:val="006B383C"/>
    <w:rsid w:val="006C70B7"/>
    <w:rsid w:val="006D1F5D"/>
    <w:rsid w:val="006D309A"/>
    <w:rsid w:val="006D56AB"/>
    <w:rsid w:val="006E179A"/>
    <w:rsid w:val="006E3405"/>
    <w:rsid w:val="006E7382"/>
    <w:rsid w:val="006F2053"/>
    <w:rsid w:val="006F23E3"/>
    <w:rsid w:val="006F47D9"/>
    <w:rsid w:val="006F5629"/>
    <w:rsid w:val="006F5831"/>
    <w:rsid w:val="006F59C7"/>
    <w:rsid w:val="00714087"/>
    <w:rsid w:val="0071433A"/>
    <w:rsid w:val="0072055A"/>
    <w:rsid w:val="00722138"/>
    <w:rsid w:val="00732D32"/>
    <w:rsid w:val="007443C4"/>
    <w:rsid w:val="00745B2B"/>
    <w:rsid w:val="00746550"/>
    <w:rsid w:val="007540B6"/>
    <w:rsid w:val="00760186"/>
    <w:rsid w:val="00765B00"/>
    <w:rsid w:val="00771DAE"/>
    <w:rsid w:val="00772541"/>
    <w:rsid w:val="00777187"/>
    <w:rsid w:val="00777DBB"/>
    <w:rsid w:val="00787BF3"/>
    <w:rsid w:val="00791DAE"/>
    <w:rsid w:val="00793BE4"/>
    <w:rsid w:val="007A1226"/>
    <w:rsid w:val="007A1EE2"/>
    <w:rsid w:val="007A2937"/>
    <w:rsid w:val="007A2FB5"/>
    <w:rsid w:val="007B0F4A"/>
    <w:rsid w:val="007B2972"/>
    <w:rsid w:val="007B39D9"/>
    <w:rsid w:val="007B784D"/>
    <w:rsid w:val="007C1226"/>
    <w:rsid w:val="007C21B4"/>
    <w:rsid w:val="007C43E7"/>
    <w:rsid w:val="007C6197"/>
    <w:rsid w:val="007C645A"/>
    <w:rsid w:val="007D7FB7"/>
    <w:rsid w:val="007E06EF"/>
    <w:rsid w:val="007E7654"/>
    <w:rsid w:val="007F3C60"/>
    <w:rsid w:val="00801475"/>
    <w:rsid w:val="0080192E"/>
    <w:rsid w:val="00801C17"/>
    <w:rsid w:val="0081509F"/>
    <w:rsid w:val="00815B55"/>
    <w:rsid w:val="008223D7"/>
    <w:rsid w:val="00822860"/>
    <w:rsid w:val="00823190"/>
    <w:rsid w:val="008302B0"/>
    <w:rsid w:val="0083061C"/>
    <w:rsid w:val="008323B1"/>
    <w:rsid w:val="0083293B"/>
    <w:rsid w:val="00832EE4"/>
    <w:rsid w:val="00833E84"/>
    <w:rsid w:val="008340AE"/>
    <w:rsid w:val="00835E04"/>
    <w:rsid w:val="008370FC"/>
    <w:rsid w:val="008373DC"/>
    <w:rsid w:val="00842EDB"/>
    <w:rsid w:val="008433C8"/>
    <w:rsid w:val="00843EDA"/>
    <w:rsid w:val="00845990"/>
    <w:rsid w:val="00852B8F"/>
    <w:rsid w:val="00853B46"/>
    <w:rsid w:val="0085439A"/>
    <w:rsid w:val="00856908"/>
    <w:rsid w:val="008646C6"/>
    <w:rsid w:val="008653B4"/>
    <w:rsid w:val="008654D3"/>
    <w:rsid w:val="008712EC"/>
    <w:rsid w:val="008715AC"/>
    <w:rsid w:val="008749DA"/>
    <w:rsid w:val="00880305"/>
    <w:rsid w:val="00880926"/>
    <w:rsid w:val="00887B23"/>
    <w:rsid w:val="008910F1"/>
    <w:rsid w:val="008931AA"/>
    <w:rsid w:val="00897B36"/>
    <w:rsid w:val="008A0033"/>
    <w:rsid w:val="008B13D9"/>
    <w:rsid w:val="008B14BD"/>
    <w:rsid w:val="008B29B3"/>
    <w:rsid w:val="008B2E6E"/>
    <w:rsid w:val="008B637F"/>
    <w:rsid w:val="008C2007"/>
    <w:rsid w:val="008C3127"/>
    <w:rsid w:val="008C5C9E"/>
    <w:rsid w:val="008C6656"/>
    <w:rsid w:val="008D06B8"/>
    <w:rsid w:val="008D0767"/>
    <w:rsid w:val="008D6725"/>
    <w:rsid w:val="008D6C0C"/>
    <w:rsid w:val="008D7A84"/>
    <w:rsid w:val="008E0A55"/>
    <w:rsid w:val="008E422E"/>
    <w:rsid w:val="008E6BD8"/>
    <w:rsid w:val="008F3DC2"/>
    <w:rsid w:val="008F5E1A"/>
    <w:rsid w:val="008F6247"/>
    <w:rsid w:val="008F77D1"/>
    <w:rsid w:val="00902E2B"/>
    <w:rsid w:val="00903523"/>
    <w:rsid w:val="00904E1A"/>
    <w:rsid w:val="00913418"/>
    <w:rsid w:val="0091347B"/>
    <w:rsid w:val="00913A7A"/>
    <w:rsid w:val="00914538"/>
    <w:rsid w:val="00914877"/>
    <w:rsid w:val="0091739D"/>
    <w:rsid w:val="009267B7"/>
    <w:rsid w:val="00932337"/>
    <w:rsid w:val="00932350"/>
    <w:rsid w:val="00940FE0"/>
    <w:rsid w:val="00944DF0"/>
    <w:rsid w:val="0094786E"/>
    <w:rsid w:val="009704DF"/>
    <w:rsid w:val="00975AB6"/>
    <w:rsid w:val="00976694"/>
    <w:rsid w:val="00980707"/>
    <w:rsid w:val="00983F34"/>
    <w:rsid w:val="00987F64"/>
    <w:rsid w:val="00996609"/>
    <w:rsid w:val="00997492"/>
    <w:rsid w:val="009A29F1"/>
    <w:rsid w:val="009B3CC1"/>
    <w:rsid w:val="009C49D9"/>
    <w:rsid w:val="009C5B84"/>
    <w:rsid w:val="009C654B"/>
    <w:rsid w:val="009D252A"/>
    <w:rsid w:val="009D2F47"/>
    <w:rsid w:val="009D35EB"/>
    <w:rsid w:val="009D674A"/>
    <w:rsid w:val="009D6EB5"/>
    <w:rsid w:val="009D7C9F"/>
    <w:rsid w:val="009E0D8A"/>
    <w:rsid w:val="009E6067"/>
    <w:rsid w:val="009E614A"/>
    <w:rsid w:val="009E6EF3"/>
    <w:rsid w:val="009E7CCA"/>
    <w:rsid w:val="009F37BE"/>
    <w:rsid w:val="009F3A26"/>
    <w:rsid w:val="009F6564"/>
    <w:rsid w:val="00A00633"/>
    <w:rsid w:val="00A0307D"/>
    <w:rsid w:val="00A037C4"/>
    <w:rsid w:val="00A06BD8"/>
    <w:rsid w:val="00A11243"/>
    <w:rsid w:val="00A11939"/>
    <w:rsid w:val="00A17C3B"/>
    <w:rsid w:val="00A23A02"/>
    <w:rsid w:val="00A23B9C"/>
    <w:rsid w:val="00A24DB5"/>
    <w:rsid w:val="00A34477"/>
    <w:rsid w:val="00A34E04"/>
    <w:rsid w:val="00A40893"/>
    <w:rsid w:val="00A46F7C"/>
    <w:rsid w:val="00A52496"/>
    <w:rsid w:val="00A525CB"/>
    <w:rsid w:val="00A533EA"/>
    <w:rsid w:val="00A6108C"/>
    <w:rsid w:val="00A65608"/>
    <w:rsid w:val="00A666B8"/>
    <w:rsid w:val="00A761F5"/>
    <w:rsid w:val="00A766F5"/>
    <w:rsid w:val="00A808D5"/>
    <w:rsid w:val="00A827CF"/>
    <w:rsid w:val="00A90EF0"/>
    <w:rsid w:val="00A93E02"/>
    <w:rsid w:val="00A9585A"/>
    <w:rsid w:val="00AA0865"/>
    <w:rsid w:val="00AA5F59"/>
    <w:rsid w:val="00AC7E0A"/>
    <w:rsid w:val="00AD0981"/>
    <w:rsid w:val="00AD195D"/>
    <w:rsid w:val="00AD1ABF"/>
    <w:rsid w:val="00AD2796"/>
    <w:rsid w:val="00AD292A"/>
    <w:rsid w:val="00AD3599"/>
    <w:rsid w:val="00AD620C"/>
    <w:rsid w:val="00AE2B48"/>
    <w:rsid w:val="00AE3000"/>
    <w:rsid w:val="00AE61C0"/>
    <w:rsid w:val="00AF49E8"/>
    <w:rsid w:val="00AF5991"/>
    <w:rsid w:val="00AF66B5"/>
    <w:rsid w:val="00AF6CD7"/>
    <w:rsid w:val="00AF7CCA"/>
    <w:rsid w:val="00B056C7"/>
    <w:rsid w:val="00B05A75"/>
    <w:rsid w:val="00B07FEE"/>
    <w:rsid w:val="00B1337E"/>
    <w:rsid w:val="00B21ADD"/>
    <w:rsid w:val="00B22BF9"/>
    <w:rsid w:val="00B47537"/>
    <w:rsid w:val="00B476A0"/>
    <w:rsid w:val="00B50E75"/>
    <w:rsid w:val="00B5324E"/>
    <w:rsid w:val="00B55466"/>
    <w:rsid w:val="00B56FBF"/>
    <w:rsid w:val="00B636CB"/>
    <w:rsid w:val="00B67629"/>
    <w:rsid w:val="00B71046"/>
    <w:rsid w:val="00B71C3C"/>
    <w:rsid w:val="00B74BFF"/>
    <w:rsid w:val="00B806EF"/>
    <w:rsid w:val="00B830EE"/>
    <w:rsid w:val="00B843AE"/>
    <w:rsid w:val="00B85986"/>
    <w:rsid w:val="00B94A8C"/>
    <w:rsid w:val="00B94AF5"/>
    <w:rsid w:val="00BA2B88"/>
    <w:rsid w:val="00BA37D4"/>
    <w:rsid w:val="00BA4D7F"/>
    <w:rsid w:val="00BA6836"/>
    <w:rsid w:val="00BC0102"/>
    <w:rsid w:val="00BC118B"/>
    <w:rsid w:val="00BC3FA7"/>
    <w:rsid w:val="00BC4212"/>
    <w:rsid w:val="00BC6BAE"/>
    <w:rsid w:val="00BD0B6A"/>
    <w:rsid w:val="00BD0CE4"/>
    <w:rsid w:val="00BD5193"/>
    <w:rsid w:val="00BD61F2"/>
    <w:rsid w:val="00BE36A0"/>
    <w:rsid w:val="00BE543F"/>
    <w:rsid w:val="00BE738D"/>
    <w:rsid w:val="00BE7DF3"/>
    <w:rsid w:val="00BF241C"/>
    <w:rsid w:val="00BF4ECC"/>
    <w:rsid w:val="00C03030"/>
    <w:rsid w:val="00C03D41"/>
    <w:rsid w:val="00C057DA"/>
    <w:rsid w:val="00C12D68"/>
    <w:rsid w:val="00C1492A"/>
    <w:rsid w:val="00C15E45"/>
    <w:rsid w:val="00C17531"/>
    <w:rsid w:val="00C17FEB"/>
    <w:rsid w:val="00C2002E"/>
    <w:rsid w:val="00C21F7E"/>
    <w:rsid w:val="00C2504C"/>
    <w:rsid w:val="00C3154B"/>
    <w:rsid w:val="00C35587"/>
    <w:rsid w:val="00C36F4A"/>
    <w:rsid w:val="00C4029F"/>
    <w:rsid w:val="00C4256E"/>
    <w:rsid w:val="00C43279"/>
    <w:rsid w:val="00C441CB"/>
    <w:rsid w:val="00C45417"/>
    <w:rsid w:val="00C47B77"/>
    <w:rsid w:val="00C559A2"/>
    <w:rsid w:val="00C57BA2"/>
    <w:rsid w:val="00C661AF"/>
    <w:rsid w:val="00C6787A"/>
    <w:rsid w:val="00C705EC"/>
    <w:rsid w:val="00C70A97"/>
    <w:rsid w:val="00C81648"/>
    <w:rsid w:val="00C81E57"/>
    <w:rsid w:val="00C82935"/>
    <w:rsid w:val="00C84BC2"/>
    <w:rsid w:val="00C932B1"/>
    <w:rsid w:val="00C936D7"/>
    <w:rsid w:val="00C95A60"/>
    <w:rsid w:val="00C97677"/>
    <w:rsid w:val="00CA1266"/>
    <w:rsid w:val="00CA6E9F"/>
    <w:rsid w:val="00CB3990"/>
    <w:rsid w:val="00CB7259"/>
    <w:rsid w:val="00CD0084"/>
    <w:rsid w:val="00CD104D"/>
    <w:rsid w:val="00CD15B7"/>
    <w:rsid w:val="00CD1914"/>
    <w:rsid w:val="00CD285C"/>
    <w:rsid w:val="00CD2893"/>
    <w:rsid w:val="00CD694A"/>
    <w:rsid w:val="00CD7BCF"/>
    <w:rsid w:val="00CE0594"/>
    <w:rsid w:val="00CE3FB8"/>
    <w:rsid w:val="00CE42E2"/>
    <w:rsid w:val="00CE57D4"/>
    <w:rsid w:val="00CE6BA8"/>
    <w:rsid w:val="00CF0BA1"/>
    <w:rsid w:val="00CF3C61"/>
    <w:rsid w:val="00CF401A"/>
    <w:rsid w:val="00D0392B"/>
    <w:rsid w:val="00D054C2"/>
    <w:rsid w:val="00D11143"/>
    <w:rsid w:val="00D1318E"/>
    <w:rsid w:val="00D1537A"/>
    <w:rsid w:val="00D30D08"/>
    <w:rsid w:val="00D34B3E"/>
    <w:rsid w:val="00D371EB"/>
    <w:rsid w:val="00D41B32"/>
    <w:rsid w:val="00D427E2"/>
    <w:rsid w:val="00D52181"/>
    <w:rsid w:val="00D53CD5"/>
    <w:rsid w:val="00D545FD"/>
    <w:rsid w:val="00D55237"/>
    <w:rsid w:val="00D66983"/>
    <w:rsid w:val="00D66D12"/>
    <w:rsid w:val="00D748D4"/>
    <w:rsid w:val="00D75FA0"/>
    <w:rsid w:val="00D81E2D"/>
    <w:rsid w:val="00D8382B"/>
    <w:rsid w:val="00D8467A"/>
    <w:rsid w:val="00D860EC"/>
    <w:rsid w:val="00D86618"/>
    <w:rsid w:val="00D87708"/>
    <w:rsid w:val="00D96DFC"/>
    <w:rsid w:val="00DA05F1"/>
    <w:rsid w:val="00DA4769"/>
    <w:rsid w:val="00DA5FE5"/>
    <w:rsid w:val="00DB2979"/>
    <w:rsid w:val="00DB3D27"/>
    <w:rsid w:val="00DB52D7"/>
    <w:rsid w:val="00DB5943"/>
    <w:rsid w:val="00DB7917"/>
    <w:rsid w:val="00DC3878"/>
    <w:rsid w:val="00DE08EF"/>
    <w:rsid w:val="00DE3C8F"/>
    <w:rsid w:val="00DE46A6"/>
    <w:rsid w:val="00DF1A64"/>
    <w:rsid w:val="00DF22C1"/>
    <w:rsid w:val="00DF3408"/>
    <w:rsid w:val="00DF7686"/>
    <w:rsid w:val="00E101E5"/>
    <w:rsid w:val="00E10603"/>
    <w:rsid w:val="00E17106"/>
    <w:rsid w:val="00E26662"/>
    <w:rsid w:val="00E32CD6"/>
    <w:rsid w:val="00E370F9"/>
    <w:rsid w:val="00E37A6D"/>
    <w:rsid w:val="00E41997"/>
    <w:rsid w:val="00E439FE"/>
    <w:rsid w:val="00E457CE"/>
    <w:rsid w:val="00E502DA"/>
    <w:rsid w:val="00E5188E"/>
    <w:rsid w:val="00E54BA0"/>
    <w:rsid w:val="00E55AF8"/>
    <w:rsid w:val="00E56837"/>
    <w:rsid w:val="00E60B48"/>
    <w:rsid w:val="00E61273"/>
    <w:rsid w:val="00E61CB7"/>
    <w:rsid w:val="00E64330"/>
    <w:rsid w:val="00E65019"/>
    <w:rsid w:val="00E6505C"/>
    <w:rsid w:val="00E655E9"/>
    <w:rsid w:val="00E67C8B"/>
    <w:rsid w:val="00E80901"/>
    <w:rsid w:val="00E81CD5"/>
    <w:rsid w:val="00E8336C"/>
    <w:rsid w:val="00E905D1"/>
    <w:rsid w:val="00E925F5"/>
    <w:rsid w:val="00E93EC1"/>
    <w:rsid w:val="00EA10EC"/>
    <w:rsid w:val="00EA602F"/>
    <w:rsid w:val="00EB14C0"/>
    <w:rsid w:val="00EB1B18"/>
    <w:rsid w:val="00EB2A6C"/>
    <w:rsid w:val="00EB2EF7"/>
    <w:rsid w:val="00EB3F9A"/>
    <w:rsid w:val="00EB6858"/>
    <w:rsid w:val="00EB6915"/>
    <w:rsid w:val="00EC2BE8"/>
    <w:rsid w:val="00ED6119"/>
    <w:rsid w:val="00ED6E6F"/>
    <w:rsid w:val="00EF21AF"/>
    <w:rsid w:val="00EF2D32"/>
    <w:rsid w:val="00EF7963"/>
    <w:rsid w:val="00F0089A"/>
    <w:rsid w:val="00F00D1E"/>
    <w:rsid w:val="00F02814"/>
    <w:rsid w:val="00F048B2"/>
    <w:rsid w:val="00F05611"/>
    <w:rsid w:val="00F05EEE"/>
    <w:rsid w:val="00F10820"/>
    <w:rsid w:val="00F12314"/>
    <w:rsid w:val="00F15504"/>
    <w:rsid w:val="00F20759"/>
    <w:rsid w:val="00F2191E"/>
    <w:rsid w:val="00F27757"/>
    <w:rsid w:val="00F310AB"/>
    <w:rsid w:val="00F34BD1"/>
    <w:rsid w:val="00F35AEB"/>
    <w:rsid w:val="00F3723A"/>
    <w:rsid w:val="00F4741F"/>
    <w:rsid w:val="00F50590"/>
    <w:rsid w:val="00F51F6D"/>
    <w:rsid w:val="00F63123"/>
    <w:rsid w:val="00F64156"/>
    <w:rsid w:val="00F6557B"/>
    <w:rsid w:val="00F66A23"/>
    <w:rsid w:val="00F7025E"/>
    <w:rsid w:val="00F73B91"/>
    <w:rsid w:val="00F73E6B"/>
    <w:rsid w:val="00F73F53"/>
    <w:rsid w:val="00F7471B"/>
    <w:rsid w:val="00F74AD7"/>
    <w:rsid w:val="00F772A7"/>
    <w:rsid w:val="00F7770E"/>
    <w:rsid w:val="00F81D5D"/>
    <w:rsid w:val="00F84366"/>
    <w:rsid w:val="00F85C4F"/>
    <w:rsid w:val="00F87302"/>
    <w:rsid w:val="00F92586"/>
    <w:rsid w:val="00F95059"/>
    <w:rsid w:val="00FA1D92"/>
    <w:rsid w:val="00FA34B1"/>
    <w:rsid w:val="00FB05BB"/>
    <w:rsid w:val="00FB1E88"/>
    <w:rsid w:val="00FB2728"/>
    <w:rsid w:val="00FB2D72"/>
    <w:rsid w:val="00FB4AA7"/>
    <w:rsid w:val="00FC2042"/>
    <w:rsid w:val="00FC6111"/>
    <w:rsid w:val="00FD0254"/>
    <w:rsid w:val="00FD1B4C"/>
    <w:rsid w:val="00FE427D"/>
    <w:rsid w:val="00FE5658"/>
    <w:rsid w:val="00FE6667"/>
    <w:rsid w:val="00FF4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5D609-05C0-4B87-8E7E-E064A19F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4C"/>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D3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30D08"/>
    <w:rPr>
      <w:rFonts w:ascii="Courier New" w:eastAsia="Times New Roman" w:hAnsi="Courier New" w:cs="Courier New"/>
      <w:sz w:val="20"/>
      <w:szCs w:val="20"/>
      <w:lang w:eastAsia="lt-LT"/>
    </w:rPr>
  </w:style>
  <w:style w:type="paragraph" w:styleId="Header">
    <w:name w:val="header"/>
    <w:basedOn w:val="Normal"/>
    <w:link w:val="HeaderChar"/>
    <w:uiPriority w:val="99"/>
    <w:unhideWhenUsed/>
    <w:rsid w:val="00D30D08"/>
    <w:pPr>
      <w:tabs>
        <w:tab w:val="center" w:pos="4819"/>
        <w:tab w:val="right" w:pos="9638"/>
      </w:tabs>
    </w:pPr>
  </w:style>
  <w:style w:type="character" w:customStyle="1" w:styleId="HeaderChar">
    <w:name w:val="Header Char"/>
    <w:basedOn w:val="DefaultParagraphFont"/>
    <w:link w:val="Header"/>
    <w:uiPriority w:val="99"/>
    <w:rsid w:val="00D30D08"/>
    <w:rPr>
      <w:rFonts w:ascii="Times New Roman" w:eastAsia="Times New Roman" w:hAnsi="Times New Roman" w:cs="Times New Roman"/>
      <w:sz w:val="24"/>
      <w:szCs w:val="24"/>
      <w:lang w:eastAsia="lt-LT"/>
    </w:rPr>
  </w:style>
  <w:style w:type="paragraph" w:styleId="BodyText">
    <w:name w:val="Body Text"/>
    <w:basedOn w:val="Normal"/>
    <w:link w:val="BodyTextChar"/>
    <w:semiHidden/>
    <w:rsid w:val="00D30D08"/>
    <w:pPr>
      <w:jc w:val="center"/>
    </w:pPr>
    <w:rPr>
      <w:b/>
      <w:bCs/>
      <w:lang w:eastAsia="en-US"/>
    </w:rPr>
  </w:style>
  <w:style w:type="character" w:customStyle="1" w:styleId="BodyTextChar">
    <w:name w:val="Body Text Char"/>
    <w:basedOn w:val="DefaultParagraphFont"/>
    <w:link w:val="BodyText"/>
    <w:semiHidden/>
    <w:rsid w:val="00D30D08"/>
    <w:rPr>
      <w:rFonts w:ascii="Times New Roman" w:eastAsia="Times New Roman" w:hAnsi="Times New Roman" w:cs="Times New Roman"/>
      <w:b/>
      <w:bCs/>
      <w:sz w:val="24"/>
      <w:szCs w:val="24"/>
    </w:rPr>
  </w:style>
  <w:style w:type="paragraph" w:styleId="ListParagraph">
    <w:name w:val="List Paragraph"/>
    <w:basedOn w:val="Normal"/>
    <w:uiPriority w:val="34"/>
    <w:qFormat/>
    <w:rsid w:val="00D30D08"/>
    <w:pPr>
      <w:ind w:left="720"/>
      <w:contextualSpacing/>
    </w:pPr>
  </w:style>
  <w:style w:type="paragraph" w:customStyle="1" w:styleId="Sraopastraipa1">
    <w:name w:val="Sąrašo pastraipa1"/>
    <w:basedOn w:val="Normal"/>
    <w:rsid w:val="00122450"/>
    <w:pPr>
      <w:spacing w:after="200" w:line="276" w:lineRule="auto"/>
      <w:ind w:left="720"/>
      <w:contextualSpacing/>
    </w:pPr>
    <w:rPr>
      <w:sz w:val="22"/>
      <w:szCs w:val="22"/>
      <w:lang w:eastAsia="en-US"/>
    </w:rPr>
  </w:style>
  <w:style w:type="paragraph" w:styleId="CommentText">
    <w:name w:val="annotation text"/>
    <w:basedOn w:val="Normal"/>
    <w:link w:val="CommentTextChar"/>
    <w:uiPriority w:val="99"/>
    <w:semiHidden/>
    <w:unhideWhenUsed/>
    <w:rsid w:val="007E7654"/>
    <w:rPr>
      <w:sz w:val="20"/>
      <w:szCs w:val="20"/>
    </w:rPr>
  </w:style>
  <w:style w:type="character" w:customStyle="1" w:styleId="CommentTextChar">
    <w:name w:val="Comment Text Char"/>
    <w:basedOn w:val="DefaultParagraphFont"/>
    <w:link w:val="CommentText"/>
    <w:uiPriority w:val="99"/>
    <w:semiHidden/>
    <w:rsid w:val="007E7654"/>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E7654"/>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E7654"/>
    <w:rPr>
      <w:rFonts w:ascii="Times New Roman" w:eastAsia="Times New Roman" w:hAnsi="Times New Roman" w:cs="Times New Roman"/>
      <w:b/>
      <w:bCs/>
      <w:sz w:val="20"/>
      <w:szCs w:val="20"/>
      <w:lang w:eastAsia="lt-LT"/>
    </w:rPr>
  </w:style>
  <w:style w:type="character" w:styleId="CommentReference">
    <w:name w:val="annotation reference"/>
    <w:basedOn w:val="DefaultParagraphFont"/>
    <w:uiPriority w:val="99"/>
    <w:semiHidden/>
    <w:unhideWhenUsed/>
    <w:rsid w:val="00FE6667"/>
    <w:rPr>
      <w:sz w:val="16"/>
      <w:szCs w:val="16"/>
    </w:rPr>
  </w:style>
  <w:style w:type="paragraph" w:styleId="BalloonText">
    <w:name w:val="Balloon Text"/>
    <w:basedOn w:val="Normal"/>
    <w:link w:val="BalloonTextChar"/>
    <w:uiPriority w:val="99"/>
    <w:semiHidden/>
    <w:unhideWhenUsed/>
    <w:rsid w:val="00FE66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667"/>
    <w:rPr>
      <w:rFonts w:ascii="Segoe UI" w:eastAsia="Times New Roman" w:hAnsi="Segoe UI" w:cs="Segoe UI"/>
      <w:sz w:val="18"/>
      <w:szCs w:val="18"/>
      <w:lang w:eastAsia="lt-LT"/>
    </w:rPr>
  </w:style>
  <w:style w:type="paragraph" w:styleId="DocumentMap">
    <w:name w:val="Document Map"/>
    <w:basedOn w:val="Normal"/>
    <w:link w:val="DocumentMapChar"/>
    <w:uiPriority w:val="99"/>
    <w:semiHidden/>
    <w:unhideWhenUsed/>
    <w:rsid w:val="00DB52D7"/>
    <w:rPr>
      <w:rFonts w:ascii="Tahoma" w:hAnsi="Tahoma" w:cs="Tahoma"/>
      <w:sz w:val="16"/>
      <w:szCs w:val="16"/>
    </w:rPr>
  </w:style>
  <w:style w:type="character" w:customStyle="1" w:styleId="DocumentMapChar">
    <w:name w:val="Document Map Char"/>
    <w:basedOn w:val="DefaultParagraphFont"/>
    <w:link w:val="DocumentMap"/>
    <w:uiPriority w:val="99"/>
    <w:semiHidden/>
    <w:rsid w:val="00DB52D7"/>
    <w:rPr>
      <w:rFonts w:ascii="Tahoma" w:eastAsia="Times New Roman" w:hAnsi="Tahoma" w:cs="Tahoma"/>
      <w:sz w:val="16"/>
      <w:szCs w:val="16"/>
      <w:lang w:eastAsia="lt-LT"/>
    </w:rPr>
  </w:style>
  <w:style w:type="paragraph" w:styleId="Footer">
    <w:name w:val="footer"/>
    <w:basedOn w:val="Normal"/>
    <w:link w:val="FooterChar"/>
    <w:uiPriority w:val="99"/>
    <w:unhideWhenUsed/>
    <w:rsid w:val="0085439A"/>
    <w:pPr>
      <w:tabs>
        <w:tab w:val="center" w:pos="4819"/>
        <w:tab w:val="right" w:pos="9638"/>
      </w:tabs>
    </w:pPr>
  </w:style>
  <w:style w:type="character" w:customStyle="1" w:styleId="FooterChar">
    <w:name w:val="Footer Char"/>
    <w:basedOn w:val="DefaultParagraphFont"/>
    <w:link w:val="Footer"/>
    <w:uiPriority w:val="99"/>
    <w:rsid w:val="0085439A"/>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semiHidden/>
    <w:unhideWhenUsed/>
    <w:rsid w:val="00AD1ABF"/>
    <w:rPr>
      <w:sz w:val="20"/>
      <w:szCs w:val="20"/>
    </w:rPr>
  </w:style>
  <w:style w:type="character" w:customStyle="1" w:styleId="FootnoteTextChar">
    <w:name w:val="Footnote Text Char"/>
    <w:basedOn w:val="DefaultParagraphFont"/>
    <w:link w:val="FootnoteText"/>
    <w:uiPriority w:val="99"/>
    <w:semiHidden/>
    <w:rsid w:val="00AD1ABF"/>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AD1ABF"/>
    <w:rPr>
      <w:vertAlign w:val="superscript"/>
    </w:rPr>
  </w:style>
  <w:style w:type="character" w:styleId="Hyperlink">
    <w:name w:val="Hyperlink"/>
    <w:basedOn w:val="DefaultParagraphFont"/>
    <w:uiPriority w:val="99"/>
    <w:unhideWhenUsed/>
    <w:rsid w:val="006E7382"/>
    <w:rPr>
      <w:color w:val="0000FF" w:themeColor="hyperlink"/>
      <w:u w:val="single"/>
    </w:rPr>
  </w:style>
  <w:style w:type="paragraph" w:customStyle="1" w:styleId="Standard">
    <w:name w:val="Standard"/>
    <w:rsid w:val="003C5E33"/>
    <w:pPr>
      <w:suppressAutoHyphens/>
      <w:autoSpaceDN w:val="0"/>
      <w:spacing w:after="0" w:line="240" w:lineRule="auto"/>
      <w:textAlignment w:val="baseline"/>
    </w:pPr>
    <w:rPr>
      <w:rFonts w:ascii="Calibri" w:eastAsia="Calibri" w:hAnsi="Calibri" w:cs="Tahoma"/>
      <w:kern w:val="3"/>
      <w:sz w:val="24"/>
    </w:rPr>
  </w:style>
  <w:style w:type="paragraph" w:customStyle="1" w:styleId="Standarduser">
    <w:name w:val="Standard (user)"/>
    <w:rsid w:val="003C5E33"/>
    <w:pPr>
      <w:suppressAutoHyphens/>
      <w:autoSpaceDN w:val="0"/>
      <w:spacing w:after="0" w:line="360" w:lineRule="auto"/>
      <w:textAlignment w:val="baseline"/>
    </w:pPr>
    <w:rPr>
      <w:rFonts w:ascii="Times New Roman" w:eastAsia="Times New Roman" w:hAnsi="Times New Roman" w:cs="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204949">
      <w:bodyDiv w:val="1"/>
      <w:marLeft w:val="0"/>
      <w:marRight w:val="0"/>
      <w:marTop w:val="0"/>
      <w:marBottom w:val="0"/>
      <w:divBdr>
        <w:top w:val="none" w:sz="0" w:space="0" w:color="auto"/>
        <w:left w:val="none" w:sz="0" w:space="0" w:color="auto"/>
        <w:bottom w:val="none" w:sz="0" w:space="0" w:color="auto"/>
        <w:right w:val="none" w:sz="0" w:space="0" w:color="auto"/>
      </w:divBdr>
      <w:divsChild>
        <w:div w:id="632641747">
          <w:marLeft w:val="0"/>
          <w:marRight w:val="0"/>
          <w:marTop w:val="0"/>
          <w:marBottom w:val="0"/>
          <w:divBdr>
            <w:top w:val="none" w:sz="0" w:space="0" w:color="auto"/>
            <w:left w:val="none" w:sz="0" w:space="0" w:color="auto"/>
            <w:bottom w:val="none" w:sz="0" w:space="0" w:color="auto"/>
            <w:right w:val="none" w:sz="0" w:space="0" w:color="auto"/>
          </w:divBdr>
          <w:divsChild>
            <w:div w:id="1023358167">
              <w:marLeft w:val="0"/>
              <w:marRight w:val="0"/>
              <w:marTop w:val="0"/>
              <w:marBottom w:val="0"/>
              <w:divBdr>
                <w:top w:val="none" w:sz="0" w:space="0" w:color="auto"/>
                <w:left w:val="none" w:sz="0" w:space="0" w:color="auto"/>
                <w:bottom w:val="none" w:sz="0" w:space="0" w:color="auto"/>
                <w:right w:val="none" w:sz="0" w:space="0" w:color="auto"/>
              </w:divBdr>
              <w:divsChild>
                <w:div w:id="732701156">
                  <w:marLeft w:val="0"/>
                  <w:marRight w:val="0"/>
                  <w:marTop w:val="0"/>
                  <w:marBottom w:val="0"/>
                  <w:divBdr>
                    <w:top w:val="none" w:sz="0" w:space="0" w:color="auto"/>
                    <w:left w:val="none" w:sz="0" w:space="0" w:color="auto"/>
                    <w:bottom w:val="none" w:sz="0" w:space="0" w:color="auto"/>
                    <w:right w:val="none" w:sz="0" w:space="0" w:color="auto"/>
                  </w:divBdr>
                  <w:divsChild>
                    <w:div w:id="1119449704">
                      <w:marLeft w:val="0"/>
                      <w:marRight w:val="0"/>
                      <w:marTop w:val="0"/>
                      <w:marBottom w:val="0"/>
                      <w:divBdr>
                        <w:top w:val="none" w:sz="0" w:space="0" w:color="auto"/>
                        <w:left w:val="none" w:sz="0" w:space="0" w:color="auto"/>
                        <w:bottom w:val="none" w:sz="0" w:space="0" w:color="auto"/>
                        <w:right w:val="none" w:sz="0" w:space="0" w:color="auto"/>
                      </w:divBdr>
                      <w:divsChild>
                        <w:div w:id="16040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9F4D6-B262-4018-9AEC-D50903EF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1449</Words>
  <Characters>8263</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2020-04-24T06:31:00Z</dcterms:created>
  <dc:creator>Jolita Meškelytė</dc:creator>
  <cp:lastModifiedBy>HP</cp:lastModifiedBy>
  <cp:lastPrinted>2015-11-19T08:20:00Z</cp:lastPrinted>
  <dcterms:modified xsi:type="dcterms:W3CDTF">2020-04-24T06:31:00Z</dcterms:modified>
  <cp:revision>2</cp:revision>
</cp:coreProperties>
</file>