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C7F" w:rsidRDefault="00AB3E8F" w:rsidP="00AB3E8F">
      <w:pPr>
        <w:jc w:val="center"/>
        <w:rPr>
          <w:rFonts w:ascii="Times New Roman" w:hAnsi="Times New Roman" w:cs="Times New Roman"/>
          <w:b/>
          <w:bCs/>
          <w:caps/>
          <w:color w:val="000000"/>
          <w:sz w:val="24"/>
          <w:szCs w:val="24"/>
        </w:rPr>
      </w:pPr>
      <w:r w:rsidRPr="00AB3E8F">
        <w:rPr>
          <w:rFonts w:ascii="Times New Roman" w:hAnsi="Times New Roman" w:cs="Times New Roman"/>
          <w:b/>
          <w:bCs/>
          <w:sz w:val="24"/>
          <w:szCs w:val="24"/>
        </w:rPr>
        <w:t xml:space="preserve">LIETUVOS RESPUBLIKOS VYRIAUSYBĖS NUTARIMO </w:t>
      </w:r>
      <w:r w:rsidR="00D54C3C">
        <w:rPr>
          <w:rFonts w:ascii="Times New Roman" w:hAnsi="Times New Roman" w:cs="Times New Roman"/>
          <w:b/>
          <w:bCs/>
          <w:sz w:val="24"/>
          <w:szCs w:val="24"/>
        </w:rPr>
        <w:t>„</w:t>
      </w:r>
      <w:r w:rsidR="00885D57" w:rsidRPr="00885D57">
        <w:rPr>
          <w:rFonts w:ascii="Times New Roman" w:hAnsi="Times New Roman"/>
          <w:b/>
          <w:sz w:val="24"/>
          <w:szCs w:val="24"/>
        </w:rPr>
        <w:t>D</w:t>
      </w:r>
      <w:r w:rsidR="00885D57" w:rsidRPr="00885D57">
        <w:rPr>
          <w:rFonts w:ascii="Times New Roman" w:hAnsi="Times New Roman"/>
          <w:b/>
          <w:color w:val="000000"/>
          <w:sz w:val="24"/>
          <w:szCs w:val="24"/>
          <w:lang w:eastAsia="lt-LT"/>
        </w:rPr>
        <w:t xml:space="preserve">ĖL </w:t>
      </w:r>
      <w:r w:rsidR="00885D57" w:rsidRPr="00885D57">
        <w:rPr>
          <w:rFonts w:ascii="Times New Roman" w:hAnsi="Times New Roman"/>
          <w:b/>
          <w:sz w:val="24"/>
          <w:szCs w:val="24"/>
          <w:lang w:eastAsia="en-GB"/>
        </w:rPr>
        <w:t xml:space="preserve">LIETUVOS RESPUBLIKOS TIKSLINIŲ KOMPENSACIJŲ ĮSTATYMO NR. XII-2507 5 IR 7 STRAIPSNIŲ PAKEITIMO ĮSTATYMO </w:t>
      </w:r>
      <w:r w:rsidR="00885D57" w:rsidRPr="00885D57">
        <w:rPr>
          <w:rFonts w:ascii="Times New Roman" w:hAnsi="Times New Roman"/>
          <w:b/>
          <w:color w:val="000000"/>
          <w:sz w:val="24"/>
          <w:szCs w:val="24"/>
          <w:lang w:eastAsia="lt-LT"/>
        </w:rPr>
        <w:t>PROJEKTO NR. XIIIP-3481“ PROJEKTO</w:t>
      </w:r>
      <w:r w:rsidR="00885D57" w:rsidRPr="00885D57">
        <w:rPr>
          <w:rFonts w:ascii="Times New Roman" w:hAnsi="Times New Roman" w:cs="Times New Roman"/>
          <w:b/>
          <w:bCs/>
          <w:color w:val="000000"/>
          <w:sz w:val="24"/>
          <w:szCs w:val="24"/>
          <w:lang w:val="x-none"/>
        </w:rPr>
        <w:br/>
      </w:r>
      <w:r w:rsidRPr="00AB3E8F">
        <w:rPr>
          <w:rFonts w:ascii="Times New Roman" w:hAnsi="Times New Roman" w:cs="Times New Roman"/>
          <w:b/>
          <w:bCs/>
          <w:caps/>
          <w:color w:val="000000"/>
          <w:sz w:val="24"/>
          <w:szCs w:val="24"/>
        </w:rPr>
        <w:t>Derinimo pažyma</w:t>
      </w:r>
    </w:p>
    <w:tbl>
      <w:tblPr>
        <w:tblStyle w:val="Lentelstinklelis"/>
        <w:tblW w:w="15163" w:type="dxa"/>
        <w:tblLook w:val="04A0" w:firstRow="1" w:lastRow="0" w:firstColumn="1" w:lastColumn="0" w:noHBand="0" w:noVBand="1"/>
      </w:tblPr>
      <w:tblGrid>
        <w:gridCol w:w="498"/>
        <w:gridCol w:w="1841"/>
        <w:gridCol w:w="6201"/>
        <w:gridCol w:w="6623"/>
      </w:tblGrid>
      <w:tr w:rsidR="005B78BF" w:rsidTr="00896C41">
        <w:tc>
          <w:tcPr>
            <w:tcW w:w="498" w:type="dxa"/>
          </w:tcPr>
          <w:p w:rsidR="005B78BF" w:rsidRPr="00657BF6" w:rsidRDefault="005B78BF" w:rsidP="00AB3E8F">
            <w:pPr>
              <w:jc w:val="center"/>
              <w:rPr>
                <w:rFonts w:ascii="Times New Roman" w:hAnsi="Times New Roman" w:cs="Times New Roman"/>
                <w:sz w:val="24"/>
                <w:szCs w:val="24"/>
              </w:rPr>
            </w:pPr>
            <w:r>
              <w:rPr>
                <w:b/>
                <w:szCs w:val="24"/>
              </w:rPr>
              <w:t>Eil. Nr.</w:t>
            </w:r>
          </w:p>
        </w:tc>
        <w:tc>
          <w:tcPr>
            <w:tcW w:w="1841" w:type="dxa"/>
          </w:tcPr>
          <w:p w:rsidR="005B78BF" w:rsidRPr="00657BF6" w:rsidRDefault="005B78BF" w:rsidP="00AB3E8F">
            <w:pPr>
              <w:jc w:val="center"/>
              <w:rPr>
                <w:rFonts w:ascii="Times New Roman" w:hAnsi="Times New Roman" w:cs="Times New Roman"/>
                <w:sz w:val="24"/>
                <w:szCs w:val="24"/>
              </w:rPr>
            </w:pPr>
            <w:r w:rsidRPr="00657BF6">
              <w:rPr>
                <w:rFonts w:ascii="Times New Roman" w:hAnsi="Times New Roman" w:cs="Times New Roman"/>
                <w:b/>
                <w:bCs/>
                <w:sz w:val="24"/>
                <w:szCs w:val="24"/>
              </w:rPr>
              <w:t>Institucijos pavadinimas, rašto data ir numeris</w:t>
            </w:r>
          </w:p>
        </w:tc>
        <w:tc>
          <w:tcPr>
            <w:tcW w:w="6201" w:type="dxa"/>
          </w:tcPr>
          <w:p w:rsidR="005B78BF" w:rsidRPr="00657BF6" w:rsidRDefault="005B78BF" w:rsidP="00AB3E8F">
            <w:pPr>
              <w:jc w:val="center"/>
              <w:rPr>
                <w:rFonts w:ascii="Times New Roman" w:hAnsi="Times New Roman" w:cs="Times New Roman"/>
                <w:b/>
                <w:sz w:val="24"/>
                <w:szCs w:val="24"/>
              </w:rPr>
            </w:pPr>
            <w:r w:rsidRPr="00657BF6">
              <w:rPr>
                <w:rFonts w:ascii="Times New Roman" w:hAnsi="Times New Roman" w:cs="Times New Roman"/>
                <w:b/>
                <w:sz w:val="24"/>
                <w:szCs w:val="24"/>
              </w:rPr>
              <w:t>Pastabos ir pasiūlymai</w:t>
            </w:r>
          </w:p>
        </w:tc>
        <w:tc>
          <w:tcPr>
            <w:tcW w:w="6623" w:type="dxa"/>
          </w:tcPr>
          <w:p w:rsidR="005B78BF" w:rsidRPr="00657BF6" w:rsidRDefault="005B78BF" w:rsidP="00E92C85">
            <w:pPr>
              <w:jc w:val="center"/>
              <w:rPr>
                <w:rFonts w:ascii="Times New Roman" w:hAnsi="Times New Roman" w:cs="Times New Roman"/>
                <w:b/>
                <w:sz w:val="24"/>
                <w:szCs w:val="24"/>
              </w:rPr>
            </w:pPr>
            <w:r w:rsidRPr="00657BF6">
              <w:rPr>
                <w:rFonts w:ascii="Times New Roman" w:hAnsi="Times New Roman" w:cs="Times New Roman"/>
                <w:b/>
                <w:sz w:val="24"/>
                <w:szCs w:val="24"/>
              </w:rPr>
              <w:t>Argumentai, kodėl neatsižvelgta arba iš dalies atsižvelgta į suinteresuotos institucijos pastabas ir pasiūlymus</w:t>
            </w:r>
          </w:p>
        </w:tc>
      </w:tr>
      <w:tr w:rsidR="005B78BF" w:rsidTr="00896C41">
        <w:tc>
          <w:tcPr>
            <w:tcW w:w="498" w:type="dxa"/>
          </w:tcPr>
          <w:p w:rsidR="005B78BF" w:rsidRDefault="005B78BF" w:rsidP="005B78BF">
            <w:pPr>
              <w:jc w:val="both"/>
              <w:rPr>
                <w:rFonts w:ascii="Times New Roman" w:hAnsi="Times New Roman" w:cs="Times New Roman"/>
                <w:sz w:val="24"/>
                <w:szCs w:val="24"/>
              </w:rPr>
            </w:pPr>
            <w:r>
              <w:rPr>
                <w:rFonts w:ascii="Times New Roman" w:hAnsi="Times New Roman" w:cs="Times New Roman"/>
                <w:sz w:val="24"/>
                <w:szCs w:val="24"/>
              </w:rPr>
              <w:t>1.</w:t>
            </w:r>
          </w:p>
        </w:tc>
        <w:tc>
          <w:tcPr>
            <w:tcW w:w="1841" w:type="dxa"/>
          </w:tcPr>
          <w:p w:rsidR="005B78BF" w:rsidRDefault="005B78BF" w:rsidP="005B78BF">
            <w:pPr>
              <w:rPr>
                <w:rFonts w:ascii="Times New Roman" w:hAnsi="Times New Roman" w:cs="Times New Roman"/>
                <w:sz w:val="24"/>
                <w:szCs w:val="24"/>
              </w:rPr>
            </w:pPr>
            <w:r>
              <w:rPr>
                <w:rFonts w:ascii="Times New Roman" w:hAnsi="Times New Roman" w:cs="Times New Roman"/>
                <w:sz w:val="24"/>
                <w:szCs w:val="24"/>
              </w:rPr>
              <w:t>Lietuvos Respublikos sveikatos apsaugos ministerijos 2019 m. birželio 14 d. raštas Nr.</w:t>
            </w:r>
            <w:r w:rsidR="00702F52">
              <w:rPr>
                <w:rFonts w:ascii="Times New Roman" w:hAnsi="Times New Roman" w:cs="Times New Roman"/>
                <w:sz w:val="24"/>
                <w:szCs w:val="24"/>
              </w:rPr>
              <w:t> </w:t>
            </w:r>
            <w:r>
              <w:rPr>
                <w:rFonts w:ascii="Times New Roman" w:hAnsi="Times New Roman" w:cs="Times New Roman"/>
                <w:sz w:val="24"/>
                <w:szCs w:val="24"/>
              </w:rPr>
              <w:t>(1.1.5-14) 10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3927</w:t>
            </w:r>
          </w:p>
        </w:tc>
        <w:tc>
          <w:tcPr>
            <w:tcW w:w="6201" w:type="dxa"/>
          </w:tcPr>
          <w:p w:rsidR="005B78BF" w:rsidRPr="00AA31E4" w:rsidRDefault="005B78BF" w:rsidP="00D54C3C">
            <w:pPr>
              <w:jc w:val="both"/>
              <w:rPr>
                <w:rFonts w:ascii="Times New Roman" w:hAnsi="Times New Roman" w:cs="Times New Roman"/>
                <w:sz w:val="24"/>
                <w:szCs w:val="24"/>
              </w:rPr>
            </w:pPr>
            <w:r w:rsidRPr="00AA31E4">
              <w:rPr>
                <w:rFonts w:ascii="Times New Roman" w:hAnsi="Times New Roman" w:cs="Times New Roman"/>
                <w:sz w:val="24"/>
                <w:szCs w:val="24"/>
              </w:rPr>
              <w:t xml:space="preserve">Lietuvos Respublikos sveikatos apsaugos ministerija, išnagrinėjusi Lietuvos Respublikos Vyriausybės nutarimo </w:t>
            </w:r>
            <w:r w:rsidRPr="00AA31E4">
              <w:rPr>
                <w:rFonts w:ascii="Times New Roman" w:hAnsi="Times New Roman" w:cs="Times New Roman"/>
                <w:bCs/>
                <w:sz w:val="24"/>
                <w:szCs w:val="24"/>
              </w:rPr>
              <w:t>„</w:t>
            </w:r>
            <w:r w:rsidRPr="00AA31E4">
              <w:rPr>
                <w:rFonts w:ascii="Times New Roman" w:hAnsi="Times New Roman"/>
                <w:sz w:val="24"/>
                <w:szCs w:val="24"/>
              </w:rPr>
              <w:t>D</w:t>
            </w:r>
            <w:r w:rsidRPr="00AA31E4">
              <w:rPr>
                <w:rFonts w:ascii="Times New Roman" w:hAnsi="Times New Roman"/>
                <w:color w:val="000000"/>
                <w:sz w:val="24"/>
                <w:szCs w:val="24"/>
                <w:lang w:eastAsia="lt-LT"/>
              </w:rPr>
              <w:t>ėl L</w:t>
            </w:r>
            <w:r w:rsidRPr="00AA31E4">
              <w:rPr>
                <w:rFonts w:ascii="Times New Roman" w:hAnsi="Times New Roman"/>
                <w:sz w:val="24"/>
                <w:szCs w:val="24"/>
                <w:lang w:eastAsia="en-GB"/>
              </w:rPr>
              <w:t xml:space="preserve">ietuvos Respublikos tikslinių kompensacijų įstatymo Nr. XII-2507 5 ir 7 straipsnių pakeitimo įstatymo </w:t>
            </w:r>
            <w:r w:rsidRPr="00AA31E4">
              <w:rPr>
                <w:rFonts w:ascii="Times New Roman" w:hAnsi="Times New Roman"/>
                <w:color w:val="000000"/>
                <w:sz w:val="24"/>
                <w:szCs w:val="24"/>
                <w:lang w:eastAsia="lt-LT"/>
              </w:rPr>
              <w:t xml:space="preserve">projekto Nr. XIIIP-3481“ projektą </w:t>
            </w:r>
            <w:r w:rsidRPr="00AA31E4">
              <w:rPr>
                <w:rFonts w:ascii="Times New Roman" w:hAnsi="Times New Roman" w:cs="Times New Roman"/>
                <w:sz w:val="24"/>
                <w:szCs w:val="24"/>
              </w:rPr>
              <w:t>(toliau – Nutarimo projektas), informuoja, kad nepritaria Nutarimo projekt</w:t>
            </w:r>
            <w:r>
              <w:rPr>
                <w:rFonts w:ascii="Times New Roman" w:hAnsi="Times New Roman" w:cs="Times New Roman"/>
                <w:sz w:val="24"/>
                <w:szCs w:val="24"/>
              </w:rPr>
              <w:t>o</w:t>
            </w:r>
            <w:r w:rsidRPr="00AA31E4">
              <w:rPr>
                <w:rFonts w:ascii="Times New Roman" w:hAnsi="Times New Roman" w:cs="Times New Roman"/>
                <w:sz w:val="24"/>
                <w:szCs w:val="24"/>
              </w:rPr>
              <w:t xml:space="preserve"> </w:t>
            </w:r>
            <w:r>
              <w:rPr>
                <w:rFonts w:ascii="Times New Roman" w:hAnsi="Times New Roman" w:cs="Times New Roman"/>
                <w:sz w:val="24"/>
                <w:szCs w:val="24"/>
              </w:rPr>
              <w:t>2 straipsnyje išdėstytam Lietuvos Respublikos tikslinių kompensacijų įstatymo (toliau – Įstatymas) 7 straipsnio 1 dalies 1 punkto pakeitimui, kuriuo išplečiamas asmenų, neturinčių teisės gauti slaugos ir priežiūros (pagalbos) išlaidų tikslinių kompensacijų, (toliau – tikslinės kompensacijos), ratas.</w:t>
            </w:r>
          </w:p>
          <w:p w:rsidR="005B78BF" w:rsidRDefault="005B78BF" w:rsidP="00D54C3C">
            <w:pPr>
              <w:jc w:val="both"/>
              <w:rPr>
                <w:rFonts w:ascii="Times New Roman" w:hAnsi="Times New Roman" w:cs="Times New Roman"/>
                <w:sz w:val="24"/>
                <w:szCs w:val="24"/>
              </w:rPr>
            </w:pPr>
            <w:r>
              <w:rPr>
                <w:rFonts w:ascii="Times New Roman" w:hAnsi="Times New Roman" w:cs="Times New Roman"/>
                <w:sz w:val="24"/>
                <w:szCs w:val="24"/>
              </w:rPr>
              <w:t>Atkreiptinas dėmesys, kad stacionarines asmens sveikatos priežiūros (slaugos) paslaugas teikiančioje įstaigoje esančiam asmeniui yra teikiamos asmens sveikatos priežiūros paslaugos, tačiau būklė, dėl kurios asmeniui buvo nustatytas specialusis nuolatinės slaugos poreikis, nepagerėja ir medicinos pagalbos priemonių poreikis išlieka toks pats, o dažnai, dėl pablogėjusios būklės bei pasikeitusios socialinės aplinkos, poreikis padidėja. Praktikoje, remiantis pacientų ir jų artimųjų patirtimi, medicinos pagalbos priemonių, kurios asmens sveikatos priežiūros įstaigoje yra kompensuojamos iš Privalomojo sveikatos draudimo fondo lėšų, neužtenka, todėl teikiamos asmens sveikatos priežiūros paslaugos neatitinka pacientų lūkesčių.</w:t>
            </w:r>
          </w:p>
          <w:p w:rsidR="005B78BF" w:rsidRDefault="005B78BF" w:rsidP="00D54C3C">
            <w:pPr>
              <w:jc w:val="both"/>
              <w:rPr>
                <w:rFonts w:ascii="Times New Roman" w:hAnsi="Times New Roman" w:cs="Times New Roman"/>
                <w:sz w:val="24"/>
                <w:szCs w:val="24"/>
              </w:rPr>
            </w:pPr>
            <w:r>
              <w:rPr>
                <w:rFonts w:ascii="Times New Roman" w:hAnsi="Times New Roman" w:cs="Times New Roman"/>
                <w:sz w:val="24"/>
                <w:szCs w:val="24"/>
              </w:rPr>
              <w:t xml:space="preserve">Stacionarines asmens sveikatos priežiūros paslaugas teikianti įstaiga privalo pacientui suteikti jam reikalingas slaugos </w:t>
            </w:r>
            <w:r>
              <w:rPr>
                <w:rFonts w:ascii="Times New Roman" w:hAnsi="Times New Roman" w:cs="Times New Roman"/>
                <w:sz w:val="24"/>
                <w:szCs w:val="24"/>
              </w:rPr>
              <w:lastRenderedPageBreak/>
              <w:t>paslaugas tomis medicinos pagalbos priemonėmis, kurių ji turi įsigijusi reikalingoms slaugos paslaugoms suteikti. Asmens sveikatos priežiūros įstaiga už pacientui suteiktą paslaugą gauna bazinio dydžio apmokėjimą, kuris yra apskaičiuotas padengti vidutines sąnaudas. Kadangi į stacionarinę asmens sveikatos priežiūros įstaigą hospitalizuojami labai skirtingų sveikatos būklių bei poreikių pacientai, kai kuriais atvejais pacientų prašoma patiems įsigyti papildomas medicinos pagalbos priemones. Pažymėtina, kad šių priemonių įsigijimui ir yra skirta tikslinė kompensacija.</w:t>
            </w:r>
          </w:p>
          <w:p w:rsidR="005B78BF" w:rsidRPr="008F412F" w:rsidRDefault="005B78BF" w:rsidP="00D54C3C">
            <w:pPr>
              <w:jc w:val="both"/>
              <w:rPr>
                <w:rFonts w:ascii="Times New Roman" w:hAnsi="Times New Roman" w:cs="Times New Roman"/>
                <w:sz w:val="24"/>
                <w:szCs w:val="24"/>
              </w:rPr>
            </w:pPr>
            <w:r>
              <w:rPr>
                <w:rFonts w:ascii="Times New Roman" w:hAnsi="Times New Roman" w:cs="Times New Roman"/>
                <w:sz w:val="24"/>
                <w:szCs w:val="24"/>
              </w:rPr>
              <w:t>Atsižvelgiant į tai, siūlo atsisakyti Įstatymo 7 straipsnio 1 dalies 1 punkte nustatyto apribojimo gauti tikslines kompensacijas asmenims, esantiems asmens sveikatos priežiūros įstaigose, Įstatymą papildant nuostatomis, kad tokiems asmenims skirtos tikslinės kompensacijos mokamos tiesiogiai asmens sveikatos priežiūros įstaigai.</w:t>
            </w:r>
          </w:p>
        </w:tc>
        <w:tc>
          <w:tcPr>
            <w:tcW w:w="6623" w:type="dxa"/>
          </w:tcPr>
          <w:p w:rsidR="005B78BF" w:rsidRDefault="005B78BF" w:rsidP="00657BF6">
            <w:pPr>
              <w:jc w:val="both"/>
              <w:rPr>
                <w:rFonts w:ascii="Times New Roman" w:hAnsi="Times New Roman" w:cs="Times New Roman"/>
                <w:b/>
                <w:sz w:val="24"/>
                <w:szCs w:val="24"/>
              </w:rPr>
            </w:pPr>
            <w:r w:rsidRPr="00657BF6">
              <w:rPr>
                <w:rFonts w:ascii="Times New Roman" w:hAnsi="Times New Roman" w:cs="Times New Roman"/>
                <w:b/>
                <w:sz w:val="24"/>
                <w:szCs w:val="24"/>
              </w:rPr>
              <w:lastRenderedPageBreak/>
              <w:t>Neatsižvelgta.</w:t>
            </w:r>
          </w:p>
          <w:p w:rsidR="005B78BF" w:rsidRDefault="005B78BF" w:rsidP="003A002E">
            <w:pPr>
              <w:jc w:val="both"/>
              <w:rPr>
                <w:rFonts w:ascii="Times New Roman" w:hAnsi="Times New Roman"/>
                <w:sz w:val="24"/>
                <w:szCs w:val="24"/>
                <w:lang w:eastAsia="en-GB"/>
              </w:rPr>
            </w:pPr>
            <w:bookmarkStart w:id="0" w:name="part_cb74f994c1bd4f4caa7e0c8ee376073d"/>
            <w:bookmarkEnd w:id="0"/>
            <w:r>
              <w:rPr>
                <w:rFonts w:ascii="Times New Roman" w:hAnsi="Times New Roman"/>
                <w:sz w:val="24"/>
                <w:szCs w:val="24"/>
                <w:lang w:eastAsia="en-GB"/>
              </w:rPr>
              <w:t xml:space="preserve">Vadovaujantis </w:t>
            </w:r>
            <w:r w:rsidRPr="00980F71">
              <w:rPr>
                <w:rFonts w:ascii="Times New Roman" w:hAnsi="Times New Roman"/>
                <w:sz w:val="24"/>
                <w:szCs w:val="24"/>
                <w:lang w:eastAsia="en-GB"/>
              </w:rPr>
              <w:t>2019 m. sausio 1 d. įsigaliojusi</w:t>
            </w:r>
            <w:r>
              <w:rPr>
                <w:rFonts w:ascii="Times New Roman" w:hAnsi="Times New Roman"/>
                <w:sz w:val="24"/>
                <w:szCs w:val="24"/>
                <w:lang w:eastAsia="en-GB"/>
              </w:rPr>
              <w:t>u</w:t>
            </w:r>
            <w:r w:rsidRPr="00980F71">
              <w:rPr>
                <w:rFonts w:ascii="Times New Roman" w:hAnsi="Times New Roman"/>
                <w:sz w:val="24"/>
                <w:szCs w:val="24"/>
                <w:lang w:eastAsia="en-GB"/>
              </w:rPr>
              <w:t xml:space="preserve"> Lietuvos Respublikos tikslinių kompensaci</w:t>
            </w:r>
            <w:r>
              <w:rPr>
                <w:rFonts w:ascii="Times New Roman" w:hAnsi="Times New Roman"/>
                <w:sz w:val="24"/>
                <w:szCs w:val="24"/>
                <w:lang w:eastAsia="en-GB"/>
              </w:rPr>
              <w:t>jų įstatymu</w:t>
            </w:r>
            <w:r w:rsidR="00702F52">
              <w:rPr>
                <w:rFonts w:ascii="Times New Roman" w:hAnsi="Times New Roman"/>
                <w:sz w:val="24"/>
                <w:szCs w:val="24"/>
                <w:lang w:eastAsia="en-GB"/>
              </w:rPr>
              <w:t>,</w:t>
            </w:r>
            <w:r w:rsidRPr="00980F71">
              <w:rPr>
                <w:rFonts w:ascii="Times New Roman" w:hAnsi="Times New Roman"/>
                <w:sz w:val="24"/>
                <w:szCs w:val="24"/>
                <w:lang w:eastAsia="en-GB"/>
              </w:rPr>
              <w:t xml:space="preserve"> </w:t>
            </w:r>
            <w:r>
              <w:rPr>
                <w:rFonts w:ascii="Times New Roman" w:hAnsi="Times New Roman"/>
                <w:sz w:val="24"/>
                <w:szCs w:val="24"/>
                <w:lang w:eastAsia="en-GB"/>
              </w:rPr>
              <w:t xml:space="preserve">tikslinės kompensacijos asmenims mokamos, kai yra nustatytas specialusis nuolatinės slaugos ar specialusis nuolatinės priežiūros (pagalbos) poreikis. </w:t>
            </w:r>
            <w:r w:rsidR="00E14F5C">
              <w:rPr>
                <w:rFonts w:ascii="Times New Roman" w:hAnsi="Times New Roman"/>
                <w:sz w:val="24"/>
                <w:szCs w:val="24"/>
                <w:lang w:eastAsia="en-GB"/>
              </w:rPr>
              <w:t xml:space="preserve">Vadovaujantis </w:t>
            </w:r>
            <w:r w:rsidR="00E14F5C">
              <w:rPr>
                <w:rFonts w:ascii="Times New Roman" w:hAnsi="Times New Roman" w:cs="Times New Roman"/>
                <w:sz w:val="24"/>
                <w:szCs w:val="24"/>
              </w:rPr>
              <w:t>Lietuvos Respublikos sveikatos draudimo įstatymu,</w:t>
            </w:r>
            <w:r w:rsidR="00E14F5C" w:rsidDel="00702F52">
              <w:rPr>
                <w:rFonts w:ascii="Times New Roman" w:hAnsi="Times New Roman"/>
                <w:sz w:val="24"/>
                <w:szCs w:val="24"/>
                <w:lang w:eastAsia="en-GB"/>
              </w:rPr>
              <w:t xml:space="preserve"> </w:t>
            </w:r>
            <w:r>
              <w:rPr>
                <w:rFonts w:ascii="Times New Roman" w:hAnsi="Times New Roman"/>
                <w:sz w:val="24"/>
                <w:szCs w:val="24"/>
                <w:lang w:eastAsia="en-GB"/>
              </w:rPr>
              <w:t xml:space="preserve">slaugos, palaikomojo gydymo, </w:t>
            </w:r>
            <w:proofErr w:type="spellStart"/>
            <w:r>
              <w:rPr>
                <w:rFonts w:ascii="Times New Roman" w:hAnsi="Times New Roman"/>
                <w:sz w:val="24"/>
                <w:szCs w:val="24"/>
                <w:lang w:eastAsia="en-GB"/>
              </w:rPr>
              <w:t>paliatyvios</w:t>
            </w:r>
            <w:r w:rsidR="00702F52">
              <w:rPr>
                <w:rFonts w:ascii="Times New Roman" w:hAnsi="Times New Roman"/>
                <w:sz w:val="24"/>
                <w:szCs w:val="24"/>
                <w:lang w:eastAsia="en-GB"/>
              </w:rPr>
              <w:t>ios</w:t>
            </w:r>
            <w:proofErr w:type="spellEnd"/>
            <w:r>
              <w:rPr>
                <w:rFonts w:ascii="Times New Roman" w:hAnsi="Times New Roman"/>
                <w:sz w:val="24"/>
                <w:szCs w:val="24"/>
                <w:lang w:eastAsia="en-GB"/>
              </w:rPr>
              <w:t xml:space="preserve"> pagalbos paslaugos</w:t>
            </w:r>
            <w:r w:rsidR="00702F52">
              <w:rPr>
                <w:rFonts w:ascii="Times New Roman" w:hAnsi="Times New Roman"/>
                <w:sz w:val="24"/>
                <w:szCs w:val="24"/>
                <w:lang w:eastAsia="en-GB"/>
              </w:rPr>
              <w:t>,</w:t>
            </w:r>
            <w:r>
              <w:rPr>
                <w:rFonts w:ascii="Times New Roman" w:hAnsi="Times New Roman"/>
                <w:sz w:val="24"/>
                <w:szCs w:val="24"/>
                <w:lang w:eastAsia="en-GB"/>
              </w:rPr>
              <w:t xml:space="preserve"> asmeniui teikiamos asmens sveikatos priežiūros įstaigoje, yra </w:t>
            </w:r>
            <w:r w:rsidRPr="004E2C56">
              <w:rPr>
                <w:rFonts w:ascii="Times New Roman" w:hAnsi="Times New Roman"/>
                <w:sz w:val="24"/>
                <w:szCs w:val="24"/>
                <w:lang w:eastAsia="en-GB"/>
              </w:rPr>
              <w:t xml:space="preserve">apmokamos iš </w:t>
            </w:r>
            <w:r w:rsidRPr="008F412F">
              <w:rPr>
                <w:rFonts w:ascii="Times New Roman" w:eastAsia="Times New Roman" w:hAnsi="Times New Roman" w:cs="Times New Roman"/>
                <w:sz w:val="24"/>
                <w:szCs w:val="24"/>
                <w:lang w:eastAsia="lt-LT"/>
              </w:rPr>
              <w:t>Privalomojo sveikatos draudimo fondo biudžeto (toliau – PSDF) ne ilgiau kaip 120 dienų per kalendorinius metus.</w:t>
            </w:r>
            <w:r>
              <w:rPr>
                <w:rFonts w:ascii="Times New Roman" w:eastAsia="Times New Roman" w:hAnsi="Times New Roman" w:cs="Times New Roman"/>
                <w:lang w:eastAsia="lt-LT"/>
              </w:rPr>
              <w:t xml:space="preserve"> </w:t>
            </w:r>
          </w:p>
          <w:p w:rsidR="005B78BF" w:rsidRDefault="00E14F5C" w:rsidP="00EC029C">
            <w:pPr>
              <w:tabs>
                <w:tab w:val="left" w:pos="709"/>
              </w:tabs>
              <w:jc w:val="both"/>
              <w:rPr>
                <w:rFonts w:ascii="Times New Roman" w:hAnsi="Times New Roman"/>
                <w:sz w:val="24"/>
                <w:szCs w:val="24"/>
                <w:lang w:eastAsia="en-GB"/>
              </w:rPr>
            </w:pPr>
            <w:r>
              <w:rPr>
                <w:rFonts w:ascii="Times New Roman" w:hAnsi="Times New Roman"/>
                <w:sz w:val="24"/>
                <w:szCs w:val="24"/>
                <w:lang w:eastAsia="en-GB"/>
              </w:rPr>
              <w:t>Pas</w:t>
            </w:r>
            <w:r w:rsidR="005B78BF">
              <w:rPr>
                <w:rFonts w:ascii="Times New Roman" w:hAnsi="Times New Roman"/>
                <w:sz w:val="24"/>
                <w:szCs w:val="24"/>
                <w:lang w:eastAsia="en-GB"/>
              </w:rPr>
              <w:t xml:space="preserve">iūlymas nustatyti, kad </w:t>
            </w:r>
            <w:r w:rsidR="005B78BF">
              <w:rPr>
                <w:rFonts w:ascii="Times New Roman" w:hAnsi="Times New Roman" w:cs="Times New Roman"/>
                <w:sz w:val="24"/>
                <w:szCs w:val="24"/>
              </w:rPr>
              <w:t xml:space="preserve">asmenims paskirtos tikslinės kompensacijos būtų mokamos tiesiogiai asmens sveikatos priežiūros įstaigai </w:t>
            </w:r>
            <w:r w:rsidR="001D5DA7">
              <w:rPr>
                <w:rFonts w:ascii="Times New Roman" w:hAnsi="Times New Roman" w:cs="Times New Roman"/>
                <w:sz w:val="24"/>
                <w:szCs w:val="24"/>
              </w:rPr>
              <w:t>(</w:t>
            </w:r>
            <w:r w:rsidR="005B78BF">
              <w:rPr>
                <w:rFonts w:ascii="Times New Roman" w:hAnsi="Times New Roman" w:cs="Times New Roman"/>
                <w:sz w:val="24"/>
                <w:szCs w:val="24"/>
              </w:rPr>
              <w:t xml:space="preserve">asmens sveikatos priežiūros įstaigoje teikiamos iš </w:t>
            </w:r>
            <w:r w:rsidR="005B78BF" w:rsidRPr="00980F71">
              <w:rPr>
                <w:rFonts w:ascii="Times New Roman" w:hAnsi="Times New Roman"/>
                <w:sz w:val="24"/>
                <w:szCs w:val="24"/>
                <w:lang w:eastAsia="en-GB"/>
              </w:rPr>
              <w:t xml:space="preserve">PSDF </w:t>
            </w:r>
            <w:r w:rsidR="005B78BF">
              <w:rPr>
                <w:rFonts w:ascii="Times New Roman" w:hAnsi="Times New Roman"/>
                <w:sz w:val="24"/>
                <w:szCs w:val="24"/>
                <w:lang w:eastAsia="en-GB"/>
              </w:rPr>
              <w:t>biudžeto lėšų jau apmokamos minėtos paslaugos</w:t>
            </w:r>
            <w:r w:rsidR="001D5DA7">
              <w:rPr>
                <w:rFonts w:ascii="Times New Roman" w:hAnsi="Times New Roman"/>
                <w:sz w:val="24"/>
                <w:szCs w:val="24"/>
                <w:lang w:eastAsia="en-GB"/>
              </w:rPr>
              <w:t>)</w:t>
            </w:r>
            <w:r w:rsidR="005B78BF">
              <w:rPr>
                <w:rFonts w:ascii="Times New Roman" w:hAnsi="Times New Roman"/>
                <w:sz w:val="24"/>
                <w:szCs w:val="24"/>
                <w:lang w:eastAsia="en-GB"/>
              </w:rPr>
              <w:t xml:space="preserve">, sudarytų </w:t>
            </w:r>
            <w:r w:rsidR="000C66D3">
              <w:rPr>
                <w:rFonts w:ascii="Times New Roman" w:hAnsi="Times New Roman"/>
                <w:sz w:val="24"/>
                <w:szCs w:val="24"/>
                <w:lang w:eastAsia="en-GB"/>
              </w:rPr>
              <w:t xml:space="preserve">nevienodas </w:t>
            </w:r>
            <w:r w:rsidR="005B78BF">
              <w:rPr>
                <w:rFonts w:ascii="Times New Roman" w:hAnsi="Times New Roman"/>
                <w:sz w:val="24"/>
                <w:szCs w:val="24"/>
                <w:lang w:eastAsia="en-GB"/>
              </w:rPr>
              <w:t>sąlygas t</w:t>
            </w:r>
            <w:r w:rsidR="001D5DA7">
              <w:rPr>
                <w:rFonts w:ascii="Times New Roman" w:hAnsi="Times New Roman"/>
                <w:sz w:val="24"/>
                <w:szCs w:val="24"/>
                <w:lang w:eastAsia="en-GB"/>
              </w:rPr>
              <w:t>iems</w:t>
            </w:r>
            <w:r w:rsidR="005B78BF">
              <w:rPr>
                <w:rFonts w:ascii="Times New Roman" w:hAnsi="Times New Roman"/>
                <w:sz w:val="24"/>
                <w:szCs w:val="24"/>
                <w:lang w:eastAsia="en-GB"/>
              </w:rPr>
              <w:t xml:space="preserve"> tikslines kompensacijas gaunan</w:t>
            </w:r>
            <w:r w:rsidR="001D5DA7">
              <w:rPr>
                <w:rFonts w:ascii="Times New Roman" w:hAnsi="Times New Roman"/>
                <w:sz w:val="24"/>
                <w:szCs w:val="24"/>
                <w:lang w:eastAsia="en-GB"/>
              </w:rPr>
              <w:t>tiems</w:t>
            </w:r>
            <w:r w:rsidR="005B78BF">
              <w:rPr>
                <w:rFonts w:ascii="Times New Roman" w:hAnsi="Times New Roman"/>
                <w:sz w:val="24"/>
                <w:szCs w:val="24"/>
                <w:lang w:eastAsia="en-GB"/>
              </w:rPr>
              <w:t xml:space="preserve"> asmen</w:t>
            </w:r>
            <w:r w:rsidR="001D5DA7">
              <w:rPr>
                <w:rFonts w:ascii="Times New Roman" w:hAnsi="Times New Roman"/>
                <w:sz w:val="24"/>
                <w:szCs w:val="24"/>
                <w:lang w:eastAsia="en-GB"/>
              </w:rPr>
              <w:t>ims</w:t>
            </w:r>
            <w:r w:rsidR="005B78BF">
              <w:rPr>
                <w:rFonts w:ascii="Times New Roman" w:hAnsi="Times New Roman"/>
                <w:sz w:val="24"/>
                <w:szCs w:val="24"/>
                <w:lang w:eastAsia="en-GB"/>
              </w:rPr>
              <w:t xml:space="preserve">, kurie šių paslaugų negauna asmens sveikatos priežiūros įstaigoje. Be to, tos pačios paslaugos </w:t>
            </w:r>
            <w:r w:rsidR="00D92E6B">
              <w:rPr>
                <w:rFonts w:ascii="Times New Roman" w:hAnsi="Times New Roman"/>
                <w:sz w:val="24"/>
                <w:szCs w:val="24"/>
                <w:lang w:eastAsia="en-GB"/>
              </w:rPr>
              <w:t>būtų</w:t>
            </w:r>
            <w:r w:rsidR="005B78BF">
              <w:rPr>
                <w:rFonts w:ascii="Times New Roman" w:hAnsi="Times New Roman"/>
                <w:sz w:val="24"/>
                <w:szCs w:val="24"/>
                <w:lang w:eastAsia="en-GB"/>
              </w:rPr>
              <w:t xml:space="preserve"> apmokamos du kartus</w:t>
            </w:r>
            <w:r w:rsidR="00D92E6B">
              <w:rPr>
                <w:rFonts w:ascii="Times New Roman" w:hAnsi="Times New Roman"/>
                <w:sz w:val="24"/>
                <w:szCs w:val="24"/>
                <w:lang w:eastAsia="en-GB"/>
              </w:rPr>
              <w:t xml:space="preserve"> (iš PSDF ir valstybės biudžeto)</w:t>
            </w:r>
            <w:r w:rsidR="00EC029C">
              <w:rPr>
                <w:rFonts w:ascii="Times New Roman" w:hAnsi="Times New Roman"/>
                <w:sz w:val="24"/>
                <w:szCs w:val="24"/>
                <w:lang w:eastAsia="en-GB"/>
              </w:rPr>
              <w:t>, nors stacionarines asmens sveikatos priežiūros paslaugas teikianti įstaiga privalo pacientui suteikti jam reikalingas slaugos paslaugas</w:t>
            </w:r>
            <w:r w:rsidR="005B78BF">
              <w:rPr>
                <w:rFonts w:ascii="Times New Roman" w:hAnsi="Times New Roman"/>
                <w:sz w:val="24"/>
                <w:szCs w:val="24"/>
                <w:lang w:eastAsia="en-GB"/>
              </w:rPr>
              <w:t>.</w:t>
            </w:r>
          </w:p>
          <w:p w:rsidR="005B78BF" w:rsidRDefault="005B78BF" w:rsidP="00EC029C">
            <w:pPr>
              <w:pStyle w:val="Paprastasistekstas"/>
              <w:jc w:val="both"/>
              <w:rPr>
                <w:rFonts w:ascii="Times New Roman" w:hAnsi="Times New Roman"/>
                <w:sz w:val="24"/>
                <w:szCs w:val="24"/>
              </w:rPr>
            </w:pPr>
            <w:r w:rsidRPr="00980F71">
              <w:rPr>
                <w:rFonts w:ascii="Times New Roman" w:hAnsi="Times New Roman"/>
                <w:sz w:val="24"/>
                <w:szCs w:val="24"/>
              </w:rPr>
              <w:t xml:space="preserve">Iš viso tikslines kompensacijas gauna apie 94 tūkst. asmenų, iš jų slaugos </w:t>
            </w:r>
            <w:r>
              <w:rPr>
                <w:rFonts w:ascii="Times New Roman" w:hAnsi="Times New Roman"/>
                <w:sz w:val="24"/>
                <w:szCs w:val="24"/>
              </w:rPr>
              <w:t xml:space="preserve">išlaidų </w:t>
            </w:r>
            <w:r w:rsidRPr="00980F71">
              <w:rPr>
                <w:rFonts w:ascii="Times New Roman" w:hAnsi="Times New Roman"/>
                <w:sz w:val="24"/>
                <w:szCs w:val="24"/>
              </w:rPr>
              <w:t>tikslin</w:t>
            </w:r>
            <w:r>
              <w:rPr>
                <w:rFonts w:ascii="Times New Roman" w:hAnsi="Times New Roman"/>
                <w:sz w:val="24"/>
                <w:szCs w:val="24"/>
              </w:rPr>
              <w:t>es</w:t>
            </w:r>
            <w:r w:rsidRPr="00980F71">
              <w:rPr>
                <w:rFonts w:ascii="Times New Roman" w:hAnsi="Times New Roman"/>
                <w:sz w:val="24"/>
                <w:szCs w:val="24"/>
              </w:rPr>
              <w:t xml:space="preserve"> kompensacij</w:t>
            </w:r>
            <w:r>
              <w:rPr>
                <w:rFonts w:ascii="Times New Roman" w:hAnsi="Times New Roman"/>
                <w:sz w:val="24"/>
                <w:szCs w:val="24"/>
              </w:rPr>
              <w:t xml:space="preserve">as </w:t>
            </w:r>
            <w:r w:rsidRPr="00980F71">
              <w:rPr>
                <w:rFonts w:ascii="Times New Roman" w:hAnsi="Times New Roman"/>
                <w:sz w:val="24"/>
                <w:szCs w:val="24"/>
              </w:rPr>
              <w:t xml:space="preserve">– 37 tūkst., priežiūros (pagalbos) </w:t>
            </w:r>
            <w:r>
              <w:rPr>
                <w:rFonts w:ascii="Times New Roman" w:hAnsi="Times New Roman"/>
                <w:sz w:val="24"/>
                <w:szCs w:val="24"/>
              </w:rPr>
              <w:t xml:space="preserve">išlaidų </w:t>
            </w:r>
            <w:r w:rsidRPr="00980F71">
              <w:rPr>
                <w:rFonts w:ascii="Times New Roman" w:hAnsi="Times New Roman"/>
                <w:sz w:val="24"/>
                <w:szCs w:val="24"/>
              </w:rPr>
              <w:t>tikslin</w:t>
            </w:r>
            <w:r>
              <w:rPr>
                <w:rFonts w:ascii="Times New Roman" w:hAnsi="Times New Roman"/>
                <w:sz w:val="24"/>
                <w:szCs w:val="24"/>
              </w:rPr>
              <w:t>es</w:t>
            </w:r>
            <w:r w:rsidRPr="00980F71">
              <w:rPr>
                <w:rFonts w:ascii="Times New Roman" w:hAnsi="Times New Roman"/>
                <w:sz w:val="24"/>
                <w:szCs w:val="24"/>
              </w:rPr>
              <w:t xml:space="preserve"> kompensacij</w:t>
            </w:r>
            <w:r>
              <w:rPr>
                <w:rFonts w:ascii="Times New Roman" w:hAnsi="Times New Roman"/>
                <w:sz w:val="24"/>
                <w:szCs w:val="24"/>
              </w:rPr>
              <w:t xml:space="preserve">as </w:t>
            </w:r>
            <w:r w:rsidRPr="00980F71">
              <w:rPr>
                <w:rFonts w:ascii="Times New Roman" w:hAnsi="Times New Roman"/>
                <w:sz w:val="24"/>
                <w:szCs w:val="24"/>
              </w:rPr>
              <w:t xml:space="preserve">– 57 tūkst. </w:t>
            </w:r>
            <w:r>
              <w:rPr>
                <w:rFonts w:ascii="Times New Roman" w:hAnsi="Times New Roman"/>
                <w:sz w:val="24"/>
                <w:szCs w:val="24"/>
              </w:rPr>
              <w:t>asmenų. T</w:t>
            </w:r>
            <w:r>
              <w:rPr>
                <w:rFonts w:ascii="Times New Roman" w:hAnsi="Times New Roman"/>
                <w:sz w:val="24"/>
                <w:szCs w:val="24"/>
                <w:lang w:eastAsia="en-GB"/>
              </w:rPr>
              <w:t>ikslinėms kompensacijoms mo</w:t>
            </w:r>
            <w:r w:rsidR="00175760">
              <w:rPr>
                <w:rFonts w:ascii="Times New Roman" w:hAnsi="Times New Roman"/>
                <w:sz w:val="24"/>
                <w:szCs w:val="24"/>
                <w:lang w:eastAsia="en-GB"/>
              </w:rPr>
              <w:t>kėti 2018 m. panaudota apie 175 </w:t>
            </w:r>
            <w:r>
              <w:rPr>
                <w:rFonts w:ascii="Times New Roman" w:hAnsi="Times New Roman"/>
                <w:sz w:val="24"/>
                <w:szCs w:val="24"/>
                <w:lang w:eastAsia="en-GB"/>
              </w:rPr>
              <w:t xml:space="preserve">mln. </w:t>
            </w:r>
            <w:proofErr w:type="spellStart"/>
            <w:r>
              <w:rPr>
                <w:rFonts w:ascii="Times New Roman" w:hAnsi="Times New Roman"/>
                <w:sz w:val="24"/>
                <w:szCs w:val="24"/>
              </w:rPr>
              <w:t>Eur</w:t>
            </w:r>
            <w:proofErr w:type="spellEnd"/>
            <w:r>
              <w:rPr>
                <w:rFonts w:ascii="Times New Roman" w:hAnsi="Times New Roman"/>
                <w:sz w:val="24"/>
                <w:szCs w:val="24"/>
              </w:rPr>
              <w:t xml:space="preserve">. </w:t>
            </w:r>
          </w:p>
          <w:p w:rsidR="005B78BF" w:rsidRDefault="005B78BF" w:rsidP="00EC029C">
            <w:pPr>
              <w:pStyle w:val="Paprastasistekstas"/>
              <w:jc w:val="both"/>
              <w:rPr>
                <w:rFonts w:ascii="Times New Roman" w:hAnsi="Times New Roman"/>
                <w:sz w:val="24"/>
                <w:szCs w:val="24"/>
              </w:rPr>
            </w:pPr>
            <w:r>
              <w:rPr>
                <w:rFonts w:ascii="Times New Roman" w:hAnsi="Times New Roman"/>
                <w:sz w:val="24"/>
                <w:szCs w:val="24"/>
              </w:rPr>
              <w:lastRenderedPageBreak/>
              <w:t>Kasmet apie 15</w:t>
            </w:r>
            <w:r w:rsidR="00672C05">
              <w:rPr>
                <w:rFonts w:ascii="Times New Roman" w:hAnsi="Times New Roman"/>
                <w:sz w:val="24"/>
                <w:szCs w:val="24"/>
              </w:rPr>
              <w:t>–</w:t>
            </w:r>
            <w:r>
              <w:rPr>
                <w:rFonts w:ascii="Times New Roman" w:hAnsi="Times New Roman"/>
                <w:sz w:val="24"/>
                <w:szCs w:val="24"/>
              </w:rPr>
              <w:t xml:space="preserve">20 tūkst. asmenų gauna slaugos, palaikomojo gydymo, </w:t>
            </w:r>
            <w:proofErr w:type="spellStart"/>
            <w:r>
              <w:rPr>
                <w:rFonts w:ascii="Times New Roman" w:hAnsi="Times New Roman"/>
                <w:sz w:val="24"/>
                <w:szCs w:val="24"/>
              </w:rPr>
              <w:t>paliatyviosios</w:t>
            </w:r>
            <w:proofErr w:type="spellEnd"/>
            <w:r>
              <w:rPr>
                <w:rFonts w:ascii="Times New Roman" w:hAnsi="Times New Roman"/>
                <w:sz w:val="24"/>
                <w:szCs w:val="24"/>
              </w:rPr>
              <w:t xml:space="preserve"> pagalbos paslaugas, apmokamas iš PSDF biudžeto (yra apie 5</w:t>
            </w:r>
            <w:r w:rsidR="00672C05">
              <w:rPr>
                <w:rFonts w:ascii="Times New Roman" w:hAnsi="Times New Roman"/>
                <w:sz w:val="24"/>
                <w:szCs w:val="24"/>
              </w:rPr>
              <w:t xml:space="preserve"> </w:t>
            </w:r>
            <w:r>
              <w:rPr>
                <w:rFonts w:ascii="Times New Roman" w:hAnsi="Times New Roman"/>
                <w:sz w:val="24"/>
                <w:szCs w:val="24"/>
              </w:rPr>
              <w:t xml:space="preserve">000 lovų šiai paslaugai teikti ir iš PSDF biudžeto </w:t>
            </w:r>
            <w:r w:rsidR="003C6F59">
              <w:rPr>
                <w:rFonts w:ascii="Times New Roman" w:hAnsi="Times New Roman"/>
                <w:sz w:val="24"/>
                <w:szCs w:val="24"/>
              </w:rPr>
              <w:t xml:space="preserve">vienam žmogui per metus </w:t>
            </w:r>
            <w:r>
              <w:rPr>
                <w:rFonts w:ascii="Times New Roman" w:hAnsi="Times New Roman"/>
                <w:sz w:val="24"/>
                <w:szCs w:val="24"/>
              </w:rPr>
              <w:t>apmokam</w:t>
            </w:r>
            <w:r w:rsidR="003C6F59">
              <w:rPr>
                <w:rFonts w:ascii="Times New Roman" w:hAnsi="Times New Roman"/>
                <w:sz w:val="24"/>
                <w:szCs w:val="24"/>
              </w:rPr>
              <w:t>os</w:t>
            </w:r>
            <w:r>
              <w:rPr>
                <w:rFonts w:ascii="Times New Roman" w:hAnsi="Times New Roman"/>
                <w:sz w:val="24"/>
                <w:szCs w:val="24"/>
              </w:rPr>
              <w:t xml:space="preserve"> 4 mėn</w:t>
            </w:r>
            <w:r w:rsidR="003C6F59">
              <w:rPr>
                <w:rFonts w:ascii="Times New Roman" w:hAnsi="Times New Roman"/>
                <w:sz w:val="24"/>
                <w:szCs w:val="24"/>
              </w:rPr>
              <w:t>esių</w:t>
            </w:r>
            <w:r w:rsidR="00285AE8">
              <w:rPr>
                <w:rFonts w:ascii="Times New Roman" w:hAnsi="Times New Roman"/>
                <w:sz w:val="24"/>
                <w:szCs w:val="24"/>
              </w:rPr>
              <w:t xml:space="preserve"> šios paslaugos </w:t>
            </w:r>
            <w:r w:rsidR="00251595">
              <w:rPr>
                <w:rFonts w:ascii="Times New Roman" w:hAnsi="Times New Roman"/>
                <w:sz w:val="24"/>
                <w:szCs w:val="24"/>
              </w:rPr>
              <w:t>išlaidos</w:t>
            </w:r>
            <w:r>
              <w:rPr>
                <w:rFonts w:ascii="Times New Roman" w:hAnsi="Times New Roman"/>
                <w:sz w:val="24"/>
                <w:szCs w:val="24"/>
              </w:rPr>
              <w:t>), iš jų apie 10 tūkst. asmenų gauna šias paslaugas asmens sveikatos priežiūros įstaigų slaugos skyriuose ar šių įstaigų bendruosiuose skyriuose įsteigtose vietose neįgaliųjų asmenų slaugai.</w:t>
            </w:r>
            <w:r>
              <w:rPr>
                <w:rFonts w:ascii="Times New Roman" w:hAnsi="Times New Roman"/>
                <w:sz w:val="24"/>
                <w:szCs w:val="24"/>
                <w:lang w:eastAsia="en-GB"/>
              </w:rPr>
              <w:t xml:space="preserve"> Pagal galiojantį </w:t>
            </w:r>
            <w:r w:rsidR="00175760">
              <w:rPr>
                <w:rFonts w:ascii="Times New Roman" w:hAnsi="Times New Roman"/>
                <w:sz w:val="24"/>
                <w:szCs w:val="24"/>
                <w:lang w:eastAsia="en-GB"/>
              </w:rPr>
              <w:t>teisinį reglamentavimą šiems 10 </w:t>
            </w:r>
            <w:r>
              <w:rPr>
                <w:rFonts w:ascii="Times New Roman" w:hAnsi="Times New Roman"/>
                <w:sz w:val="24"/>
                <w:szCs w:val="24"/>
                <w:lang w:eastAsia="en-GB"/>
              </w:rPr>
              <w:t xml:space="preserve">tūkst. asmenų papildomai dar turi būti mokamos tikslinės kompensacijos, kurioms mokėti </w:t>
            </w:r>
            <w:r w:rsidR="00175760">
              <w:rPr>
                <w:rFonts w:ascii="Times New Roman" w:hAnsi="Times New Roman"/>
                <w:sz w:val="24"/>
                <w:szCs w:val="24"/>
                <w:lang w:eastAsia="en-GB"/>
              </w:rPr>
              <w:t>per metus reikia apie 10,2 mln. </w:t>
            </w:r>
            <w:proofErr w:type="spellStart"/>
            <w:r>
              <w:rPr>
                <w:rFonts w:ascii="Times New Roman" w:hAnsi="Times New Roman"/>
                <w:sz w:val="24"/>
                <w:szCs w:val="24"/>
                <w:lang w:eastAsia="en-GB"/>
              </w:rPr>
              <w:t>Eur</w:t>
            </w:r>
            <w:proofErr w:type="spellEnd"/>
            <w:r>
              <w:rPr>
                <w:rFonts w:ascii="Times New Roman" w:hAnsi="Times New Roman"/>
                <w:sz w:val="24"/>
                <w:szCs w:val="24"/>
                <w:lang w:eastAsia="en-GB"/>
              </w:rPr>
              <w:t xml:space="preserve">, </w:t>
            </w:r>
            <w:r w:rsidR="00672C05">
              <w:rPr>
                <w:rFonts w:ascii="Times New Roman" w:hAnsi="Times New Roman"/>
                <w:sz w:val="24"/>
                <w:szCs w:val="24"/>
                <w:lang w:eastAsia="en-GB"/>
              </w:rPr>
              <w:t>nors</w:t>
            </w:r>
            <w:r>
              <w:rPr>
                <w:rFonts w:ascii="Times New Roman" w:hAnsi="Times New Roman"/>
                <w:sz w:val="24"/>
                <w:szCs w:val="24"/>
                <w:lang w:eastAsia="en-GB"/>
              </w:rPr>
              <w:t xml:space="preserve"> šie asmenys gauna iš PSDF biudžeto apmokamas slaugos paslaugas.</w:t>
            </w:r>
          </w:p>
          <w:p w:rsidR="005B78BF" w:rsidRDefault="005B78BF" w:rsidP="00945DE8">
            <w:pPr>
              <w:jc w:val="both"/>
              <w:rPr>
                <w:rFonts w:ascii="Times New Roman" w:hAnsi="Times New Roman"/>
                <w:sz w:val="24"/>
                <w:szCs w:val="24"/>
                <w:lang w:eastAsia="en-GB"/>
              </w:rPr>
            </w:pPr>
          </w:p>
          <w:p w:rsidR="005B78BF" w:rsidRPr="00EF40A9" w:rsidRDefault="005B78BF" w:rsidP="00BA2C13">
            <w:pPr>
              <w:jc w:val="both"/>
              <w:rPr>
                <w:rFonts w:ascii="Times New Roman" w:hAnsi="Times New Roman" w:cs="Times New Roman"/>
                <w:sz w:val="24"/>
                <w:szCs w:val="24"/>
              </w:rPr>
            </w:pPr>
          </w:p>
        </w:tc>
      </w:tr>
      <w:tr w:rsidR="005B78BF" w:rsidTr="00896C41">
        <w:tc>
          <w:tcPr>
            <w:tcW w:w="498" w:type="dxa"/>
          </w:tcPr>
          <w:p w:rsidR="005B78BF" w:rsidRDefault="005B78BF" w:rsidP="005B78BF">
            <w:pPr>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1841" w:type="dxa"/>
          </w:tcPr>
          <w:p w:rsidR="005B78BF" w:rsidRPr="005B78BF" w:rsidRDefault="005B78BF" w:rsidP="000C66D3">
            <w:pPr>
              <w:rPr>
                <w:rFonts w:ascii="Times New Roman" w:hAnsi="Times New Roman" w:cs="Times New Roman"/>
                <w:sz w:val="24"/>
                <w:szCs w:val="24"/>
              </w:rPr>
            </w:pPr>
            <w:r w:rsidRPr="005B78BF">
              <w:rPr>
                <w:rFonts w:ascii="Times New Roman" w:hAnsi="Times New Roman" w:cs="Times New Roman"/>
                <w:sz w:val="24"/>
                <w:szCs w:val="24"/>
              </w:rPr>
              <w:t>Lietuvos Respublikos teisingumo ministerijos 2019 m. birželio 18 d. raštas Nr.</w:t>
            </w:r>
            <w:r w:rsidR="00285AE8">
              <w:rPr>
                <w:rFonts w:ascii="Times New Roman" w:hAnsi="Times New Roman" w:cs="Times New Roman"/>
                <w:sz w:val="24"/>
                <w:szCs w:val="24"/>
              </w:rPr>
              <w:t> </w:t>
            </w:r>
            <w:r w:rsidRPr="005B78BF">
              <w:rPr>
                <w:rFonts w:ascii="Times New Roman" w:hAnsi="Times New Roman" w:cs="Times New Roman"/>
                <w:sz w:val="24"/>
                <w:szCs w:val="24"/>
              </w:rPr>
              <w:t>(1.6E) 2T</w:t>
            </w:r>
            <w:r w:rsidR="000C66D3">
              <w:rPr>
                <w:rFonts w:ascii="Times New Roman" w:hAnsi="Times New Roman" w:cs="Times New Roman"/>
                <w:sz w:val="24"/>
                <w:szCs w:val="24"/>
              </w:rPr>
              <w:noBreakHyphen/>
            </w:r>
            <w:r w:rsidRPr="005B78BF">
              <w:rPr>
                <w:rFonts w:ascii="Times New Roman" w:hAnsi="Times New Roman" w:cs="Times New Roman"/>
                <w:sz w:val="24"/>
                <w:szCs w:val="24"/>
              </w:rPr>
              <w:t>603</w:t>
            </w:r>
          </w:p>
        </w:tc>
        <w:tc>
          <w:tcPr>
            <w:tcW w:w="6201" w:type="dxa"/>
          </w:tcPr>
          <w:p w:rsidR="005B78BF" w:rsidRPr="00AA31E4" w:rsidRDefault="005E78CA" w:rsidP="00D54C3C">
            <w:pPr>
              <w:jc w:val="both"/>
              <w:rPr>
                <w:rFonts w:ascii="Times New Roman" w:hAnsi="Times New Roman" w:cs="Times New Roman"/>
                <w:sz w:val="24"/>
                <w:szCs w:val="24"/>
              </w:rPr>
            </w:pPr>
            <w:r>
              <w:rPr>
                <w:rFonts w:ascii="Times New Roman" w:hAnsi="Times New Roman" w:cs="Times New Roman"/>
                <w:sz w:val="24"/>
                <w:szCs w:val="24"/>
              </w:rPr>
              <w:t xml:space="preserve">Pastebime, kad santykiams, susijusiems su parama mirties atveju, reguliuoti yra skirtas specialus įstatymas – Lietuvos </w:t>
            </w:r>
            <w:r w:rsidR="00285AE8">
              <w:rPr>
                <w:rFonts w:ascii="Times New Roman" w:hAnsi="Times New Roman" w:cs="Times New Roman"/>
                <w:sz w:val="24"/>
                <w:szCs w:val="24"/>
              </w:rPr>
              <w:t>R</w:t>
            </w:r>
            <w:r>
              <w:rPr>
                <w:rFonts w:ascii="Times New Roman" w:hAnsi="Times New Roman" w:cs="Times New Roman"/>
                <w:sz w:val="24"/>
                <w:szCs w:val="24"/>
              </w:rPr>
              <w:t>espublikos paramos mirties atveju įstatymas, kurio tikslas, be kita ko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285AE8">
              <w:rPr>
                <w:rFonts w:ascii="Times New Roman" w:hAnsi="Times New Roman" w:cs="Times New Roman"/>
                <w:sz w:val="24"/>
                <w:szCs w:val="24"/>
              </w:rPr>
              <w:t>–</w:t>
            </w:r>
            <w:r>
              <w:rPr>
                <w:rFonts w:ascii="Times New Roman" w:hAnsi="Times New Roman" w:cs="Times New Roman"/>
                <w:sz w:val="24"/>
                <w:szCs w:val="24"/>
              </w:rPr>
              <w:t xml:space="preserve"> nustatyti paramos mirties atveju rūšis, jos dydžius, asmenų, turinčių teisę gauti šią paramą, kategorijas, teikimo sąlygas, tvarką ir finansavimo šaltinius. Atsižvelgiant į tai, į Lietuvos Respublikos tikslinių kompensacijų įstatymo 1 straipsnio 2 dalyje nustatytą tikslinių kompensacijų paskirtį</w:t>
            </w:r>
            <w:r w:rsidR="00285AE8">
              <w:rPr>
                <w:rFonts w:ascii="Times New Roman" w:hAnsi="Times New Roman" w:cs="Times New Roman"/>
                <w:sz w:val="24"/>
                <w:szCs w:val="24"/>
              </w:rPr>
              <w:t> </w:t>
            </w:r>
            <w:r>
              <w:rPr>
                <w:rFonts w:ascii="Times New Roman" w:hAnsi="Times New Roman" w:cs="Times New Roman"/>
                <w:sz w:val="24"/>
                <w:szCs w:val="24"/>
              </w:rPr>
              <w:t>– kompensuoti asmens, turinčio teisę gauti tikslinę kompensaciją, išlaidas, patirtas tenkinant specialiuosius nuolatinės slaugos ar nuolatinės priežiūros (pagalbos) poreikius, į Įstatymo projekto aiškinamajame rašte Įstatymo projekto 1 straipsnio 2 dalies siūlymui pagrįsti trūkstamą informaciją, siūlytina papildomai įvertinti Įstatymo projekto 1</w:t>
            </w:r>
            <w:r w:rsidR="000C66D3">
              <w:rPr>
                <w:rFonts w:ascii="Times New Roman" w:hAnsi="Times New Roman" w:cs="Times New Roman"/>
                <w:sz w:val="24"/>
                <w:szCs w:val="24"/>
              </w:rPr>
              <w:t> </w:t>
            </w:r>
            <w:r>
              <w:rPr>
                <w:rFonts w:ascii="Times New Roman" w:hAnsi="Times New Roman" w:cs="Times New Roman"/>
                <w:sz w:val="24"/>
                <w:szCs w:val="24"/>
              </w:rPr>
              <w:t>straipsnio</w:t>
            </w:r>
            <w:r w:rsidR="00CB2E05">
              <w:rPr>
                <w:rFonts w:ascii="Times New Roman" w:hAnsi="Times New Roman" w:cs="Times New Roman"/>
                <w:sz w:val="24"/>
                <w:szCs w:val="24"/>
              </w:rPr>
              <w:t xml:space="preserve"> 2 dalimi teikiamą siūlymą ir prireikus pildyti projektą, </w:t>
            </w:r>
            <w:proofErr w:type="gramStart"/>
            <w:r w:rsidR="00CB2E05">
              <w:rPr>
                <w:rFonts w:ascii="Times New Roman" w:hAnsi="Times New Roman" w:cs="Times New Roman"/>
                <w:sz w:val="24"/>
                <w:szCs w:val="24"/>
              </w:rPr>
              <w:t>pavyzdžiui</w:t>
            </w:r>
            <w:proofErr w:type="gramEnd"/>
            <w:r w:rsidR="00CB2E05">
              <w:rPr>
                <w:rFonts w:ascii="Times New Roman" w:hAnsi="Times New Roman" w:cs="Times New Roman"/>
                <w:sz w:val="24"/>
                <w:szCs w:val="24"/>
              </w:rPr>
              <w:t xml:space="preserve"> siūlant palikti šiuo metu galiojančią atitinkamą nuostatą.</w:t>
            </w:r>
          </w:p>
        </w:tc>
        <w:tc>
          <w:tcPr>
            <w:tcW w:w="6623" w:type="dxa"/>
          </w:tcPr>
          <w:p w:rsidR="008F412F" w:rsidRPr="008F412F" w:rsidRDefault="008F412F" w:rsidP="00CB2E05">
            <w:pPr>
              <w:pStyle w:val="Paprastasistekstas"/>
              <w:jc w:val="both"/>
              <w:rPr>
                <w:rFonts w:ascii="Times New Roman" w:hAnsi="Times New Roman"/>
                <w:b/>
                <w:sz w:val="24"/>
                <w:szCs w:val="24"/>
              </w:rPr>
            </w:pPr>
            <w:r w:rsidRPr="008F412F">
              <w:rPr>
                <w:rFonts w:ascii="Times New Roman" w:hAnsi="Times New Roman"/>
                <w:b/>
                <w:sz w:val="24"/>
                <w:szCs w:val="24"/>
              </w:rPr>
              <w:t>Neatsižvelgta.</w:t>
            </w:r>
          </w:p>
          <w:p w:rsidR="005D03F3" w:rsidRDefault="00CB2E05" w:rsidP="00CB2E05">
            <w:pPr>
              <w:pStyle w:val="Paprastasistekstas"/>
              <w:jc w:val="both"/>
              <w:rPr>
                <w:rFonts w:ascii="Times New Roman" w:hAnsi="Times New Roman"/>
                <w:sz w:val="24"/>
                <w:szCs w:val="24"/>
              </w:rPr>
            </w:pPr>
            <w:r w:rsidRPr="00980F71">
              <w:rPr>
                <w:rFonts w:ascii="Times New Roman" w:hAnsi="Times New Roman"/>
                <w:sz w:val="24"/>
                <w:szCs w:val="24"/>
              </w:rPr>
              <w:t>Vienintelė sąlyga, kad tikslinės kompensacijos gavėjo mirties atveju apskaičiuot</w:t>
            </w:r>
            <w:r w:rsidR="006155C0">
              <w:rPr>
                <w:rFonts w:ascii="Times New Roman" w:hAnsi="Times New Roman"/>
                <w:sz w:val="24"/>
                <w:szCs w:val="24"/>
              </w:rPr>
              <w:t>os</w:t>
            </w:r>
            <w:r w:rsidRPr="00980F71">
              <w:rPr>
                <w:rFonts w:ascii="Times New Roman" w:hAnsi="Times New Roman"/>
                <w:sz w:val="24"/>
                <w:szCs w:val="24"/>
              </w:rPr>
              <w:t xml:space="preserve"> tikslin</w:t>
            </w:r>
            <w:r w:rsidR="006155C0">
              <w:rPr>
                <w:rFonts w:ascii="Times New Roman" w:hAnsi="Times New Roman"/>
                <w:sz w:val="24"/>
                <w:szCs w:val="24"/>
              </w:rPr>
              <w:t>ės</w:t>
            </w:r>
            <w:r w:rsidRPr="00980F71">
              <w:rPr>
                <w:rFonts w:ascii="Times New Roman" w:hAnsi="Times New Roman"/>
                <w:sz w:val="24"/>
                <w:szCs w:val="24"/>
              </w:rPr>
              <w:t xml:space="preserve"> kompensacij</w:t>
            </w:r>
            <w:r w:rsidR="006155C0">
              <w:rPr>
                <w:rFonts w:ascii="Times New Roman" w:hAnsi="Times New Roman"/>
                <w:sz w:val="24"/>
                <w:szCs w:val="24"/>
              </w:rPr>
              <w:t>os</w:t>
            </w:r>
            <w:r w:rsidRPr="00980F71">
              <w:rPr>
                <w:rFonts w:ascii="Times New Roman" w:hAnsi="Times New Roman"/>
                <w:sz w:val="24"/>
                <w:szCs w:val="24"/>
              </w:rPr>
              <w:t>, kuri jam priklausė ir kuri</w:t>
            </w:r>
            <w:r w:rsidR="00175760">
              <w:rPr>
                <w:rFonts w:ascii="Times New Roman" w:hAnsi="Times New Roman"/>
                <w:sz w:val="24"/>
                <w:szCs w:val="24"/>
              </w:rPr>
              <w:t>os</w:t>
            </w:r>
            <w:r w:rsidRPr="00980F71">
              <w:rPr>
                <w:rFonts w:ascii="Times New Roman" w:hAnsi="Times New Roman"/>
                <w:sz w:val="24"/>
                <w:szCs w:val="24"/>
              </w:rPr>
              <w:t xml:space="preserve"> dėl mirties </w:t>
            </w:r>
            <w:r w:rsidR="004752A4" w:rsidRPr="00980F71">
              <w:rPr>
                <w:rFonts w:ascii="Times New Roman" w:hAnsi="Times New Roman"/>
                <w:sz w:val="24"/>
                <w:szCs w:val="24"/>
              </w:rPr>
              <w:t xml:space="preserve">jis </w:t>
            </w:r>
            <w:r w:rsidRPr="00980F71">
              <w:rPr>
                <w:rFonts w:ascii="Times New Roman" w:hAnsi="Times New Roman"/>
                <w:sz w:val="24"/>
                <w:szCs w:val="24"/>
              </w:rPr>
              <w:t>negavo, išmokėjimas tik pateikus paveldėjimo liudijimą ir (arba) nuosavybės teisės į sutuoktin</w:t>
            </w:r>
            <w:r w:rsidR="00285AE8">
              <w:rPr>
                <w:rFonts w:ascii="Times New Roman" w:hAnsi="Times New Roman"/>
                <w:sz w:val="24"/>
                <w:szCs w:val="24"/>
              </w:rPr>
              <w:t>i</w:t>
            </w:r>
            <w:r w:rsidRPr="00980F71">
              <w:rPr>
                <w:rFonts w:ascii="Times New Roman" w:hAnsi="Times New Roman"/>
                <w:sz w:val="24"/>
                <w:szCs w:val="24"/>
              </w:rPr>
              <w:t xml:space="preserve">ų bendro turto dalį liudijimą sukelia neproporcingai didelę </w:t>
            </w:r>
            <w:r w:rsidR="00D92E6B">
              <w:rPr>
                <w:rFonts w:ascii="Times New Roman" w:hAnsi="Times New Roman"/>
                <w:sz w:val="24"/>
                <w:szCs w:val="24"/>
              </w:rPr>
              <w:t xml:space="preserve">administracinę ir finansinę </w:t>
            </w:r>
            <w:r w:rsidRPr="00980F71">
              <w:rPr>
                <w:rFonts w:ascii="Times New Roman" w:hAnsi="Times New Roman"/>
                <w:sz w:val="24"/>
                <w:szCs w:val="24"/>
              </w:rPr>
              <w:t>naštą</w:t>
            </w:r>
            <w:r w:rsidR="00D92E6B">
              <w:rPr>
                <w:rFonts w:ascii="Times New Roman" w:hAnsi="Times New Roman"/>
                <w:sz w:val="24"/>
                <w:szCs w:val="24"/>
              </w:rPr>
              <w:t xml:space="preserve"> (reikia pateikti notaro išduotą paveldėjimo liudijimą)</w:t>
            </w:r>
            <w:r w:rsidRPr="00980F71">
              <w:rPr>
                <w:rFonts w:ascii="Times New Roman" w:hAnsi="Times New Roman"/>
                <w:sz w:val="24"/>
                <w:szCs w:val="24"/>
              </w:rPr>
              <w:t xml:space="preserve"> tikslinės kompensacijos paveldėtojams, </w:t>
            </w:r>
            <w:r w:rsidR="00BD2F49" w:rsidRPr="00980F71">
              <w:rPr>
                <w:rFonts w:ascii="Times New Roman" w:hAnsi="Times New Roman"/>
                <w:sz w:val="24"/>
                <w:szCs w:val="24"/>
              </w:rPr>
              <w:t>k</w:t>
            </w:r>
            <w:r w:rsidR="00BD2F49">
              <w:rPr>
                <w:rFonts w:ascii="Times New Roman" w:hAnsi="Times New Roman"/>
                <w:sz w:val="24"/>
                <w:szCs w:val="24"/>
              </w:rPr>
              <w:t>ai</w:t>
            </w:r>
            <w:r w:rsidR="00BD2F49" w:rsidRPr="00980F71">
              <w:rPr>
                <w:rFonts w:ascii="Times New Roman" w:hAnsi="Times New Roman"/>
                <w:sz w:val="24"/>
                <w:szCs w:val="24"/>
              </w:rPr>
              <w:t xml:space="preserve"> </w:t>
            </w:r>
            <w:r w:rsidRPr="00980F71">
              <w:rPr>
                <w:rFonts w:ascii="Times New Roman" w:hAnsi="Times New Roman"/>
                <w:sz w:val="24"/>
                <w:szCs w:val="24"/>
              </w:rPr>
              <w:t>paveldėta tikslinė</w:t>
            </w:r>
            <w:r w:rsidR="000053D9">
              <w:rPr>
                <w:rFonts w:ascii="Times New Roman" w:hAnsi="Times New Roman"/>
                <w:sz w:val="24"/>
                <w:szCs w:val="24"/>
              </w:rPr>
              <w:t>s</w:t>
            </w:r>
            <w:r w:rsidRPr="00980F71">
              <w:rPr>
                <w:rFonts w:ascii="Times New Roman" w:hAnsi="Times New Roman"/>
                <w:sz w:val="24"/>
                <w:szCs w:val="24"/>
              </w:rPr>
              <w:t xml:space="preserve"> kompensacijos suma yra lygi ar </w:t>
            </w:r>
            <w:r w:rsidR="00246283">
              <w:rPr>
                <w:rFonts w:ascii="Times New Roman" w:hAnsi="Times New Roman"/>
                <w:sz w:val="24"/>
                <w:szCs w:val="24"/>
              </w:rPr>
              <w:t>nedaug</w:t>
            </w:r>
            <w:r w:rsidR="00246283" w:rsidRPr="00980F71">
              <w:rPr>
                <w:rFonts w:ascii="Times New Roman" w:hAnsi="Times New Roman"/>
                <w:sz w:val="24"/>
                <w:szCs w:val="24"/>
              </w:rPr>
              <w:t xml:space="preserve"> </w:t>
            </w:r>
            <w:r w:rsidRPr="00980F71">
              <w:rPr>
                <w:rFonts w:ascii="Times New Roman" w:hAnsi="Times New Roman"/>
                <w:sz w:val="24"/>
                <w:szCs w:val="24"/>
              </w:rPr>
              <w:t>didesnė už patirtas paveldėjimo teisės liudijimo išdavimo</w:t>
            </w:r>
            <w:r w:rsidR="000053D9" w:rsidRPr="00980F71">
              <w:rPr>
                <w:rFonts w:ascii="Times New Roman" w:hAnsi="Times New Roman"/>
                <w:sz w:val="24"/>
                <w:szCs w:val="24"/>
              </w:rPr>
              <w:t xml:space="preserve"> išlaidas</w:t>
            </w:r>
            <w:r w:rsidRPr="00980F71">
              <w:rPr>
                <w:rFonts w:ascii="Times New Roman" w:hAnsi="Times New Roman"/>
                <w:sz w:val="24"/>
                <w:szCs w:val="24"/>
              </w:rPr>
              <w:t xml:space="preserve">. </w:t>
            </w:r>
          </w:p>
          <w:p w:rsidR="005D03F3" w:rsidRDefault="00F16435" w:rsidP="00CB2E05">
            <w:pPr>
              <w:pStyle w:val="Paprastasistekstas"/>
              <w:jc w:val="both"/>
              <w:rPr>
                <w:rFonts w:ascii="Times New Roman" w:hAnsi="Times New Roman"/>
                <w:sz w:val="24"/>
                <w:szCs w:val="24"/>
              </w:rPr>
            </w:pPr>
            <w:r>
              <w:rPr>
                <w:rFonts w:ascii="Times New Roman" w:hAnsi="Times New Roman"/>
                <w:sz w:val="24"/>
                <w:szCs w:val="24"/>
              </w:rPr>
              <w:t>Atsižvelgiant į daugelio</w:t>
            </w:r>
            <w:r w:rsidR="005D03F3">
              <w:rPr>
                <w:rFonts w:ascii="Times New Roman" w:hAnsi="Times New Roman"/>
                <w:sz w:val="24"/>
                <w:szCs w:val="24"/>
              </w:rPr>
              <w:t xml:space="preserve"> tikslines kompensacijas mokančių įstaigų ir Lietuvos savivaldybių asociacijos </w:t>
            </w:r>
            <w:r>
              <w:rPr>
                <w:rFonts w:ascii="Times New Roman" w:hAnsi="Times New Roman"/>
                <w:sz w:val="24"/>
                <w:szCs w:val="24"/>
              </w:rPr>
              <w:t xml:space="preserve">išsakytą nuomonę, kad </w:t>
            </w:r>
            <w:r w:rsidRPr="00980F71">
              <w:rPr>
                <w:rFonts w:ascii="Times New Roman" w:hAnsi="Times New Roman"/>
                <w:sz w:val="24"/>
                <w:szCs w:val="24"/>
              </w:rPr>
              <w:t xml:space="preserve">tikslinės kompensacijos gavėjo mirties atveju </w:t>
            </w:r>
            <w:r w:rsidR="006155C0">
              <w:rPr>
                <w:rFonts w:ascii="Times New Roman" w:hAnsi="Times New Roman"/>
                <w:sz w:val="24"/>
                <w:szCs w:val="24"/>
              </w:rPr>
              <w:t>apskaičiuotos</w:t>
            </w:r>
            <w:r w:rsidR="005C1524">
              <w:rPr>
                <w:rFonts w:ascii="Times New Roman" w:hAnsi="Times New Roman"/>
                <w:sz w:val="24"/>
                <w:szCs w:val="24"/>
              </w:rPr>
              <w:t xml:space="preserve"> </w:t>
            </w:r>
            <w:r w:rsidRPr="00980F71">
              <w:rPr>
                <w:rFonts w:ascii="Times New Roman" w:hAnsi="Times New Roman"/>
                <w:sz w:val="24"/>
                <w:szCs w:val="24"/>
              </w:rPr>
              <w:t>tikslin</w:t>
            </w:r>
            <w:r w:rsidR="006155C0">
              <w:rPr>
                <w:rFonts w:ascii="Times New Roman" w:hAnsi="Times New Roman"/>
                <w:sz w:val="24"/>
                <w:szCs w:val="24"/>
              </w:rPr>
              <w:t>ės</w:t>
            </w:r>
            <w:r w:rsidRPr="00980F71">
              <w:rPr>
                <w:rFonts w:ascii="Times New Roman" w:hAnsi="Times New Roman"/>
                <w:sz w:val="24"/>
                <w:szCs w:val="24"/>
              </w:rPr>
              <w:t xml:space="preserve"> kompensacij</w:t>
            </w:r>
            <w:r w:rsidR="006155C0">
              <w:rPr>
                <w:rFonts w:ascii="Times New Roman" w:hAnsi="Times New Roman"/>
                <w:sz w:val="24"/>
                <w:szCs w:val="24"/>
              </w:rPr>
              <w:t>os</w:t>
            </w:r>
            <w:r w:rsidRPr="00980F71">
              <w:rPr>
                <w:rFonts w:ascii="Times New Roman" w:hAnsi="Times New Roman"/>
                <w:sz w:val="24"/>
                <w:szCs w:val="24"/>
              </w:rPr>
              <w:t xml:space="preserve">, </w:t>
            </w:r>
            <w:r w:rsidR="0060266A" w:rsidRPr="00980F71">
              <w:rPr>
                <w:rFonts w:ascii="Times New Roman" w:hAnsi="Times New Roman"/>
                <w:sz w:val="24"/>
                <w:szCs w:val="24"/>
              </w:rPr>
              <w:t>kur</w:t>
            </w:r>
            <w:r w:rsidR="0060266A">
              <w:rPr>
                <w:rFonts w:ascii="Times New Roman" w:hAnsi="Times New Roman"/>
                <w:sz w:val="24"/>
                <w:szCs w:val="24"/>
              </w:rPr>
              <w:t>i</w:t>
            </w:r>
            <w:r w:rsidR="0060266A" w:rsidRPr="00980F71">
              <w:rPr>
                <w:rFonts w:ascii="Times New Roman" w:hAnsi="Times New Roman"/>
                <w:sz w:val="24"/>
                <w:szCs w:val="24"/>
              </w:rPr>
              <w:t xml:space="preserve"> </w:t>
            </w:r>
            <w:r w:rsidR="006155C0">
              <w:rPr>
                <w:rFonts w:ascii="Times New Roman" w:hAnsi="Times New Roman"/>
                <w:sz w:val="24"/>
                <w:szCs w:val="24"/>
              </w:rPr>
              <w:t>jam priklausė ir kurios</w:t>
            </w:r>
            <w:bookmarkStart w:id="1" w:name="_GoBack"/>
            <w:bookmarkEnd w:id="1"/>
            <w:r w:rsidRPr="00980F71">
              <w:rPr>
                <w:rFonts w:ascii="Times New Roman" w:hAnsi="Times New Roman"/>
                <w:sz w:val="24"/>
                <w:szCs w:val="24"/>
              </w:rPr>
              <w:t xml:space="preserve"> jis dėl mirties negavo, išmokėjimas tik pateikus paveldėjimo liudijimą ir (arba) nuosavybės teisės į sutuoktinų bendro turto dalį liudijimą sukelia</w:t>
            </w:r>
            <w:r>
              <w:rPr>
                <w:rFonts w:ascii="Times New Roman" w:hAnsi="Times New Roman"/>
                <w:sz w:val="24"/>
                <w:szCs w:val="24"/>
              </w:rPr>
              <w:t xml:space="preserve"> jas pretenduojančių gauti asmenų nepas</w:t>
            </w:r>
            <w:r w:rsidR="002277C3">
              <w:rPr>
                <w:rFonts w:ascii="Times New Roman" w:hAnsi="Times New Roman"/>
                <w:sz w:val="24"/>
                <w:szCs w:val="24"/>
              </w:rPr>
              <w:t>itenkinimą ir papildomų</w:t>
            </w:r>
            <w:r>
              <w:rPr>
                <w:rFonts w:ascii="Times New Roman" w:hAnsi="Times New Roman"/>
                <w:sz w:val="24"/>
                <w:szCs w:val="24"/>
              </w:rPr>
              <w:t xml:space="preserve"> problemų. Dažnai neišmokėta tikslinės kompensacijos suma </w:t>
            </w:r>
            <w:r>
              <w:rPr>
                <w:rFonts w:ascii="Times New Roman" w:hAnsi="Times New Roman"/>
                <w:sz w:val="24"/>
                <w:szCs w:val="24"/>
              </w:rPr>
              <w:lastRenderedPageBreak/>
              <w:t xml:space="preserve">atitenka notarui už dokumentų tvarkymą, todėl paveldėtojas nieko nepaveldi. </w:t>
            </w:r>
            <w:r w:rsidR="0060266A">
              <w:rPr>
                <w:rFonts w:ascii="Times New Roman" w:hAnsi="Times New Roman"/>
                <w:sz w:val="24"/>
                <w:szCs w:val="24"/>
              </w:rPr>
              <w:t>Be to</w:t>
            </w:r>
            <w:r>
              <w:rPr>
                <w:rFonts w:ascii="Times New Roman" w:hAnsi="Times New Roman"/>
                <w:sz w:val="24"/>
                <w:szCs w:val="24"/>
              </w:rPr>
              <w:t>,</w:t>
            </w:r>
            <w:r w:rsidR="002277C3">
              <w:rPr>
                <w:rFonts w:ascii="Times New Roman" w:hAnsi="Times New Roman"/>
                <w:sz w:val="24"/>
                <w:szCs w:val="24"/>
              </w:rPr>
              <w:t xml:space="preserve"> daugeliu atvejų turtiniai klausimai jau būna sutvarkyti iki tikslinės kompensacijos gavėjo mirties arba </w:t>
            </w:r>
            <w:r w:rsidR="00866A62">
              <w:rPr>
                <w:rFonts w:ascii="Times New Roman" w:hAnsi="Times New Roman"/>
                <w:sz w:val="24"/>
                <w:szCs w:val="24"/>
              </w:rPr>
              <w:t xml:space="preserve">neaktualūs, nes </w:t>
            </w:r>
            <w:r w:rsidR="002277C3">
              <w:rPr>
                <w:rFonts w:ascii="Times New Roman" w:hAnsi="Times New Roman"/>
                <w:sz w:val="24"/>
                <w:szCs w:val="24"/>
              </w:rPr>
              <w:t xml:space="preserve">mirusysis neturėjo jokio turto. </w:t>
            </w:r>
          </w:p>
          <w:p w:rsidR="005B78BF" w:rsidRPr="00896C41" w:rsidRDefault="00866A62" w:rsidP="00EC029C">
            <w:pPr>
              <w:pStyle w:val="Paprastasistekstas"/>
              <w:jc w:val="both"/>
              <w:rPr>
                <w:rFonts w:ascii="Times New Roman" w:hAnsi="Times New Roman"/>
                <w:b/>
                <w:sz w:val="24"/>
                <w:szCs w:val="24"/>
              </w:rPr>
            </w:pPr>
            <w:r>
              <w:rPr>
                <w:rFonts w:ascii="Times New Roman" w:hAnsi="Times New Roman"/>
                <w:sz w:val="24"/>
                <w:szCs w:val="24"/>
              </w:rPr>
              <w:t>T</w:t>
            </w:r>
            <w:r w:rsidR="00EC029C">
              <w:rPr>
                <w:rFonts w:ascii="Times New Roman" w:hAnsi="Times New Roman"/>
                <w:sz w:val="24"/>
                <w:szCs w:val="24"/>
              </w:rPr>
              <w:t>oks teisinis reguliavimas įteisintas</w:t>
            </w:r>
            <w:r w:rsidR="00896C41" w:rsidRPr="00896C41">
              <w:rPr>
                <w:rFonts w:ascii="Times New Roman" w:hAnsi="Times New Roman"/>
                <w:sz w:val="24"/>
                <w:szCs w:val="24"/>
              </w:rPr>
              <w:t xml:space="preserve"> </w:t>
            </w:r>
            <w:r w:rsidR="00067753" w:rsidRPr="00896C41">
              <w:rPr>
                <w:rFonts w:ascii="Times New Roman" w:hAnsi="Times New Roman"/>
                <w:sz w:val="24"/>
                <w:szCs w:val="24"/>
              </w:rPr>
              <w:t>Lietuvos Res</w:t>
            </w:r>
            <w:r w:rsidR="009F6E02" w:rsidRPr="00896C41">
              <w:rPr>
                <w:rFonts w:ascii="Times New Roman" w:hAnsi="Times New Roman"/>
                <w:sz w:val="24"/>
                <w:szCs w:val="24"/>
              </w:rPr>
              <w:t xml:space="preserve">publikos </w:t>
            </w:r>
            <w:r w:rsidR="009F6E02" w:rsidRPr="00896C41">
              <w:rPr>
                <w:rFonts w:ascii="Times New Roman" w:hAnsi="Times New Roman"/>
                <w:iCs/>
                <w:sz w:val="24"/>
                <w:szCs w:val="24"/>
              </w:rPr>
              <w:t>šalpos pensijų įstatymo</w:t>
            </w:r>
            <w:r w:rsidR="009F6E02" w:rsidRPr="00896C41">
              <w:rPr>
                <w:rFonts w:ascii="Times New Roman" w:hAnsi="Times New Roman"/>
                <w:i/>
                <w:iCs/>
                <w:sz w:val="24"/>
                <w:szCs w:val="24"/>
              </w:rPr>
              <w:t xml:space="preserve"> </w:t>
            </w:r>
            <w:r w:rsidR="002351D5" w:rsidRPr="00896C41">
              <w:rPr>
                <w:rFonts w:ascii="Times New Roman" w:hAnsi="Times New Roman"/>
                <w:iCs/>
                <w:sz w:val="24"/>
                <w:szCs w:val="24"/>
              </w:rPr>
              <w:t xml:space="preserve">15 straipsnio 19 </w:t>
            </w:r>
            <w:r w:rsidR="00243A0F" w:rsidRPr="00896C41">
              <w:rPr>
                <w:rFonts w:ascii="Times New Roman" w:hAnsi="Times New Roman"/>
                <w:iCs/>
                <w:sz w:val="24"/>
                <w:szCs w:val="24"/>
              </w:rPr>
              <w:t>dal</w:t>
            </w:r>
            <w:r w:rsidR="00EC029C">
              <w:rPr>
                <w:rFonts w:ascii="Times New Roman" w:hAnsi="Times New Roman"/>
                <w:iCs/>
                <w:sz w:val="24"/>
                <w:szCs w:val="24"/>
              </w:rPr>
              <w:t>yje</w:t>
            </w:r>
            <w:r w:rsidR="00243A0F" w:rsidRPr="00896C41">
              <w:rPr>
                <w:rFonts w:ascii="Times New Roman" w:hAnsi="Times New Roman"/>
                <w:iCs/>
                <w:sz w:val="24"/>
                <w:szCs w:val="24"/>
              </w:rPr>
              <w:t>, kurioje nustatyta</w:t>
            </w:r>
            <w:r w:rsidR="002351D5" w:rsidRPr="00896C41">
              <w:rPr>
                <w:rFonts w:ascii="Times New Roman" w:hAnsi="Times New Roman"/>
                <w:iCs/>
                <w:sz w:val="24"/>
                <w:szCs w:val="24"/>
              </w:rPr>
              <w:t>, kad</w:t>
            </w:r>
            <w:r>
              <w:rPr>
                <w:rFonts w:ascii="Times New Roman" w:hAnsi="Times New Roman"/>
                <w:iCs/>
                <w:sz w:val="24"/>
                <w:szCs w:val="24"/>
              </w:rPr>
              <w:t>,</w:t>
            </w:r>
            <w:r w:rsidR="002351D5" w:rsidRPr="00896C41">
              <w:rPr>
                <w:rFonts w:ascii="Times New Roman" w:hAnsi="Times New Roman"/>
                <w:iCs/>
                <w:sz w:val="24"/>
                <w:szCs w:val="24"/>
              </w:rPr>
              <w:t xml:space="preserve"> mirus šalpos išmokos gavėjui, jį laidojusiam asmeniui, kuris pirmas kreipiasi, išmokama mirusio šalpos išmokos gavėjo negauta praėjusio mėnesio šalpos išmoka, šalpos išmoka už tą mėnesį, kurį šalpos išmokos gavėjas mirė, ir dar viena viso šalpos išmokos dydžio suma, o kitos šalpos išmokos gavėjui priklausančios apskaičiuotos šalpos išmokos sumos, kurios jam nebuvo</w:t>
            </w:r>
            <w:r w:rsidR="00896C41" w:rsidRPr="00896C41">
              <w:rPr>
                <w:rFonts w:ascii="Times New Roman" w:hAnsi="Times New Roman"/>
                <w:iCs/>
                <w:sz w:val="24"/>
                <w:szCs w:val="24"/>
              </w:rPr>
              <w:t xml:space="preserve"> išmokėtos dėl mirties, išmokam</w:t>
            </w:r>
            <w:r w:rsidR="002351D5" w:rsidRPr="00896C41">
              <w:rPr>
                <w:rFonts w:ascii="Times New Roman" w:hAnsi="Times New Roman"/>
                <w:iCs/>
                <w:sz w:val="24"/>
                <w:szCs w:val="24"/>
              </w:rPr>
              <w:t>os mirusiojo įpėdiniams, kuriems paveldėjimo tvarka pereina mirusio asmens turtas, pateikusiems paveldėjimo teisės liudijimą, ir (ar) mirusįjį pergyvenusiam sutuoktiniui, pateikusiam nuosavybės teisės į sutuoktinių bendro turto dalį liudijimą</w:t>
            </w:r>
            <w:r w:rsidR="00EC029C">
              <w:rPr>
                <w:rFonts w:ascii="Times New Roman" w:hAnsi="Times New Roman"/>
                <w:iCs/>
                <w:sz w:val="24"/>
                <w:szCs w:val="24"/>
              </w:rPr>
              <w:t>.</w:t>
            </w:r>
            <w:r w:rsidR="00896C41" w:rsidRPr="00896C41">
              <w:rPr>
                <w:rFonts w:ascii="Times New Roman" w:hAnsi="Times New Roman"/>
                <w:iCs/>
                <w:sz w:val="24"/>
                <w:szCs w:val="24"/>
              </w:rPr>
              <w:t xml:space="preserve"> </w:t>
            </w:r>
            <w:r w:rsidR="002351D5" w:rsidRPr="00896C41">
              <w:rPr>
                <w:rFonts w:ascii="Times New Roman" w:hAnsi="Times New Roman"/>
                <w:iCs/>
                <w:sz w:val="24"/>
                <w:szCs w:val="24"/>
              </w:rPr>
              <w:t xml:space="preserve"> </w:t>
            </w:r>
          </w:p>
        </w:tc>
      </w:tr>
    </w:tbl>
    <w:p w:rsidR="00AB3E8F" w:rsidRPr="00AB3E8F" w:rsidRDefault="00AB3E8F" w:rsidP="00AB3E8F">
      <w:pPr>
        <w:jc w:val="center"/>
        <w:rPr>
          <w:rFonts w:ascii="Times New Roman" w:hAnsi="Times New Roman" w:cs="Times New Roman"/>
          <w:sz w:val="24"/>
          <w:szCs w:val="24"/>
        </w:rPr>
      </w:pPr>
    </w:p>
    <w:sectPr w:rsidR="00AB3E8F" w:rsidRPr="00AB3E8F" w:rsidSect="008F412F">
      <w:headerReference w:type="default" r:id="rId6"/>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BA9" w:rsidRDefault="00551BA9" w:rsidP="008F412F">
      <w:pPr>
        <w:spacing w:after="0" w:line="240" w:lineRule="auto"/>
      </w:pPr>
      <w:r>
        <w:separator/>
      </w:r>
    </w:p>
  </w:endnote>
  <w:endnote w:type="continuationSeparator" w:id="0">
    <w:p w:rsidR="00551BA9" w:rsidRDefault="00551BA9" w:rsidP="008F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BA9" w:rsidRDefault="00551BA9" w:rsidP="008F412F">
      <w:pPr>
        <w:spacing w:after="0" w:line="240" w:lineRule="auto"/>
      </w:pPr>
      <w:r>
        <w:separator/>
      </w:r>
    </w:p>
  </w:footnote>
  <w:footnote w:type="continuationSeparator" w:id="0">
    <w:p w:rsidR="00551BA9" w:rsidRDefault="00551BA9" w:rsidP="008F41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589745"/>
      <w:docPartObj>
        <w:docPartGallery w:val="Page Numbers (Top of Page)"/>
        <w:docPartUnique/>
      </w:docPartObj>
    </w:sdtPr>
    <w:sdtEndPr/>
    <w:sdtContent>
      <w:p w:rsidR="008F412F" w:rsidRDefault="008F412F">
        <w:pPr>
          <w:pStyle w:val="Antrats"/>
          <w:jc w:val="center"/>
        </w:pPr>
        <w:r>
          <w:fldChar w:fldCharType="begin"/>
        </w:r>
        <w:r>
          <w:instrText>PAGE   \* MERGEFORMAT</w:instrText>
        </w:r>
        <w:r>
          <w:fldChar w:fldCharType="separate"/>
        </w:r>
        <w:r w:rsidR="006155C0">
          <w:rPr>
            <w:noProof/>
          </w:rPr>
          <w:t>3</w:t>
        </w:r>
        <w:r>
          <w:fldChar w:fldCharType="end"/>
        </w:r>
      </w:p>
    </w:sdtContent>
  </w:sdt>
  <w:p w:rsidR="008F412F" w:rsidRDefault="008F412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8F"/>
    <w:rsid w:val="000053D9"/>
    <w:rsid w:val="000257B6"/>
    <w:rsid w:val="00067753"/>
    <w:rsid w:val="0007626C"/>
    <w:rsid w:val="000A7E39"/>
    <w:rsid w:val="000C1978"/>
    <w:rsid w:val="000C66D3"/>
    <w:rsid w:val="00175760"/>
    <w:rsid w:val="001D5DA7"/>
    <w:rsid w:val="002277C3"/>
    <w:rsid w:val="002351D5"/>
    <w:rsid w:val="00243A0F"/>
    <w:rsid w:val="00246283"/>
    <w:rsid w:val="00251595"/>
    <w:rsid w:val="00285AE8"/>
    <w:rsid w:val="002A63B2"/>
    <w:rsid w:val="002B1007"/>
    <w:rsid w:val="002C32E1"/>
    <w:rsid w:val="0032425A"/>
    <w:rsid w:val="003325F8"/>
    <w:rsid w:val="003A002E"/>
    <w:rsid w:val="003C4B26"/>
    <w:rsid w:val="003C6F59"/>
    <w:rsid w:val="003D1ADB"/>
    <w:rsid w:val="004752A4"/>
    <w:rsid w:val="004A7451"/>
    <w:rsid w:val="004E2C56"/>
    <w:rsid w:val="00521956"/>
    <w:rsid w:val="00551BA9"/>
    <w:rsid w:val="00577FB1"/>
    <w:rsid w:val="00596D4C"/>
    <w:rsid w:val="005B78BF"/>
    <w:rsid w:val="005C1524"/>
    <w:rsid w:val="005D03F3"/>
    <w:rsid w:val="005E78CA"/>
    <w:rsid w:val="0060266A"/>
    <w:rsid w:val="006155C0"/>
    <w:rsid w:val="006261B6"/>
    <w:rsid w:val="00657A06"/>
    <w:rsid w:val="00657BF6"/>
    <w:rsid w:val="00672C05"/>
    <w:rsid w:val="006B65FD"/>
    <w:rsid w:val="00702F52"/>
    <w:rsid w:val="00727F27"/>
    <w:rsid w:val="00763CFB"/>
    <w:rsid w:val="00782087"/>
    <w:rsid w:val="007B1450"/>
    <w:rsid w:val="00804EA9"/>
    <w:rsid w:val="00866A62"/>
    <w:rsid w:val="00885D57"/>
    <w:rsid w:val="00896C41"/>
    <w:rsid w:val="008B11D6"/>
    <w:rsid w:val="008F412F"/>
    <w:rsid w:val="00945DE8"/>
    <w:rsid w:val="009C28B3"/>
    <w:rsid w:val="009F6E02"/>
    <w:rsid w:val="00A60381"/>
    <w:rsid w:val="00AA31E4"/>
    <w:rsid w:val="00AB3E8F"/>
    <w:rsid w:val="00BA2C13"/>
    <w:rsid w:val="00BD2F49"/>
    <w:rsid w:val="00C15C7F"/>
    <w:rsid w:val="00C17F6E"/>
    <w:rsid w:val="00C224B1"/>
    <w:rsid w:val="00C60BD8"/>
    <w:rsid w:val="00C612ED"/>
    <w:rsid w:val="00CB2E05"/>
    <w:rsid w:val="00D54C3C"/>
    <w:rsid w:val="00D92E6B"/>
    <w:rsid w:val="00DD4159"/>
    <w:rsid w:val="00E06DA8"/>
    <w:rsid w:val="00E14F5C"/>
    <w:rsid w:val="00E35149"/>
    <w:rsid w:val="00E54E3A"/>
    <w:rsid w:val="00E92C85"/>
    <w:rsid w:val="00EC029C"/>
    <w:rsid w:val="00EE68FC"/>
    <w:rsid w:val="00EF40A9"/>
    <w:rsid w:val="00F16435"/>
    <w:rsid w:val="00F26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E745E-FAC0-45A9-9809-1077E608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B3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92C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2C85"/>
    <w:rPr>
      <w:rFonts w:ascii="Tahoma" w:hAnsi="Tahoma" w:cs="Tahoma"/>
      <w:sz w:val="16"/>
      <w:szCs w:val="16"/>
    </w:rPr>
  </w:style>
  <w:style w:type="paragraph" w:styleId="Paprastasistekstas">
    <w:name w:val="Plain Text"/>
    <w:basedOn w:val="prastasis"/>
    <w:link w:val="PaprastasistekstasDiagrama"/>
    <w:uiPriority w:val="99"/>
    <w:unhideWhenUsed/>
    <w:rsid w:val="008B11D6"/>
    <w:pPr>
      <w:spacing w:after="0" w:line="240" w:lineRule="auto"/>
    </w:pPr>
    <w:rPr>
      <w:rFonts w:ascii="Calibri" w:eastAsia="Times New Roman" w:hAnsi="Calibri" w:cs="Times New Roman"/>
      <w:szCs w:val="21"/>
      <w:lang w:eastAsia="lt-LT"/>
    </w:rPr>
  </w:style>
  <w:style w:type="character" w:customStyle="1" w:styleId="PaprastasistekstasDiagrama">
    <w:name w:val="Paprastasis tekstas Diagrama"/>
    <w:basedOn w:val="Numatytasispastraiposriftas"/>
    <w:link w:val="Paprastasistekstas"/>
    <w:uiPriority w:val="99"/>
    <w:rsid w:val="008B11D6"/>
    <w:rPr>
      <w:rFonts w:ascii="Calibri" w:eastAsia="Times New Roman" w:hAnsi="Calibri" w:cs="Times New Roman"/>
      <w:szCs w:val="21"/>
      <w:lang w:eastAsia="lt-LT"/>
    </w:rPr>
  </w:style>
  <w:style w:type="paragraph" w:styleId="Sraopastraipa">
    <w:name w:val="List Paragraph"/>
    <w:basedOn w:val="prastasis"/>
    <w:uiPriority w:val="34"/>
    <w:qFormat/>
    <w:rsid w:val="005B78BF"/>
    <w:pPr>
      <w:ind w:left="720"/>
      <w:contextualSpacing/>
    </w:pPr>
  </w:style>
  <w:style w:type="character" w:styleId="Komentaronuoroda">
    <w:name w:val="annotation reference"/>
    <w:basedOn w:val="Numatytasispastraiposriftas"/>
    <w:uiPriority w:val="99"/>
    <w:semiHidden/>
    <w:unhideWhenUsed/>
    <w:rsid w:val="00804EA9"/>
    <w:rPr>
      <w:sz w:val="16"/>
      <w:szCs w:val="16"/>
    </w:rPr>
  </w:style>
  <w:style w:type="paragraph" w:styleId="Komentarotekstas">
    <w:name w:val="annotation text"/>
    <w:basedOn w:val="prastasis"/>
    <w:link w:val="KomentarotekstasDiagrama"/>
    <w:uiPriority w:val="99"/>
    <w:semiHidden/>
    <w:unhideWhenUsed/>
    <w:rsid w:val="00804EA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04EA9"/>
    <w:rPr>
      <w:sz w:val="20"/>
      <w:szCs w:val="20"/>
    </w:rPr>
  </w:style>
  <w:style w:type="paragraph" w:styleId="Komentarotema">
    <w:name w:val="annotation subject"/>
    <w:basedOn w:val="Komentarotekstas"/>
    <w:next w:val="Komentarotekstas"/>
    <w:link w:val="KomentarotemaDiagrama"/>
    <w:uiPriority w:val="99"/>
    <w:semiHidden/>
    <w:unhideWhenUsed/>
    <w:rsid w:val="00804EA9"/>
    <w:rPr>
      <w:b/>
      <w:bCs/>
    </w:rPr>
  </w:style>
  <w:style w:type="character" w:customStyle="1" w:styleId="KomentarotemaDiagrama">
    <w:name w:val="Komentaro tema Diagrama"/>
    <w:basedOn w:val="KomentarotekstasDiagrama"/>
    <w:link w:val="Komentarotema"/>
    <w:uiPriority w:val="99"/>
    <w:semiHidden/>
    <w:rsid w:val="00804EA9"/>
    <w:rPr>
      <w:b/>
      <w:bCs/>
      <w:sz w:val="20"/>
      <w:szCs w:val="20"/>
    </w:rPr>
  </w:style>
  <w:style w:type="paragraph" w:styleId="Antrats">
    <w:name w:val="header"/>
    <w:basedOn w:val="prastasis"/>
    <w:link w:val="AntratsDiagrama"/>
    <w:uiPriority w:val="99"/>
    <w:unhideWhenUsed/>
    <w:rsid w:val="008F41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F412F"/>
  </w:style>
  <w:style w:type="paragraph" w:styleId="Porat">
    <w:name w:val="footer"/>
    <w:basedOn w:val="prastasis"/>
    <w:link w:val="PoratDiagrama"/>
    <w:uiPriority w:val="99"/>
    <w:unhideWhenUsed/>
    <w:rsid w:val="008F41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F4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303822">
      <w:bodyDiv w:val="1"/>
      <w:marLeft w:val="0"/>
      <w:marRight w:val="0"/>
      <w:marTop w:val="0"/>
      <w:marBottom w:val="0"/>
      <w:divBdr>
        <w:top w:val="none" w:sz="0" w:space="0" w:color="auto"/>
        <w:left w:val="none" w:sz="0" w:space="0" w:color="auto"/>
        <w:bottom w:val="none" w:sz="0" w:space="0" w:color="auto"/>
        <w:right w:val="none" w:sz="0" w:space="0" w:color="auto"/>
      </w:divBdr>
      <w:divsChild>
        <w:div w:id="981691367">
          <w:marLeft w:val="0"/>
          <w:marRight w:val="0"/>
          <w:marTop w:val="0"/>
          <w:marBottom w:val="0"/>
          <w:divBdr>
            <w:top w:val="none" w:sz="0" w:space="0" w:color="auto"/>
            <w:left w:val="none" w:sz="0" w:space="0" w:color="auto"/>
            <w:bottom w:val="none" w:sz="0" w:space="0" w:color="auto"/>
            <w:right w:val="none" w:sz="0" w:space="0" w:color="auto"/>
          </w:divBdr>
          <w:divsChild>
            <w:div w:id="186873272">
              <w:marLeft w:val="0"/>
              <w:marRight w:val="0"/>
              <w:marTop w:val="0"/>
              <w:marBottom w:val="0"/>
              <w:divBdr>
                <w:top w:val="none" w:sz="0" w:space="0" w:color="auto"/>
                <w:left w:val="none" w:sz="0" w:space="0" w:color="auto"/>
                <w:bottom w:val="none" w:sz="0" w:space="0" w:color="auto"/>
                <w:right w:val="none" w:sz="0" w:space="0" w:color="auto"/>
              </w:divBdr>
              <w:divsChild>
                <w:div w:id="1562399733">
                  <w:marLeft w:val="0"/>
                  <w:marRight w:val="0"/>
                  <w:marTop w:val="0"/>
                  <w:marBottom w:val="0"/>
                  <w:divBdr>
                    <w:top w:val="none" w:sz="0" w:space="0" w:color="auto"/>
                    <w:left w:val="none" w:sz="0" w:space="0" w:color="auto"/>
                    <w:bottom w:val="none" w:sz="0" w:space="0" w:color="auto"/>
                    <w:right w:val="none" w:sz="0" w:space="0" w:color="auto"/>
                  </w:divBdr>
                  <w:divsChild>
                    <w:div w:id="922833001">
                      <w:marLeft w:val="0"/>
                      <w:marRight w:val="0"/>
                      <w:marTop w:val="0"/>
                      <w:marBottom w:val="0"/>
                      <w:divBdr>
                        <w:top w:val="none" w:sz="0" w:space="0" w:color="auto"/>
                        <w:left w:val="none" w:sz="0" w:space="0" w:color="auto"/>
                        <w:bottom w:val="none" w:sz="0" w:space="0" w:color="auto"/>
                        <w:right w:val="none" w:sz="0" w:space="0" w:color="auto"/>
                      </w:divBdr>
                      <w:divsChild>
                        <w:div w:id="8393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9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5225</Words>
  <Characters>2979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2019-06-28T05:05:00Z</dcterms:created>
  <dc:creator>Jurgita Čiuladaitė-Pritulskienė</dc:creator>
  <cp:lastModifiedBy>Jurgita Čiuladaitė-Pritulskienė</cp:lastModifiedBy>
  <cp:lastPrinted>2019-06-06T05:05:00Z</cp:lastPrinted>
  <dcterms:modified xsi:type="dcterms:W3CDTF">2019-06-28T06:34:00Z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