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22" w:rsidRPr="00186E8B" w:rsidRDefault="00355B22" w:rsidP="00355B22">
      <w:pPr>
        <w:jc w:val="center"/>
        <w:rPr>
          <w:b/>
        </w:rPr>
      </w:pPr>
      <w:r w:rsidRPr="00186E8B">
        <w:rPr>
          <w:b/>
          <w:lang w:eastAsia="lt-LT"/>
        </w:rPr>
        <w:t>Valstybei svarbaus projekto (toliau – projektas) įgyvendinimo ataskaitos forma</w:t>
      </w:r>
    </w:p>
    <w:p w:rsidR="00355B22" w:rsidRDefault="00355B22" w:rsidP="00355B22"/>
    <w:p w:rsidR="00355B22" w:rsidRDefault="00355B22" w:rsidP="00355B22"/>
    <w:tbl>
      <w:tblPr>
        <w:tblStyle w:val="Lentelstinklelis"/>
        <w:tblW w:w="0" w:type="auto"/>
        <w:tblLook w:val="04A0" w:firstRow="1" w:lastRow="0" w:firstColumn="1" w:lastColumn="0" w:noHBand="0" w:noVBand="1"/>
      </w:tblPr>
      <w:tblGrid>
        <w:gridCol w:w="9629"/>
      </w:tblGrid>
      <w:tr w:rsidR="00355B22" w:rsidRPr="00E47835" w:rsidTr="007B02EB">
        <w:tc>
          <w:tcPr>
            <w:tcW w:w="9629" w:type="dxa"/>
          </w:tcPr>
          <w:p w:rsidR="00355B22" w:rsidRPr="00E47835" w:rsidRDefault="00355B22" w:rsidP="007B02EB">
            <w:pPr>
              <w:rPr>
                <w:b/>
              </w:rPr>
            </w:pPr>
            <w:r w:rsidRPr="00E47835">
              <w:rPr>
                <w:b/>
              </w:rPr>
              <w:t>Projekto pavadinimas:</w:t>
            </w:r>
          </w:p>
          <w:p w:rsidR="00355B22" w:rsidRPr="00C64D2C" w:rsidRDefault="00355B22" w:rsidP="007B02EB">
            <w:r w:rsidRPr="00C64D2C">
              <w:rPr>
                <w:szCs w:val="24"/>
              </w:rPr>
              <w:t xml:space="preserve">Vilniaus koncertų ir sporto rūmų rekonstrukcijos ir pritaikymo kongresams, konferencijoms ir </w:t>
            </w:r>
            <w:r>
              <w:rPr>
                <w:szCs w:val="24"/>
              </w:rPr>
              <w:t xml:space="preserve">kultūriniams renginiams projektas (toliau – </w:t>
            </w:r>
            <w:r w:rsidRPr="00677280">
              <w:rPr>
                <w:szCs w:val="24"/>
              </w:rPr>
              <w:t>V</w:t>
            </w:r>
            <w:r>
              <w:rPr>
                <w:szCs w:val="24"/>
              </w:rPr>
              <w:t>ilniaus kongresų centro projektas)</w:t>
            </w:r>
          </w:p>
        </w:tc>
      </w:tr>
      <w:tr w:rsidR="00355B22" w:rsidRPr="00E47835" w:rsidTr="007B02EB">
        <w:tc>
          <w:tcPr>
            <w:tcW w:w="9629" w:type="dxa"/>
          </w:tcPr>
          <w:p w:rsidR="00355B22" w:rsidRPr="00E47835" w:rsidRDefault="00355B22" w:rsidP="007B02EB">
            <w:pPr>
              <w:rPr>
                <w:b/>
              </w:rPr>
            </w:pPr>
            <w:r w:rsidRPr="00E47835">
              <w:rPr>
                <w:b/>
              </w:rPr>
              <w:t>Atsakinga ministerija:</w:t>
            </w:r>
            <w:r>
              <w:rPr>
                <w:b/>
              </w:rPr>
              <w:t xml:space="preserve"> </w:t>
            </w:r>
            <w:r w:rsidRPr="00C64D2C">
              <w:t>Lietuvos Respublikos finansų ministerija</w:t>
            </w:r>
          </w:p>
        </w:tc>
      </w:tr>
      <w:tr w:rsidR="00355B22" w:rsidRPr="00E47835" w:rsidTr="007B02EB">
        <w:tc>
          <w:tcPr>
            <w:tcW w:w="9629" w:type="dxa"/>
          </w:tcPr>
          <w:p w:rsidR="00355B22" w:rsidRPr="00E47835" w:rsidRDefault="00355B22" w:rsidP="007B02EB">
            <w:pPr>
              <w:rPr>
                <w:b/>
              </w:rPr>
            </w:pPr>
            <w:r w:rsidRPr="00E47835">
              <w:rPr>
                <w:b/>
              </w:rPr>
              <w:t>Projekto vykdytojas:</w:t>
            </w:r>
            <w:r>
              <w:rPr>
                <w:b/>
              </w:rPr>
              <w:t xml:space="preserve">  </w:t>
            </w:r>
            <w:r w:rsidRPr="00145DC2">
              <w:rPr>
                <w:szCs w:val="24"/>
              </w:rPr>
              <w:t>VĮ Turto bankas</w:t>
            </w:r>
          </w:p>
        </w:tc>
      </w:tr>
      <w:tr w:rsidR="00355B22" w:rsidRPr="00E47835" w:rsidTr="007B02EB">
        <w:tc>
          <w:tcPr>
            <w:tcW w:w="9629" w:type="dxa"/>
          </w:tcPr>
          <w:p w:rsidR="00355B22" w:rsidRPr="00E47835" w:rsidRDefault="00355B22" w:rsidP="007B02EB">
            <w:pPr>
              <w:rPr>
                <w:b/>
              </w:rPr>
            </w:pPr>
            <w:r w:rsidRPr="00E47835">
              <w:rPr>
                <w:b/>
              </w:rPr>
              <w:t>Projekto tikslas:</w:t>
            </w:r>
          </w:p>
          <w:p w:rsidR="00355B22" w:rsidRPr="00E47835" w:rsidRDefault="00355B22" w:rsidP="007B02EB">
            <w:r w:rsidRPr="0014001D">
              <w:rPr>
                <w:szCs w:val="24"/>
              </w:rPr>
              <w:t>Įrengti naują kongresų, konferencijų ir kultūrinių renginių centrą, skatinti ir plėtoti dalykinį (konferencinį) turizmą, siekiant padidinti Lietuvos konkurencingumą ir žinomumą bei sudarant sąlygas pritraukti investicijas</w:t>
            </w:r>
            <w:r>
              <w:rPr>
                <w:szCs w:val="24"/>
              </w:rPr>
              <w:t>.</w:t>
            </w:r>
          </w:p>
        </w:tc>
      </w:tr>
      <w:tr w:rsidR="00355B22" w:rsidRPr="00E47835" w:rsidTr="007B02EB">
        <w:tc>
          <w:tcPr>
            <w:tcW w:w="9629" w:type="dxa"/>
          </w:tcPr>
          <w:p w:rsidR="00355B22" w:rsidRPr="00E47835" w:rsidRDefault="00355B22" w:rsidP="007B02EB">
            <w:r w:rsidRPr="00E47835">
              <w:rPr>
                <w:b/>
              </w:rPr>
              <w:t xml:space="preserve">Projekto įgyvendinimo terminai, </w:t>
            </w:r>
            <w:r w:rsidRPr="00E47835">
              <w:t>planiniai</w:t>
            </w:r>
            <w:r>
              <w:t xml:space="preserve"> </w:t>
            </w:r>
            <w:r w:rsidRPr="00E47835">
              <w:t>/</w:t>
            </w:r>
            <w:r>
              <w:t xml:space="preserve"> </w:t>
            </w:r>
            <w:r w:rsidRPr="00E47835">
              <w:t>faktiniai</w:t>
            </w:r>
            <w:r w:rsidRPr="00E47835">
              <w:rPr>
                <w:b/>
              </w:rPr>
              <w:t xml:space="preserve"> </w:t>
            </w:r>
            <w:r w:rsidRPr="00E47835">
              <w:t>(galutinis ir, jeigu yra, etapų – nustatyti Vyriausybės nutarime dėl projekto pripažinimo valstybei svarbiu ir (ar) projekto sutartyje):</w:t>
            </w:r>
          </w:p>
          <w:p w:rsidR="00355B22" w:rsidRPr="001904A6" w:rsidRDefault="00355B22" w:rsidP="007B02EB">
            <w:pPr>
              <w:rPr>
                <w:b/>
              </w:rPr>
            </w:pPr>
            <w:r w:rsidRPr="001904A6">
              <w:rPr>
                <w:b/>
              </w:rPr>
              <w:t>Projekto įgyvendinimo terminas – 2021 m.</w:t>
            </w:r>
          </w:p>
        </w:tc>
      </w:tr>
      <w:tr w:rsidR="00355B22" w:rsidRPr="00E47835" w:rsidTr="007B02EB">
        <w:tc>
          <w:tcPr>
            <w:tcW w:w="9629" w:type="dxa"/>
          </w:tcPr>
          <w:p w:rsidR="00355B22" w:rsidRPr="00E47835" w:rsidRDefault="00355B22" w:rsidP="007B02EB">
            <w:r w:rsidRPr="00E47835">
              <w:rPr>
                <w:b/>
              </w:rPr>
              <w:t xml:space="preserve">Projekto įgyvendinimo rezultatai ir jų rodikliai, </w:t>
            </w:r>
            <w:r w:rsidRPr="00E47835">
              <w:t>planiniai</w:t>
            </w:r>
            <w:r>
              <w:t xml:space="preserve"> </w:t>
            </w:r>
            <w:r w:rsidRPr="00E47835">
              <w:t>/</w:t>
            </w:r>
            <w:r>
              <w:t xml:space="preserve"> </w:t>
            </w:r>
            <w:r w:rsidRPr="00E47835">
              <w:t>faktiniai (galutiniai ir, jeigu yra, etapų – nustatyti Vyriausybės nutarime dėl projekto pripažinimo valstybei svarbiu ir (ar) projekto sutartyje):</w:t>
            </w:r>
          </w:p>
          <w:p w:rsidR="00355B22" w:rsidRDefault="00355B22" w:rsidP="007B02EB">
            <w:pPr>
              <w:rPr>
                <w:szCs w:val="24"/>
              </w:rPr>
            </w:pPr>
            <w:r>
              <w:rPr>
                <w:szCs w:val="24"/>
              </w:rPr>
              <w:t>P</w:t>
            </w:r>
            <w:r w:rsidRPr="00145DC2">
              <w:rPr>
                <w:szCs w:val="24"/>
              </w:rPr>
              <w:t>rojektas yra pripažintas valstybei svarbiu ekonominiu projektu Vyriausybės 2015 m. birželio 9 d. nutarimu Nr. 597 „Dėl Vilniaus koncertų ir sporto rūmų rekonstrukcijos ir pritaikymo kongresams, konferencijoms ir kultūriniams renginiams projekto pripažinimo valstybei svarbiu ekonominiu projektu“</w:t>
            </w:r>
            <w:r>
              <w:rPr>
                <w:szCs w:val="24"/>
              </w:rPr>
              <w:t>.</w:t>
            </w:r>
          </w:p>
          <w:p w:rsidR="00355B22" w:rsidRDefault="00355B22" w:rsidP="007B02EB">
            <w:pPr>
              <w:rPr>
                <w:szCs w:val="24"/>
              </w:rPr>
            </w:pPr>
            <w:r w:rsidRPr="00145DC2">
              <w:rPr>
                <w:szCs w:val="24"/>
              </w:rPr>
              <w:t>Nutarimo 1 priede nustatyti projekto rezultatai:</w:t>
            </w:r>
          </w:p>
          <w:p w:rsidR="00355B22" w:rsidRDefault="00355B22" w:rsidP="007B02EB">
            <w:pPr>
              <w:rPr>
                <w:szCs w:val="24"/>
              </w:rPr>
            </w:pPr>
            <w:r w:rsidRPr="00145DC2">
              <w:rPr>
                <w:szCs w:val="24"/>
              </w:rPr>
              <w:t xml:space="preserve">1) </w:t>
            </w:r>
            <w:r>
              <w:rPr>
                <w:szCs w:val="24"/>
              </w:rPr>
              <w:t>į</w:t>
            </w:r>
            <w:r w:rsidRPr="00145DC2">
              <w:rPr>
                <w:szCs w:val="24"/>
              </w:rPr>
              <w:t xml:space="preserve">rengtas naujas kongresų, konferencijų ir kultūrinių renginių centras, rekonstruojant įsigytą valstybės nuosavybėn Vilniaus koncertų ir sporto rūmų pastatą (vietų skaičius), </w:t>
            </w:r>
            <w:r>
              <w:rPr>
                <w:szCs w:val="24"/>
              </w:rPr>
              <w:t>rodiklis – ne mažiau kaip 2 500</w:t>
            </w:r>
            <w:r w:rsidRPr="00145DC2">
              <w:rPr>
                <w:szCs w:val="24"/>
              </w:rPr>
              <w:t xml:space="preserve">; </w:t>
            </w:r>
          </w:p>
          <w:p w:rsidR="00355B22" w:rsidRDefault="00355B22" w:rsidP="007B02EB">
            <w:pPr>
              <w:rPr>
                <w:szCs w:val="24"/>
              </w:rPr>
            </w:pPr>
            <w:r w:rsidRPr="00145DC2">
              <w:rPr>
                <w:szCs w:val="24"/>
              </w:rPr>
              <w:t xml:space="preserve">2) </w:t>
            </w:r>
            <w:r>
              <w:rPr>
                <w:szCs w:val="24"/>
              </w:rPr>
              <w:t>t</w:t>
            </w:r>
            <w:r w:rsidRPr="00145DC2">
              <w:rPr>
                <w:szCs w:val="24"/>
              </w:rPr>
              <w:t xml:space="preserve">arptautinių konferencijų ir kongresų skaičius per metus, rodiklis – ne mažiau kaip 10; </w:t>
            </w:r>
          </w:p>
          <w:p w:rsidR="00355B22" w:rsidRDefault="00355B22" w:rsidP="007B02EB">
            <w:pPr>
              <w:rPr>
                <w:szCs w:val="24"/>
              </w:rPr>
            </w:pPr>
            <w:r w:rsidRPr="00145DC2">
              <w:rPr>
                <w:szCs w:val="24"/>
              </w:rPr>
              <w:t xml:space="preserve">3) </w:t>
            </w:r>
            <w:r>
              <w:rPr>
                <w:szCs w:val="24"/>
              </w:rPr>
              <w:t>k</w:t>
            </w:r>
            <w:r w:rsidRPr="00145DC2">
              <w:rPr>
                <w:szCs w:val="24"/>
              </w:rPr>
              <w:t xml:space="preserve">oncertų ir kitų kultūrinių  renginių skaičius per metus, rodiklis – ne mažiau kaip 10; </w:t>
            </w:r>
          </w:p>
          <w:p w:rsidR="00355B22" w:rsidRPr="00E47835" w:rsidRDefault="00355B22" w:rsidP="007B02EB">
            <w:r w:rsidRPr="00145DC2">
              <w:rPr>
                <w:szCs w:val="24"/>
              </w:rPr>
              <w:t xml:space="preserve">4) </w:t>
            </w:r>
            <w:r>
              <w:rPr>
                <w:szCs w:val="24"/>
              </w:rPr>
              <w:t>r</w:t>
            </w:r>
            <w:r w:rsidRPr="00145DC2">
              <w:rPr>
                <w:szCs w:val="24"/>
              </w:rPr>
              <w:t>enginių dalyvių (įskaitant dalyvius iš užsienio valstybių) skaičius per metus, rodiklis – ne mažiau kaip 15 000. Paskutinių trijų rezultatų pasiekimo terminas – pradedant nuo 2022</w:t>
            </w:r>
            <w:r w:rsidRPr="00145DC2">
              <w:rPr>
                <w:b/>
                <w:bCs/>
                <w:szCs w:val="24"/>
              </w:rPr>
              <w:t xml:space="preserve"> </w:t>
            </w:r>
            <w:r w:rsidRPr="00145DC2">
              <w:rPr>
                <w:szCs w:val="24"/>
              </w:rPr>
              <w:t>metų.</w:t>
            </w:r>
          </w:p>
        </w:tc>
      </w:tr>
      <w:tr w:rsidR="00355B22" w:rsidRPr="00E47835" w:rsidTr="007B02EB">
        <w:tc>
          <w:tcPr>
            <w:tcW w:w="9629" w:type="dxa"/>
          </w:tcPr>
          <w:p w:rsidR="00355B22" w:rsidRPr="00E47835" w:rsidRDefault="00355B22" w:rsidP="007B02EB">
            <w:pPr>
              <w:rPr>
                <w:b/>
              </w:rPr>
            </w:pPr>
            <w:r w:rsidRPr="00E47835">
              <w:rPr>
                <w:b/>
              </w:rPr>
              <w:t xml:space="preserve">Projekto investicijų vertė, </w:t>
            </w:r>
            <w:r w:rsidRPr="00E47835">
              <w:t>planinė</w:t>
            </w:r>
            <w:r>
              <w:t xml:space="preserve"> </w:t>
            </w:r>
            <w:r w:rsidRPr="00E47835">
              <w:t>/</w:t>
            </w:r>
            <w:r>
              <w:t xml:space="preserve"> </w:t>
            </w:r>
            <w:r w:rsidRPr="00E47835">
              <w:t>faktinė</w:t>
            </w:r>
            <w:r w:rsidRPr="00E47835">
              <w:rPr>
                <w:b/>
              </w:rPr>
              <w:t>:</w:t>
            </w:r>
          </w:p>
          <w:p w:rsidR="00355B22" w:rsidRPr="00E47835" w:rsidRDefault="00355B22" w:rsidP="007B02EB">
            <w:r>
              <w:t xml:space="preserve">Preliminari </w:t>
            </w:r>
            <w:r w:rsidRPr="00677280">
              <w:rPr>
                <w:szCs w:val="24"/>
              </w:rPr>
              <w:t>Vilniaus kongresų centro projekto</w:t>
            </w:r>
            <w:r>
              <w:rPr>
                <w:szCs w:val="24"/>
              </w:rPr>
              <w:t xml:space="preserve"> vertė – 28,3 mln. EUR</w:t>
            </w:r>
          </w:p>
        </w:tc>
      </w:tr>
      <w:tr w:rsidR="00355B22" w:rsidRPr="00E47835" w:rsidTr="007B02EB">
        <w:tc>
          <w:tcPr>
            <w:tcW w:w="9629" w:type="dxa"/>
          </w:tcPr>
          <w:p w:rsidR="00355B22" w:rsidRPr="00E47835" w:rsidRDefault="00355B22" w:rsidP="007B02EB">
            <w:r w:rsidRPr="00E47835">
              <w:rPr>
                <w:b/>
              </w:rPr>
              <w:t xml:space="preserve">Projekto įgyvendinimo priemonės, </w:t>
            </w:r>
            <w:r w:rsidRPr="00E47835">
              <w:t>planinės</w:t>
            </w:r>
            <w:r>
              <w:t xml:space="preserve"> </w:t>
            </w:r>
            <w:r w:rsidRPr="00E47835">
              <w:t>/</w:t>
            </w:r>
            <w:r>
              <w:t xml:space="preserve"> </w:t>
            </w:r>
            <w:r w:rsidRPr="00E47835">
              <w:t>faktinės</w:t>
            </w:r>
            <w:r w:rsidRPr="00E47835">
              <w:rPr>
                <w:b/>
              </w:rPr>
              <w:t xml:space="preserve"> </w:t>
            </w:r>
            <w:r w:rsidRPr="00E47835">
              <w:t>(kurias projekto vykdytojas sutartimi su ministerija įsipareigojo nustatytu laiku ir apimtimi įvykdyti įgyvendindamas projektą):</w:t>
            </w:r>
          </w:p>
          <w:p w:rsidR="00355B22" w:rsidRPr="00E47835" w:rsidRDefault="00355B22" w:rsidP="007B02EB">
            <w:r>
              <w:t>Sutartyje yra numatytas Vilniaus kongresų centro projekto veiksmų atlikimo grafikas, pagal kurį nustatytais terminais VĮ Turto bankas turi atlikti tam tikrus veiksmus ir per 5 d. kiekvienam ketvirčiui pasibaigus turi informuoti Finansų ministerija.</w:t>
            </w:r>
          </w:p>
        </w:tc>
      </w:tr>
      <w:tr w:rsidR="00355B22" w:rsidRPr="00E47835" w:rsidTr="007B02EB">
        <w:tc>
          <w:tcPr>
            <w:tcW w:w="9629" w:type="dxa"/>
          </w:tcPr>
          <w:p w:rsidR="00355B22" w:rsidRPr="00E47835" w:rsidRDefault="00355B22" w:rsidP="007B02EB">
            <w:r w:rsidRPr="00E47835">
              <w:rPr>
                <w:b/>
              </w:rPr>
              <w:t xml:space="preserve">Projekto įgyvendinimo metu numatomos taikyti įstatymais ir kitais teisės aktais nustatytos konkrečios lengvatos, jų taikymo sąlygos, </w:t>
            </w:r>
            <w:r w:rsidRPr="00E47835">
              <w:t>nustatytos</w:t>
            </w:r>
            <w:r>
              <w:t xml:space="preserve"> </w:t>
            </w:r>
            <w:r w:rsidRPr="00E47835">
              <w:t>/</w:t>
            </w:r>
            <w:r>
              <w:t xml:space="preserve"> </w:t>
            </w:r>
            <w:r w:rsidRPr="00E47835">
              <w:t>suteiktos</w:t>
            </w:r>
            <w:r w:rsidRPr="00E47835">
              <w:rPr>
                <w:b/>
              </w:rPr>
              <w:t>:</w:t>
            </w:r>
          </w:p>
          <w:p w:rsidR="00355B22" w:rsidRPr="00E47835" w:rsidRDefault="00355B22" w:rsidP="007B02EB"/>
        </w:tc>
      </w:tr>
      <w:tr w:rsidR="00355B22" w:rsidRPr="00E47835" w:rsidTr="007B02EB">
        <w:tc>
          <w:tcPr>
            <w:tcW w:w="9629" w:type="dxa"/>
          </w:tcPr>
          <w:p w:rsidR="00355B22" w:rsidRPr="00E47835" w:rsidRDefault="00355B22" w:rsidP="007B02EB">
            <w:r w:rsidRPr="00E47835">
              <w:rPr>
                <w:b/>
              </w:rPr>
              <w:t>Projekto įgyvendinimo eiga</w:t>
            </w:r>
            <w:r w:rsidRPr="00E47835">
              <w:t xml:space="preserve"> (apibendrina</w:t>
            </w:r>
            <w:r>
              <w:t>mojo</w:t>
            </w:r>
            <w:r w:rsidRPr="00E47835">
              <w:t xml:space="preserve"> pobūdžio informacija):</w:t>
            </w:r>
          </w:p>
          <w:p w:rsidR="00355B22" w:rsidRPr="00145DC2" w:rsidRDefault="00355B22" w:rsidP="007B02EB">
            <w:pPr>
              <w:tabs>
                <w:tab w:val="left" w:pos="-720"/>
                <w:tab w:val="left" w:pos="0"/>
                <w:tab w:val="left" w:pos="720"/>
                <w:tab w:val="left" w:pos="1440"/>
                <w:tab w:val="left" w:pos="2160"/>
                <w:tab w:val="left" w:pos="2880"/>
                <w:tab w:val="left" w:pos="3600"/>
                <w:tab w:val="left" w:pos="4320"/>
              </w:tabs>
              <w:autoSpaceDE w:val="0"/>
              <w:autoSpaceDN w:val="0"/>
              <w:adjustRightInd w:val="0"/>
              <w:spacing w:line="300" w:lineRule="atLeast"/>
              <w:ind w:firstLine="709"/>
              <w:rPr>
                <w:i/>
                <w:color w:val="000000"/>
                <w:szCs w:val="24"/>
                <w:u w:val="single"/>
              </w:rPr>
            </w:pPr>
            <w:r w:rsidRPr="00145DC2">
              <w:rPr>
                <w:i/>
                <w:color w:val="000000"/>
                <w:szCs w:val="24"/>
                <w:u w:val="single"/>
              </w:rPr>
              <w:t xml:space="preserve">Įgyvendinant </w:t>
            </w:r>
            <w:r w:rsidRPr="00721327">
              <w:rPr>
                <w:i/>
                <w:color w:val="000000"/>
                <w:szCs w:val="24"/>
                <w:u w:val="single"/>
              </w:rPr>
              <w:t xml:space="preserve">Vilniaus kongresų centro </w:t>
            </w:r>
            <w:r w:rsidRPr="00145DC2">
              <w:rPr>
                <w:i/>
                <w:color w:val="000000"/>
                <w:szCs w:val="24"/>
                <w:u w:val="single"/>
              </w:rPr>
              <w:t>projektą atlikti svarbiausi darbai:</w:t>
            </w:r>
          </w:p>
          <w:p w:rsidR="00355B22" w:rsidRPr="00145DC2" w:rsidRDefault="00355B22" w:rsidP="00355B22">
            <w:pPr>
              <w:pStyle w:val="Betarp"/>
              <w:numPr>
                <w:ilvl w:val="0"/>
                <w:numId w:val="1"/>
              </w:numPr>
              <w:tabs>
                <w:tab w:val="left" w:pos="1134"/>
              </w:tabs>
              <w:spacing w:line="300" w:lineRule="atLeast"/>
              <w:ind w:left="0" w:firstLine="709"/>
              <w:jc w:val="both"/>
            </w:pPr>
            <w:r w:rsidRPr="00145DC2">
              <w:t>VĮ Turto bankas 2015 m. rugsėjo 29 d. už 5600 tūkst. eurų įsigijo valstybės nuosavybėn Vilniaus koncertų ir sporto rūmų pastatų kompleksą Vilniuje, Rinktinės g. 1, reikalingą Vilniaus kongresų centro projektui įgyvendinti;</w:t>
            </w:r>
          </w:p>
          <w:p w:rsidR="00355B22" w:rsidRPr="00145DC2" w:rsidRDefault="00355B22" w:rsidP="00355B22">
            <w:pPr>
              <w:pStyle w:val="Betarp"/>
              <w:numPr>
                <w:ilvl w:val="0"/>
                <w:numId w:val="1"/>
              </w:numPr>
              <w:tabs>
                <w:tab w:val="left" w:pos="1134"/>
              </w:tabs>
              <w:spacing w:line="300" w:lineRule="atLeast"/>
              <w:ind w:left="0" w:firstLine="709"/>
              <w:jc w:val="both"/>
            </w:pPr>
            <w:r w:rsidRPr="00145DC2">
              <w:t>EK pritarė valstybės pagalbos schemai</w:t>
            </w:r>
            <w:r>
              <w:t xml:space="preserve"> </w:t>
            </w:r>
            <w:r w:rsidRPr="00145DC2">
              <w:t>– Vilniaus kongresų centro projektas – Lietuva;</w:t>
            </w:r>
          </w:p>
          <w:p w:rsidR="00355B22" w:rsidRPr="00145DC2" w:rsidRDefault="00355B22" w:rsidP="00355B22">
            <w:pPr>
              <w:pStyle w:val="Betarp"/>
              <w:numPr>
                <w:ilvl w:val="0"/>
                <w:numId w:val="1"/>
              </w:numPr>
              <w:tabs>
                <w:tab w:val="left" w:pos="1134"/>
              </w:tabs>
              <w:spacing w:line="300" w:lineRule="atLeast"/>
              <w:ind w:left="0" w:firstLine="709"/>
              <w:jc w:val="both"/>
            </w:pPr>
            <w:r w:rsidRPr="00145DC2">
              <w:t>atlikta pastato konstrukcijų techninė ekspertizė, atliktas pastato energijos vartojimo auditas, atlikti pastato teritorijos geofiziniai tyrimai, parengtas investicinis projektas. Taip pat atlikti kiti darbai: gautos pastato architektūrinės sąlygos, kultūros paveldo objekto tvarkybos darbų sąlygos, perregistruotas statybos leidimas, parengta teritorijos topografinė nuotrauka ir kt.;</w:t>
            </w:r>
          </w:p>
          <w:p w:rsidR="00355B22" w:rsidRPr="00145DC2" w:rsidRDefault="00355B22" w:rsidP="00355B22">
            <w:pPr>
              <w:pStyle w:val="Betarp"/>
              <w:numPr>
                <w:ilvl w:val="0"/>
                <w:numId w:val="1"/>
              </w:numPr>
              <w:tabs>
                <w:tab w:val="left" w:pos="1134"/>
              </w:tabs>
              <w:spacing w:line="300" w:lineRule="atLeast"/>
              <w:ind w:left="0" w:firstLine="709"/>
              <w:jc w:val="both"/>
            </w:pPr>
            <w:r w:rsidRPr="00145DC2">
              <w:lastRenderedPageBreak/>
              <w:t xml:space="preserve">pastato rekonstrukcijos sprendiniai buvo derinami su Europos žydų kapinių išsaugojimo komitetu (Vilniaus koncertų ir sporto rūmai yra buvusioje Vilniaus žydų Šnipiškių senųjų kapinių teritorijoje), kuris pritarė Vilniaus kongresų centro </w:t>
            </w:r>
            <w:r>
              <w:t xml:space="preserve">projekto </w:t>
            </w:r>
            <w:proofErr w:type="spellStart"/>
            <w:r>
              <w:t>priešprojektiniams</w:t>
            </w:r>
            <w:proofErr w:type="spellEnd"/>
            <w:r>
              <w:t xml:space="preserve"> pasiūlymams;</w:t>
            </w:r>
          </w:p>
          <w:p w:rsidR="00355B22" w:rsidRDefault="00355B22" w:rsidP="00355B22">
            <w:pPr>
              <w:pStyle w:val="Sraopastraipa"/>
              <w:numPr>
                <w:ilvl w:val="0"/>
                <w:numId w:val="1"/>
              </w:numPr>
              <w:tabs>
                <w:tab w:val="left" w:pos="1134"/>
              </w:tabs>
              <w:spacing w:line="300" w:lineRule="atLeast"/>
              <w:ind w:left="0" w:firstLine="709"/>
              <w:jc w:val="both"/>
              <w:rPr>
                <w:szCs w:val="24"/>
              </w:rPr>
            </w:pPr>
            <w:r>
              <w:rPr>
                <w:szCs w:val="24"/>
              </w:rPr>
              <w:t xml:space="preserve">parengtas </w:t>
            </w:r>
            <w:r w:rsidRPr="00145DC2">
              <w:t>Vilniaus kongresų centro</w:t>
            </w:r>
            <w:r>
              <w:rPr>
                <w:szCs w:val="24"/>
              </w:rPr>
              <w:t xml:space="preserve"> projekto įgyvendinimo modelis, parengti techninio projekto parengimo viešojo pirkimo dokumentai;</w:t>
            </w:r>
          </w:p>
          <w:p w:rsidR="00355B22" w:rsidRPr="00145DC2" w:rsidRDefault="00355B22" w:rsidP="00355B22">
            <w:pPr>
              <w:pStyle w:val="Sraopastraipa"/>
              <w:numPr>
                <w:ilvl w:val="0"/>
                <w:numId w:val="1"/>
              </w:numPr>
              <w:tabs>
                <w:tab w:val="left" w:pos="1134"/>
              </w:tabs>
              <w:spacing w:line="300" w:lineRule="atLeast"/>
              <w:ind w:left="0" w:firstLine="709"/>
              <w:jc w:val="both"/>
              <w:rPr>
                <w:szCs w:val="24"/>
              </w:rPr>
            </w:pPr>
            <w:r>
              <w:rPr>
                <w:szCs w:val="24"/>
              </w:rPr>
              <w:t>2018 m. kovo mėn. įvykdytas viešasis paslaugų pirkimas operatoriaus atrankos dokumentams parengti.</w:t>
            </w:r>
          </w:p>
          <w:p w:rsidR="00355B22" w:rsidRPr="00E47835" w:rsidRDefault="00355B22" w:rsidP="007B02EB"/>
        </w:tc>
      </w:tr>
      <w:tr w:rsidR="00355B22" w:rsidRPr="00E47835" w:rsidTr="007B02EB">
        <w:tc>
          <w:tcPr>
            <w:tcW w:w="9629" w:type="dxa"/>
          </w:tcPr>
          <w:p w:rsidR="00355B22" w:rsidRDefault="00355B22" w:rsidP="007B02EB">
            <w:pPr>
              <w:rPr>
                <w:b/>
              </w:rPr>
            </w:pPr>
            <w:r w:rsidRPr="00E47835">
              <w:rPr>
                <w:b/>
              </w:rPr>
              <w:lastRenderedPageBreak/>
              <w:t xml:space="preserve">Siūlymai dėl projekto </w:t>
            </w:r>
            <w:r>
              <w:rPr>
                <w:b/>
              </w:rPr>
              <w:t xml:space="preserve">įgyvendinimo </w:t>
            </w:r>
            <w:r w:rsidRPr="00E47835">
              <w:rPr>
                <w:b/>
              </w:rPr>
              <w:t>/</w:t>
            </w:r>
            <w:r>
              <w:rPr>
                <w:b/>
              </w:rPr>
              <w:t xml:space="preserve"> </w:t>
            </w:r>
            <w:r w:rsidRPr="00E47835">
              <w:rPr>
                <w:b/>
              </w:rPr>
              <w:t>statuso reikalingumo:</w:t>
            </w:r>
            <w:r>
              <w:rPr>
                <w:b/>
              </w:rPr>
              <w:t xml:space="preserve"> </w:t>
            </w:r>
          </w:p>
          <w:p w:rsidR="00355B22" w:rsidRPr="00E47835" w:rsidRDefault="00355B22" w:rsidP="007B02EB">
            <w:pPr>
              <w:rPr>
                <w:b/>
              </w:rPr>
            </w:pPr>
            <w:r>
              <w:t>Projektas įgyvendinimo stadijoje ir šio projekto statuso nutraukti netikslinga.</w:t>
            </w:r>
          </w:p>
        </w:tc>
      </w:tr>
    </w:tbl>
    <w:p w:rsidR="00355B22" w:rsidRDefault="00355B22" w:rsidP="00355B22"/>
    <w:p w:rsidR="00355B22" w:rsidRDefault="00355B22"/>
    <w:p w:rsidR="00355B22" w:rsidRDefault="00355B22" w:rsidP="00355B22">
      <w:pPr>
        <w:jc w:val="center"/>
      </w:pPr>
      <w:r>
        <w:t>__________</w:t>
      </w:r>
      <w:bookmarkStart w:id="0" w:name="_GoBack"/>
      <w:bookmarkEnd w:id="0"/>
    </w:p>
    <w:sectPr w:rsidR="00355B22" w:rsidSect="002422D1">
      <w:headerReference w:type="default" r:id="rId7"/>
      <w:pgSz w:w="11906" w:h="16838" w:code="9"/>
      <w:pgMar w:top="1418" w:right="566"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E7" w:rsidRDefault="00604DE7" w:rsidP="00604DE7">
      <w:r>
        <w:separator/>
      </w:r>
    </w:p>
  </w:endnote>
  <w:endnote w:type="continuationSeparator" w:id="0">
    <w:p w:rsidR="00604DE7" w:rsidRDefault="00604DE7" w:rsidP="0060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E7" w:rsidRDefault="00604DE7" w:rsidP="00604DE7">
      <w:r>
        <w:separator/>
      </w:r>
    </w:p>
  </w:footnote>
  <w:footnote w:type="continuationSeparator" w:id="0">
    <w:p w:rsidR="00604DE7" w:rsidRDefault="00604DE7" w:rsidP="0060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901615"/>
      <w:docPartObj>
        <w:docPartGallery w:val="Page Numbers (Top of Page)"/>
        <w:docPartUnique/>
      </w:docPartObj>
    </w:sdtPr>
    <w:sdtContent>
      <w:p w:rsidR="00604DE7" w:rsidRDefault="00604DE7">
        <w:pPr>
          <w:pStyle w:val="Antrats"/>
          <w:jc w:val="center"/>
        </w:pPr>
        <w:r>
          <w:fldChar w:fldCharType="begin"/>
        </w:r>
        <w:r>
          <w:instrText>PAGE   \* MERGEFORMAT</w:instrText>
        </w:r>
        <w:r>
          <w:fldChar w:fldCharType="separate"/>
        </w:r>
        <w:r>
          <w:rPr>
            <w:noProof/>
          </w:rPr>
          <w:t>2</w:t>
        </w:r>
        <w:r>
          <w:fldChar w:fldCharType="end"/>
        </w:r>
      </w:p>
    </w:sdtContent>
  </w:sdt>
  <w:p w:rsidR="00604DE7" w:rsidRDefault="00604D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707E4"/>
    <w:multiLevelType w:val="hybridMultilevel"/>
    <w:tmpl w:val="FB4C2F28"/>
    <w:lvl w:ilvl="0" w:tplc="3FE00354">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22"/>
    <w:rsid w:val="002422D1"/>
    <w:rsid w:val="00355B22"/>
    <w:rsid w:val="005B7582"/>
    <w:rsid w:val="00604DE7"/>
    <w:rsid w:val="00F1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FCA6"/>
  <w15:chartTrackingRefBased/>
  <w15:docId w15:val="{9BAEE4EB-AB8D-4238-B4D5-3DCBF04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B2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5B22"/>
    <w:pPr>
      <w:ind w:left="720"/>
      <w:contextualSpacing/>
      <w:jc w:val="left"/>
    </w:pPr>
    <w:rPr>
      <w:lang w:eastAsia="lt-LT"/>
    </w:rPr>
  </w:style>
  <w:style w:type="paragraph" w:styleId="Betarp">
    <w:name w:val="No Spacing"/>
    <w:basedOn w:val="prastasis"/>
    <w:uiPriority w:val="1"/>
    <w:qFormat/>
    <w:rsid w:val="00355B22"/>
    <w:pPr>
      <w:jc w:val="left"/>
    </w:pPr>
    <w:rPr>
      <w:szCs w:val="24"/>
      <w:lang w:eastAsia="lt-LT"/>
    </w:rPr>
  </w:style>
  <w:style w:type="paragraph" w:styleId="Antrats">
    <w:name w:val="header"/>
    <w:basedOn w:val="prastasis"/>
    <w:link w:val="AntratsDiagrama"/>
    <w:uiPriority w:val="99"/>
    <w:unhideWhenUsed/>
    <w:rsid w:val="00604DE7"/>
    <w:pPr>
      <w:tabs>
        <w:tab w:val="center" w:pos="4819"/>
        <w:tab w:val="right" w:pos="9638"/>
      </w:tabs>
    </w:pPr>
  </w:style>
  <w:style w:type="character" w:customStyle="1" w:styleId="AntratsDiagrama">
    <w:name w:val="Antraštės Diagrama"/>
    <w:basedOn w:val="Numatytasispastraiposriftas"/>
    <w:link w:val="Antrats"/>
    <w:uiPriority w:val="99"/>
    <w:rsid w:val="00604D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04DE7"/>
    <w:pPr>
      <w:tabs>
        <w:tab w:val="center" w:pos="4819"/>
        <w:tab w:val="right" w:pos="9638"/>
      </w:tabs>
    </w:pPr>
  </w:style>
  <w:style w:type="character" w:customStyle="1" w:styleId="PoratDiagrama">
    <w:name w:val="Poraštė Diagrama"/>
    <w:basedOn w:val="Numatytasispastraiposriftas"/>
    <w:link w:val="Porat"/>
    <w:uiPriority w:val="99"/>
    <w:rsid w:val="00604D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2678</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u m</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Pasakarnis Virginijus</dc:creator>
  <cp:keywords/>
  <dc:description/>
  <cp:lastModifiedBy>Pasakarnis Virginijus</cp:lastModifiedBy>
  <cp:revision>3</cp:revision>
  <dcterms:created xsi:type="dcterms:W3CDTF">2018-05-02T10:10:00Z</dcterms:created>
  <dcterms:modified xsi:type="dcterms:W3CDTF">2018-05-02T10:12:00Z</dcterms:modified>
</cp:coreProperties>
</file>