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D5E" w:rsidRDefault="00ED0642" w:rsidP="00FD1D5E">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r>
        <w:rPr>
          <w:rFonts w:ascii="Times New Roman" w:eastAsia="Times New Roman" w:hAnsi="Times New Roman" w:cs="Times New Roman"/>
          <w:b/>
          <w:bCs/>
          <w:caps/>
          <w:kern w:val="3"/>
          <w:sz w:val="24"/>
          <w:szCs w:val="24"/>
          <w:lang w:val="en-US" w:eastAsia="zh-CN"/>
        </w:rPr>
        <w:t>DERINIMO PAŽYMA</w:t>
      </w:r>
    </w:p>
    <w:p w:rsidR="00FD1D5E" w:rsidRPr="00492FE6" w:rsidRDefault="00FD1D5E" w:rsidP="00571C71">
      <w:pPr>
        <w:spacing w:after="0" w:line="240" w:lineRule="auto"/>
        <w:jc w:val="center"/>
        <w:rPr>
          <w:rFonts w:ascii="Times New Roman" w:eastAsia="Times New Roman" w:hAnsi="Times New Roman" w:cs="Times New Roman"/>
          <w:b/>
          <w:bCs/>
          <w:caps/>
          <w:kern w:val="3"/>
          <w:sz w:val="24"/>
          <w:szCs w:val="24"/>
          <w:lang w:eastAsia="zh-CN"/>
        </w:rPr>
      </w:pPr>
      <w:bookmarkStart w:id="0" w:name="_Hlk513734621"/>
      <w:r>
        <w:rPr>
          <w:rFonts w:ascii="Times New Roman" w:eastAsia="Times New Roman" w:hAnsi="Times New Roman" w:cs="Times New Roman"/>
          <w:b/>
          <w:bCs/>
          <w:caps/>
          <w:kern w:val="3"/>
          <w:sz w:val="24"/>
          <w:szCs w:val="24"/>
          <w:lang w:val="en-US" w:eastAsia="zh-CN"/>
        </w:rPr>
        <w:t xml:space="preserve">DĖL </w:t>
      </w:r>
      <w:bookmarkEnd w:id="0"/>
      <w:r w:rsidR="00571C71" w:rsidRPr="00571C71">
        <w:rPr>
          <w:rFonts w:ascii="Times New Roman" w:eastAsia="Times New Roman" w:hAnsi="Times New Roman" w:cs="Times New Roman"/>
          <w:b/>
          <w:bCs/>
          <w:caps/>
          <w:kern w:val="3"/>
          <w:sz w:val="24"/>
          <w:szCs w:val="24"/>
          <w:lang w:eastAsia="zh-CN"/>
        </w:rPr>
        <w:t>Lietuvos Respublikos vartotojų teisių apsaugos įstatymo Nr. I-657 12, 22, 22</w:t>
      </w:r>
      <w:r w:rsidR="00571C71" w:rsidRPr="00571C71">
        <w:rPr>
          <w:rFonts w:ascii="Times New Roman" w:eastAsia="Times New Roman" w:hAnsi="Times New Roman" w:cs="Times New Roman"/>
          <w:b/>
          <w:bCs/>
          <w:caps/>
          <w:kern w:val="3"/>
          <w:sz w:val="24"/>
          <w:szCs w:val="24"/>
          <w:vertAlign w:val="superscript"/>
          <w:lang w:eastAsia="zh-CN"/>
        </w:rPr>
        <w:t>2</w:t>
      </w:r>
      <w:r w:rsidR="00571C71" w:rsidRPr="00571C71">
        <w:rPr>
          <w:rFonts w:ascii="Times New Roman" w:eastAsia="Times New Roman" w:hAnsi="Times New Roman" w:cs="Times New Roman"/>
          <w:b/>
          <w:bCs/>
          <w:caps/>
          <w:kern w:val="3"/>
          <w:sz w:val="24"/>
          <w:szCs w:val="24"/>
          <w:lang w:eastAsia="zh-CN"/>
        </w:rPr>
        <w:t>, 22</w:t>
      </w:r>
      <w:r w:rsidR="00571C71" w:rsidRPr="00571C71">
        <w:rPr>
          <w:rFonts w:ascii="Times New Roman" w:eastAsia="Times New Roman" w:hAnsi="Times New Roman" w:cs="Times New Roman"/>
          <w:b/>
          <w:bCs/>
          <w:caps/>
          <w:kern w:val="3"/>
          <w:sz w:val="24"/>
          <w:szCs w:val="24"/>
          <w:vertAlign w:val="superscript"/>
          <w:lang w:eastAsia="zh-CN"/>
        </w:rPr>
        <w:t>5</w:t>
      </w:r>
      <w:r w:rsidR="00571C71" w:rsidRPr="00571C71">
        <w:rPr>
          <w:rFonts w:ascii="Times New Roman" w:eastAsia="Times New Roman" w:hAnsi="Times New Roman" w:cs="Times New Roman"/>
          <w:b/>
          <w:bCs/>
          <w:caps/>
          <w:kern w:val="3"/>
          <w:sz w:val="24"/>
          <w:szCs w:val="24"/>
          <w:lang w:eastAsia="zh-CN"/>
        </w:rPr>
        <w:t>, 23, 23</w:t>
      </w:r>
      <w:r w:rsidR="00571C71" w:rsidRPr="00571C71">
        <w:rPr>
          <w:rFonts w:ascii="Times New Roman" w:eastAsia="Times New Roman" w:hAnsi="Times New Roman" w:cs="Times New Roman"/>
          <w:b/>
          <w:bCs/>
          <w:caps/>
          <w:kern w:val="3"/>
          <w:sz w:val="24"/>
          <w:szCs w:val="24"/>
          <w:vertAlign w:val="superscript"/>
          <w:lang w:eastAsia="zh-CN"/>
        </w:rPr>
        <w:t>3</w:t>
      </w:r>
      <w:r w:rsidR="00571C71" w:rsidRPr="00571C71">
        <w:rPr>
          <w:rFonts w:ascii="Times New Roman" w:eastAsia="Times New Roman" w:hAnsi="Times New Roman" w:cs="Times New Roman"/>
          <w:b/>
          <w:bCs/>
          <w:caps/>
          <w:kern w:val="3"/>
          <w:sz w:val="24"/>
          <w:szCs w:val="24"/>
          <w:lang w:eastAsia="zh-CN"/>
        </w:rPr>
        <w:t>, 25, 27, 28, 29</w:t>
      </w:r>
      <w:r w:rsidR="00571C71" w:rsidRPr="00571C71">
        <w:rPr>
          <w:rFonts w:ascii="Times New Roman" w:eastAsia="Times New Roman" w:hAnsi="Times New Roman" w:cs="Times New Roman"/>
          <w:b/>
          <w:bCs/>
          <w:caps/>
          <w:kern w:val="3"/>
          <w:sz w:val="24"/>
          <w:szCs w:val="24"/>
          <w:vertAlign w:val="superscript"/>
          <w:lang w:eastAsia="zh-CN"/>
        </w:rPr>
        <w:t>3</w:t>
      </w:r>
      <w:r w:rsidR="00571C71" w:rsidRPr="00571C71">
        <w:rPr>
          <w:rFonts w:ascii="Times New Roman" w:eastAsia="Times New Roman" w:hAnsi="Times New Roman" w:cs="Times New Roman"/>
          <w:b/>
          <w:bCs/>
          <w:caps/>
          <w:kern w:val="3"/>
          <w:sz w:val="24"/>
          <w:szCs w:val="24"/>
          <w:lang w:eastAsia="zh-CN"/>
        </w:rPr>
        <w:t>, 32, 40 straipsnių</w:t>
      </w:r>
      <w:r w:rsidR="007E1264">
        <w:rPr>
          <w:rFonts w:ascii="Times New Roman" w:eastAsia="Times New Roman" w:hAnsi="Times New Roman" w:cs="Times New Roman"/>
          <w:b/>
          <w:bCs/>
          <w:caps/>
          <w:kern w:val="3"/>
          <w:sz w:val="24"/>
          <w:szCs w:val="24"/>
          <w:lang w:eastAsia="zh-CN"/>
        </w:rPr>
        <w:t>, priedo</w:t>
      </w:r>
      <w:r w:rsidR="00571C71" w:rsidRPr="00571C71">
        <w:rPr>
          <w:rFonts w:ascii="Times New Roman" w:eastAsia="Times New Roman" w:hAnsi="Times New Roman" w:cs="Times New Roman"/>
          <w:b/>
          <w:bCs/>
          <w:caps/>
          <w:kern w:val="3"/>
          <w:sz w:val="24"/>
          <w:szCs w:val="24"/>
          <w:lang w:eastAsia="zh-CN"/>
        </w:rPr>
        <w:t xml:space="preserve"> pakeitimo ir įstatymo papildymo 35</w:t>
      </w:r>
      <w:r w:rsidR="00571C71" w:rsidRPr="00571C71">
        <w:rPr>
          <w:rFonts w:ascii="Times New Roman" w:eastAsia="Times New Roman" w:hAnsi="Times New Roman" w:cs="Times New Roman"/>
          <w:b/>
          <w:bCs/>
          <w:caps/>
          <w:kern w:val="3"/>
          <w:sz w:val="24"/>
          <w:szCs w:val="24"/>
          <w:vertAlign w:val="superscript"/>
          <w:lang w:eastAsia="zh-CN"/>
        </w:rPr>
        <w:t>1</w:t>
      </w:r>
      <w:r w:rsidR="00571C71" w:rsidRPr="00571C71">
        <w:rPr>
          <w:rFonts w:ascii="Times New Roman" w:eastAsia="Times New Roman" w:hAnsi="Times New Roman" w:cs="Times New Roman"/>
          <w:b/>
          <w:bCs/>
          <w:caps/>
          <w:kern w:val="3"/>
          <w:sz w:val="24"/>
          <w:szCs w:val="24"/>
          <w:lang w:eastAsia="zh-CN"/>
        </w:rPr>
        <w:t> ir 35</w:t>
      </w:r>
      <w:r w:rsidR="00571C71" w:rsidRPr="00571C71">
        <w:rPr>
          <w:rFonts w:ascii="Times New Roman" w:eastAsia="Times New Roman" w:hAnsi="Times New Roman" w:cs="Times New Roman"/>
          <w:b/>
          <w:bCs/>
          <w:caps/>
          <w:kern w:val="3"/>
          <w:sz w:val="24"/>
          <w:szCs w:val="24"/>
          <w:vertAlign w:val="superscript"/>
          <w:lang w:eastAsia="zh-CN"/>
        </w:rPr>
        <w:t>2</w:t>
      </w:r>
      <w:r w:rsidR="00571C71">
        <w:rPr>
          <w:rFonts w:ascii="Times New Roman" w:eastAsia="Times New Roman" w:hAnsi="Times New Roman" w:cs="Times New Roman"/>
          <w:b/>
          <w:bCs/>
          <w:caps/>
          <w:kern w:val="3"/>
          <w:sz w:val="24"/>
          <w:szCs w:val="24"/>
          <w:lang w:eastAsia="zh-CN"/>
        </w:rPr>
        <w:t> straipsniais įstatymo projektO</w:t>
      </w:r>
    </w:p>
    <w:p w:rsidR="00FD1D5E" w:rsidRPr="00492FE6" w:rsidRDefault="00FD1D5E" w:rsidP="00FD1D5E">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eastAsia="zh-CN"/>
        </w:rPr>
      </w:pPr>
    </w:p>
    <w:tbl>
      <w:tblPr>
        <w:tblStyle w:val="Lentelstinklelis"/>
        <w:tblW w:w="0" w:type="auto"/>
        <w:tblLook w:val="04A0" w:firstRow="1" w:lastRow="0" w:firstColumn="1" w:lastColumn="0" w:noHBand="0" w:noVBand="1"/>
      </w:tblPr>
      <w:tblGrid>
        <w:gridCol w:w="572"/>
        <w:gridCol w:w="1668"/>
        <w:gridCol w:w="6196"/>
        <w:gridCol w:w="5557"/>
      </w:tblGrid>
      <w:tr w:rsidR="006D6811" w:rsidRPr="00835D10" w:rsidTr="004B2FA2">
        <w:tc>
          <w:tcPr>
            <w:tcW w:w="0" w:type="auto"/>
          </w:tcPr>
          <w:p w:rsidR="00FD1D5E" w:rsidRPr="00036DE4" w:rsidRDefault="00FD1D5E" w:rsidP="002E6C10">
            <w:pPr>
              <w:tabs>
                <w:tab w:val="left" w:pos="449"/>
              </w:tabs>
              <w:spacing w:after="80" w:line="264" w:lineRule="auto"/>
              <w:jc w:val="center"/>
              <w:rPr>
                <w:rFonts w:ascii="Times New Roman" w:hAnsi="Times New Roman" w:cs="Times New Roman"/>
                <w:bCs/>
              </w:rPr>
            </w:pPr>
            <w:r w:rsidRPr="00036DE4">
              <w:rPr>
                <w:rFonts w:ascii="Times New Roman" w:hAnsi="Times New Roman" w:cs="Times New Roman"/>
                <w:bCs/>
              </w:rPr>
              <w:t>Eil. Nr.</w:t>
            </w:r>
          </w:p>
        </w:tc>
        <w:tc>
          <w:tcPr>
            <w:tcW w:w="0" w:type="auto"/>
          </w:tcPr>
          <w:p w:rsidR="00FD1D5E" w:rsidRPr="00036DE4" w:rsidRDefault="00FD1D5E" w:rsidP="00160C0D">
            <w:pPr>
              <w:tabs>
                <w:tab w:val="left" w:pos="449"/>
              </w:tabs>
              <w:spacing w:after="80"/>
              <w:jc w:val="center"/>
              <w:rPr>
                <w:rFonts w:ascii="Times New Roman" w:hAnsi="Times New Roman" w:cs="Times New Roman"/>
              </w:rPr>
            </w:pPr>
            <w:r w:rsidRPr="00036DE4">
              <w:rPr>
                <w:rFonts w:ascii="Times New Roman" w:hAnsi="Times New Roman" w:cs="Times New Roman"/>
                <w:bCs/>
              </w:rPr>
              <w:t>Institucija, pateikusi pastabas ir pasiūlymus</w:t>
            </w:r>
          </w:p>
        </w:tc>
        <w:tc>
          <w:tcPr>
            <w:tcW w:w="0" w:type="auto"/>
          </w:tcPr>
          <w:p w:rsidR="00FD1D5E" w:rsidRPr="00036DE4" w:rsidRDefault="00FD1D5E" w:rsidP="00614D4E">
            <w:pPr>
              <w:tabs>
                <w:tab w:val="left" w:pos="449"/>
              </w:tabs>
              <w:spacing w:after="80"/>
              <w:jc w:val="center"/>
              <w:rPr>
                <w:rFonts w:ascii="Times New Roman" w:hAnsi="Times New Roman" w:cs="Times New Roman"/>
              </w:rPr>
            </w:pPr>
            <w:r w:rsidRPr="00036DE4">
              <w:rPr>
                <w:rFonts w:ascii="Times New Roman" w:eastAsia="Times New Roman" w:hAnsi="Times New Roman" w:cs="Times New Roman"/>
              </w:rPr>
              <w:t>Pastabos ir pasiūlymai</w:t>
            </w:r>
          </w:p>
        </w:tc>
        <w:tc>
          <w:tcPr>
            <w:tcW w:w="0" w:type="auto"/>
          </w:tcPr>
          <w:p w:rsidR="00FD1D5E" w:rsidRPr="00036DE4" w:rsidRDefault="00FD1D5E" w:rsidP="002E6C10">
            <w:pPr>
              <w:spacing w:line="276" w:lineRule="auto"/>
              <w:jc w:val="center"/>
              <w:rPr>
                <w:rFonts w:ascii="Times New Roman" w:hAnsi="Times New Roman" w:cs="Times New Roman"/>
                <w:b/>
              </w:rPr>
            </w:pPr>
            <w:r w:rsidRPr="00036DE4">
              <w:rPr>
                <w:rFonts w:ascii="Times New Roman" w:eastAsia="Times New Roman" w:hAnsi="Times New Roman" w:cs="Times New Roman"/>
              </w:rPr>
              <w:t>Pastabų ir pasiūlymų įvertinimas</w:t>
            </w:r>
          </w:p>
        </w:tc>
      </w:tr>
      <w:tr w:rsidR="006D6811" w:rsidRPr="00835D10" w:rsidTr="004B2FA2">
        <w:tc>
          <w:tcPr>
            <w:tcW w:w="0" w:type="auto"/>
          </w:tcPr>
          <w:p w:rsidR="006E7B10" w:rsidRPr="00036DE4" w:rsidRDefault="00163C24" w:rsidP="002E6C10">
            <w:pPr>
              <w:autoSpaceDE w:val="0"/>
              <w:autoSpaceDN w:val="0"/>
              <w:adjustRightInd w:val="0"/>
              <w:spacing w:line="264" w:lineRule="auto"/>
              <w:rPr>
                <w:rFonts w:ascii="Times New Roman" w:hAnsi="Times New Roman" w:cs="Times New Roman"/>
                <w:bCs/>
              </w:rPr>
            </w:pPr>
            <w:r>
              <w:rPr>
                <w:rFonts w:ascii="Times New Roman" w:hAnsi="Times New Roman" w:cs="Times New Roman"/>
                <w:bCs/>
              </w:rPr>
              <w:t>1</w:t>
            </w:r>
            <w:r w:rsidR="001B1FCA" w:rsidRPr="00036DE4">
              <w:rPr>
                <w:rFonts w:ascii="Times New Roman" w:hAnsi="Times New Roman" w:cs="Times New Roman"/>
                <w:bCs/>
              </w:rPr>
              <w:t>.</w:t>
            </w:r>
          </w:p>
        </w:tc>
        <w:tc>
          <w:tcPr>
            <w:tcW w:w="0" w:type="auto"/>
          </w:tcPr>
          <w:p w:rsidR="00571C71" w:rsidRPr="00036DE4" w:rsidRDefault="00571C71" w:rsidP="00571C71">
            <w:pPr>
              <w:rPr>
                <w:rFonts w:ascii="Times New Roman" w:hAnsi="Times New Roman" w:cs="Times New Roman"/>
              </w:rPr>
            </w:pPr>
            <w:r w:rsidRPr="00036DE4">
              <w:rPr>
                <w:rFonts w:ascii="Times New Roman" w:hAnsi="Times New Roman" w:cs="Times New Roman"/>
              </w:rPr>
              <w:t xml:space="preserve">Valstybinė vartotojų teisių apsaugos tarnyba </w:t>
            </w:r>
          </w:p>
          <w:p w:rsidR="006E7B10" w:rsidRPr="00036DE4" w:rsidRDefault="00571C71" w:rsidP="00571C71">
            <w:pPr>
              <w:rPr>
                <w:rFonts w:ascii="Times New Roman" w:hAnsi="Times New Roman" w:cs="Times New Roman"/>
              </w:rPr>
            </w:pPr>
            <w:r w:rsidRPr="00036DE4">
              <w:rPr>
                <w:rFonts w:ascii="Times New Roman" w:hAnsi="Times New Roman" w:cs="Times New Roman"/>
              </w:rPr>
              <w:t>2020-08-17 raštas Nr. 4E-21332</w:t>
            </w:r>
          </w:p>
        </w:tc>
        <w:tc>
          <w:tcPr>
            <w:tcW w:w="0" w:type="auto"/>
          </w:tcPr>
          <w:p w:rsidR="00492FE6" w:rsidRPr="00036DE4" w:rsidRDefault="00492FE6" w:rsidP="00492FE6">
            <w:pPr>
              <w:pStyle w:val="Komentarotekstas"/>
              <w:jc w:val="both"/>
              <w:rPr>
                <w:sz w:val="22"/>
                <w:szCs w:val="22"/>
              </w:rPr>
            </w:pPr>
            <w:r w:rsidRPr="00036DE4">
              <w:rPr>
                <w:sz w:val="22"/>
                <w:szCs w:val="22"/>
              </w:rPr>
              <w:t>Siūloma apsvarstyti galimybę praplėsti vartojimo ginčus ne teismo tvarka nagrinėjančių institucijų sąrašą, į jį įtraukiant Lietuvos transporto saugos administraciją bei Valstybinę teritorijų planavimo ir statybos inspekciją prie Aplinkos ministerijos.</w:t>
            </w:r>
          </w:p>
          <w:p w:rsidR="00492FE6" w:rsidRPr="00036DE4" w:rsidRDefault="00492FE6" w:rsidP="00492FE6">
            <w:pPr>
              <w:pStyle w:val="Sraopastraipa"/>
              <w:ind w:left="0"/>
              <w:jc w:val="both"/>
              <w:rPr>
                <w:rFonts w:ascii="Times New Roman" w:hAnsi="Times New Roman" w:cs="Times New Roman"/>
              </w:rPr>
            </w:pPr>
            <w:r w:rsidRPr="00036DE4">
              <w:rPr>
                <w:rFonts w:ascii="Times New Roman" w:hAnsi="Times New Roman" w:cs="Times New Roman"/>
              </w:rPr>
              <w:t xml:space="preserve">Pažymėtina, kad šiuo metu Lietuvos transporto saugos administracija atlieka transporto priemonių techninio aptarnavimo ir remonto paslaugų kontrolę ir Valstybinei vartotojų teisių apsaugos tarnybai nagrinėjant ne teismo tvarka minėto pobūdžio ginčus teikia išvadas dėl transporto priemonių remonto paslaugų kokybės. </w:t>
            </w:r>
            <w:r w:rsidR="006A595E">
              <w:rPr>
                <w:rFonts w:ascii="Times New Roman" w:hAnsi="Times New Roman" w:cs="Times New Roman"/>
              </w:rPr>
              <w:t>Į</w:t>
            </w:r>
            <w:r w:rsidRPr="00A01790">
              <w:rPr>
                <w:rFonts w:ascii="Times New Roman" w:hAnsi="Times New Roman" w:cs="Times New Roman"/>
              </w:rPr>
              <w:t xml:space="preserve">vertinus Lietuvos transporto saugos administracijos veiklos tikslus, veiklos pobūdį ir vykdomas funkcijas, atsižvelgiant, kad </w:t>
            </w:r>
            <w:r w:rsidR="006A595E">
              <w:rPr>
                <w:rFonts w:ascii="Times New Roman" w:hAnsi="Times New Roman" w:cs="Times New Roman"/>
              </w:rPr>
              <w:t>šie</w:t>
            </w:r>
            <w:r w:rsidRPr="00A01790">
              <w:rPr>
                <w:rFonts w:ascii="Times New Roman" w:hAnsi="Times New Roman" w:cs="Times New Roman"/>
              </w:rPr>
              <w:t xml:space="preserve"> ginčai net ir turint ekspertines išvadas reikalauja specialiųjų technikos ir transporto srities reguliavimo žinių, kurių Valstybinė vartotojų teisių apsaugos tarnyba neturi, siekiant, kad kuo efektyviau būtų apginti vartotojų interesai, tikslinga būtų įtraukti Lietuvos transporto saugos administraciją kaip ne teismo tvarka vartojimo ginčus dėl transporto priemonių techninės priežiūros ir remonto paslaugų ir dėl transporto priemonių, jų dalių ir priedų nagrinėjančią </w:t>
            </w:r>
            <w:r w:rsidRPr="00036DE4">
              <w:rPr>
                <w:rFonts w:ascii="Times New Roman" w:hAnsi="Times New Roman" w:cs="Times New Roman"/>
              </w:rPr>
              <w:t>instituciją.</w:t>
            </w:r>
          </w:p>
          <w:p w:rsidR="006E7B10" w:rsidRPr="00036DE4" w:rsidRDefault="00492FE6" w:rsidP="006A595E">
            <w:pPr>
              <w:pStyle w:val="Sraopastraipa"/>
              <w:ind w:left="0"/>
              <w:jc w:val="both"/>
              <w:rPr>
                <w:rFonts w:ascii="Times New Roman" w:hAnsi="Times New Roman" w:cs="Times New Roman"/>
                <w:bCs/>
              </w:rPr>
            </w:pPr>
            <w:r w:rsidRPr="00036DE4">
              <w:rPr>
                <w:rFonts w:ascii="Times New Roman" w:hAnsi="Times New Roman" w:cs="Times New Roman"/>
              </w:rPr>
              <w:t>Pažymėtina, kad Valstybinė teritorijų planavimo ir statybos inspekcija prie Aplinkos ministerijos vykdo funkcijas, susijusias su statybos dalyvių veiksmų atitikimu statybą reglamentuojančių teisės aktų reikalavimams, asmenų skundų ar pranešimų, susijusių su statybos procesu nagrinėjimą</w:t>
            </w:r>
            <w:r w:rsidRPr="00036DE4">
              <w:rPr>
                <w:rFonts w:ascii="Times New Roman" w:hAnsi="Times New Roman" w:cs="Times New Roman"/>
                <w:bCs/>
                <w:lang w:eastAsia="lt-LT"/>
              </w:rPr>
              <w:t xml:space="preserve">. </w:t>
            </w:r>
            <w:r w:rsidRPr="00036DE4">
              <w:rPr>
                <w:rFonts w:ascii="Times New Roman" w:hAnsi="Times New Roman" w:cs="Times New Roman"/>
                <w:lang w:eastAsia="ar-SA"/>
              </w:rPr>
              <w:t xml:space="preserve">Atkreiptinas dėmesys, kad šiuo metu teisės aktuose nėra numatyta valstybės institucijos, kuri būtų įgaliota pateikti išvadą dėl statybos darbų kokybės arba statinio defektų, atsiradusių garantiniu laikotarpiu, kilus ginčui tarp vartotojo ir statytojo (statybos darbus atlikusio verslininko). </w:t>
            </w:r>
            <w:r w:rsidRPr="00036DE4">
              <w:rPr>
                <w:rFonts w:ascii="Times New Roman" w:hAnsi="Times New Roman" w:cs="Times New Roman"/>
                <w:lang w:eastAsia="lt-LT"/>
              </w:rPr>
              <w:t xml:space="preserve">Atsižvelgiant į tai, kad </w:t>
            </w:r>
            <w:r w:rsidR="006A595E">
              <w:rPr>
                <w:rFonts w:ascii="Times New Roman" w:hAnsi="Times New Roman" w:cs="Times New Roman"/>
                <w:lang w:eastAsia="lt-LT"/>
              </w:rPr>
              <w:t>šie</w:t>
            </w:r>
            <w:r w:rsidRPr="00036DE4">
              <w:rPr>
                <w:rFonts w:ascii="Times New Roman" w:hAnsi="Times New Roman" w:cs="Times New Roman"/>
                <w:lang w:eastAsia="lt-LT"/>
              </w:rPr>
              <w:t xml:space="preserve"> ginčai</w:t>
            </w:r>
            <w:r w:rsidRPr="00036DE4">
              <w:rPr>
                <w:rFonts w:ascii="Times New Roman" w:hAnsi="Times New Roman" w:cs="Times New Roman"/>
              </w:rPr>
              <w:t xml:space="preserve"> neretai reikalauja inžinerinių statybos srities ekspertinių žinių, kurių Valstybinė vartotojų teisių apsaugos tarnyba </w:t>
            </w:r>
            <w:r w:rsidRPr="00036DE4">
              <w:rPr>
                <w:rFonts w:ascii="Times New Roman" w:hAnsi="Times New Roman" w:cs="Times New Roman"/>
              </w:rPr>
              <w:lastRenderedPageBreak/>
              <w:t xml:space="preserve">neturi, </w:t>
            </w:r>
            <w:r w:rsidRPr="00036DE4">
              <w:rPr>
                <w:rFonts w:ascii="Times New Roman" w:hAnsi="Times New Roman" w:cs="Times New Roman"/>
                <w:lang w:eastAsia="lt-LT"/>
              </w:rPr>
              <w:t xml:space="preserve">atsižvelgiant į </w:t>
            </w:r>
            <w:r w:rsidRPr="00036DE4">
              <w:rPr>
                <w:rFonts w:ascii="Times New Roman" w:hAnsi="Times New Roman" w:cs="Times New Roman"/>
              </w:rPr>
              <w:t>Valstybinės teritorijų planavimo ir statybos inspekcijos</w:t>
            </w:r>
            <w:r w:rsidRPr="00036DE4">
              <w:rPr>
                <w:rFonts w:ascii="Times New Roman" w:hAnsi="Times New Roman" w:cs="Times New Roman"/>
                <w:lang w:eastAsia="lt-LT"/>
              </w:rPr>
              <w:t xml:space="preserve"> turimą kompetenciją </w:t>
            </w:r>
            <w:r w:rsidRPr="00036DE4">
              <w:rPr>
                <w:rFonts w:ascii="Times New Roman" w:hAnsi="Times New Roman" w:cs="Times New Roman"/>
              </w:rPr>
              <w:t>statybų srityje,</w:t>
            </w:r>
            <w:r w:rsidRPr="00036DE4">
              <w:rPr>
                <w:rFonts w:ascii="Times New Roman" w:hAnsi="Times New Roman" w:cs="Times New Roman"/>
                <w:lang w:eastAsia="lt-LT"/>
              </w:rPr>
              <w:t xml:space="preserve"> siekiant, kad kuo efektyviau būtų apginti pažeidžiami vartotojų interesai, tikslinga būtų pavesti </w:t>
            </w:r>
            <w:r w:rsidRPr="00036DE4">
              <w:rPr>
                <w:rFonts w:ascii="Times New Roman" w:hAnsi="Times New Roman" w:cs="Times New Roman"/>
              </w:rPr>
              <w:t>Valstybinei teritorijų planavimo ir statybos inspekcijai prie Aplinkos ministerijos</w:t>
            </w:r>
            <w:r w:rsidRPr="00036DE4">
              <w:rPr>
                <w:rFonts w:ascii="Times New Roman" w:hAnsi="Times New Roman" w:cs="Times New Roman"/>
                <w:lang w:eastAsia="lt-LT"/>
              </w:rPr>
              <w:t xml:space="preserve"> vertinti minėtą statybos darbų kokybę ir tuo pačių vykdyti ne teismo tvarka ginčų </w:t>
            </w:r>
            <w:r w:rsidRPr="00036DE4">
              <w:rPr>
                <w:rFonts w:ascii="Times New Roman" w:hAnsi="Times New Roman" w:cs="Times New Roman"/>
                <w:lang w:eastAsia="ar-SA"/>
              </w:rPr>
              <w:t>dėl netinkamai/nekokybiškai suteiktų statybų ir einamojo remonto paslaugų</w:t>
            </w:r>
            <w:r w:rsidRPr="00036DE4">
              <w:rPr>
                <w:rFonts w:ascii="Times New Roman" w:hAnsi="Times New Roman" w:cs="Times New Roman"/>
                <w:lang w:eastAsia="lt-LT"/>
              </w:rPr>
              <w:t xml:space="preserve"> nagrinėjimą.</w:t>
            </w:r>
          </w:p>
        </w:tc>
        <w:tc>
          <w:tcPr>
            <w:tcW w:w="0" w:type="auto"/>
          </w:tcPr>
          <w:p w:rsidR="006A595E" w:rsidRPr="006A595E" w:rsidRDefault="003700D5" w:rsidP="006A595E">
            <w:pPr>
              <w:jc w:val="both"/>
              <w:rPr>
                <w:rFonts w:ascii="Times New Roman" w:hAnsi="Times New Roman" w:cs="Times New Roman"/>
              </w:rPr>
            </w:pPr>
            <w:r w:rsidRPr="00036DE4">
              <w:rPr>
                <w:rFonts w:ascii="Times New Roman" w:hAnsi="Times New Roman" w:cs="Times New Roman"/>
                <w:b/>
              </w:rPr>
              <w:lastRenderedPageBreak/>
              <w:t>Neatsižvelgta.</w:t>
            </w:r>
            <w:r w:rsidRPr="006A595E">
              <w:rPr>
                <w:rFonts w:ascii="Times New Roman" w:hAnsi="Times New Roman" w:cs="Times New Roman"/>
              </w:rPr>
              <w:t xml:space="preserve"> </w:t>
            </w:r>
            <w:r w:rsidR="006A595E" w:rsidRPr="006A595E">
              <w:rPr>
                <w:rFonts w:ascii="Times New Roman" w:hAnsi="Times New Roman" w:cs="Times New Roman"/>
              </w:rPr>
              <w:t>Siekiant įvertinti Valstybinės teritorijų planavimo ir statybų priežiūros inspekcijos (VTSPI), Lietuvos transporto saugos administracijos (LTSA) ir Nacionalinio visuomenės sveikatos centro (NVSC) turimas kompetencijas ir išteklius vartojimo ginčų neteisminio sprendimo sistemos tobulinimo kontekste</w:t>
            </w:r>
            <w:r w:rsidR="006A595E">
              <w:rPr>
                <w:rFonts w:ascii="Times New Roman" w:hAnsi="Times New Roman" w:cs="Times New Roman"/>
              </w:rPr>
              <w:t xml:space="preserve">, </w:t>
            </w:r>
            <w:r w:rsidR="006A595E" w:rsidRPr="006A595E">
              <w:rPr>
                <w:rFonts w:ascii="Times New Roman" w:hAnsi="Times New Roman" w:cs="Times New Roman"/>
              </w:rPr>
              <w:t>Teisingumo ministerijoje buvo surengt</w:t>
            </w:r>
            <w:r w:rsidR="006A595E">
              <w:rPr>
                <w:rFonts w:ascii="Times New Roman" w:hAnsi="Times New Roman" w:cs="Times New Roman"/>
              </w:rPr>
              <w:t xml:space="preserve">as </w:t>
            </w:r>
            <w:proofErr w:type="spellStart"/>
            <w:r w:rsidR="006A595E">
              <w:rPr>
                <w:rFonts w:ascii="Times New Roman" w:hAnsi="Times New Roman" w:cs="Times New Roman"/>
              </w:rPr>
              <w:t>tarpinstitucinis</w:t>
            </w:r>
            <w:proofErr w:type="spellEnd"/>
            <w:r w:rsidR="006A595E">
              <w:rPr>
                <w:rFonts w:ascii="Times New Roman" w:hAnsi="Times New Roman" w:cs="Times New Roman"/>
              </w:rPr>
              <w:t xml:space="preserve"> pasitarimas</w:t>
            </w:r>
            <w:r w:rsidR="00DB043A">
              <w:rPr>
                <w:rFonts w:ascii="Times New Roman" w:hAnsi="Times New Roman" w:cs="Times New Roman"/>
              </w:rPr>
              <w:t>, kuriame dalyvavo ir Valstybinės vartotojų teisių apsaugos tarnybos atstovai</w:t>
            </w:r>
            <w:r w:rsidR="006A595E" w:rsidRPr="006A595E">
              <w:rPr>
                <w:rFonts w:ascii="Times New Roman" w:hAnsi="Times New Roman" w:cs="Times New Roman"/>
              </w:rPr>
              <w:t xml:space="preserve">. </w:t>
            </w:r>
          </w:p>
          <w:p w:rsidR="006E7B10" w:rsidRPr="006A595E" w:rsidRDefault="006A595E" w:rsidP="006A595E">
            <w:pPr>
              <w:jc w:val="both"/>
              <w:rPr>
                <w:rFonts w:ascii="Times New Roman" w:hAnsi="Times New Roman" w:cs="Times New Roman"/>
              </w:rPr>
            </w:pPr>
            <w:r w:rsidRPr="006A595E">
              <w:rPr>
                <w:rFonts w:ascii="Times New Roman" w:hAnsi="Times New Roman" w:cs="Times New Roman"/>
              </w:rPr>
              <w:t>Įvertinus VTSPI, LTSA ir NVSC atstovų pateiktą informaciją apie turimus išteklius ir darbuotojų kompetenciją, konstatuota, kad šiuo metu nėra galimybių pavesti šioms institucijoms spręsti vartojimo ginčus neteismine tvarka, nes jos neturi r</w:t>
            </w:r>
            <w:r>
              <w:rPr>
                <w:rFonts w:ascii="Times New Roman" w:hAnsi="Times New Roman" w:cs="Times New Roman"/>
              </w:rPr>
              <w:t>eikalingų finansinių ir žmogiškų</w:t>
            </w:r>
            <w:r w:rsidR="00DB043A">
              <w:rPr>
                <w:rFonts w:ascii="Times New Roman" w:hAnsi="Times New Roman" w:cs="Times New Roman"/>
              </w:rPr>
              <w:t>jų</w:t>
            </w:r>
            <w:r>
              <w:rPr>
                <w:rFonts w:ascii="Times New Roman" w:hAnsi="Times New Roman" w:cs="Times New Roman"/>
              </w:rPr>
              <w:t xml:space="preserve"> išteklių (t. </w:t>
            </w:r>
            <w:r w:rsidRPr="006A595E">
              <w:rPr>
                <w:rFonts w:ascii="Times New Roman" w:hAnsi="Times New Roman" w:cs="Times New Roman"/>
              </w:rPr>
              <w:t>y. atitinkamų sričių ekspertų; darbuotojų, kurie turėtų ginčų sprendimui jų veiklos srityse reikalingų žinių)</w:t>
            </w:r>
            <w:r>
              <w:rPr>
                <w:rFonts w:ascii="Times New Roman" w:hAnsi="Times New Roman" w:cs="Times New Roman"/>
              </w:rPr>
              <w:t>.</w:t>
            </w:r>
          </w:p>
          <w:p w:rsidR="003700D5" w:rsidRPr="00036DE4" w:rsidRDefault="003700D5" w:rsidP="00A14E38">
            <w:pPr>
              <w:jc w:val="both"/>
              <w:rPr>
                <w:rFonts w:ascii="Times New Roman" w:hAnsi="Times New Roman" w:cs="Times New Roman"/>
              </w:rPr>
            </w:pPr>
          </w:p>
        </w:tc>
      </w:tr>
      <w:tr w:rsidR="006D6811" w:rsidRPr="00835D10" w:rsidTr="004B2FA2">
        <w:tc>
          <w:tcPr>
            <w:tcW w:w="0" w:type="auto"/>
          </w:tcPr>
          <w:p w:rsidR="008B480F" w:rsidRPr="00036DE4" w:rsidRDefault="000C127C" w:rsidP="002E6C10">
            <w:pPr>
              <w:autoSpaceDE w:val="0"/>
              <w:autoSpaceDN w:val="0"/>
              <w:adjustRightInd w:val="0"/>
              <w:spacing w:line="264" w:lineRule="auto"/>
              <w:rPr>
                <w:rFonts w:ascii="Times New Roman" w:hAnsi="Times New Roman" w:cs="Times New Roman"/>
                <w:bCs/>
              </w:rPr>
            </w:pPr>
            <w:r>
              <w:rPr>
                <w:rFonts w:ascii="Times New Roman" w:hAnsi="Times New Roman" w:cs="Times New Roman"/>
                <w:bCs/>
              </w:rPr>
              <w:t>2</w:t>
            </w:r>
            <w:r w:rsidR="00A3635B">
              <w:rPr>
                <w:rFonts w:ascii="Times New Roman" w:hAnsi="Times New Roman" w:cs="Times New Roman"/>
                <w:bCs/>
              </w:rPr>
              <w:t>.</w:t>
            </w:r>
          </w:p>
        </w:tc>
        <w:tc>
          <w:tcPr>
            <w:tcW w:w="0" w:type="auto"/>
          </w:tcPr>
          <w:p w:rsidR="00A3635B" w:rsidRPr="00036DE4" w:rsidRDefault="00A3635B" w:rsidP="00A3635B">
            <w:pPr>
              <w:rPr>
                <w:rFonts w:ascii="Times New Roman" w:hAnsi="Times New Roman" w:cs="Times New Roman"/>
              </w:rPr>
            </w:pPr>
            <w:r w:rsidRPr="00036DE4">
              <w:rPr>
                <w:rFonts w:ascii="Times New Roman" w:hAnsi="Times New Roman" w:cs="Times New Roman"/>
              </w:rPr>
              <w:t xml:space="preserve">Valstybinė vartotojų teisių apsaugos tarnyba </w:t>
            </w:r>
          </w:p>
          <w:p w:rsidR="008B480F" w:rsidRPr="00036DE4" w:rsidRDefault="00A3635B" w:rsidP="00A3635B">
            <w:pPr>
              <w:rPr>
                <w:rFonts w:ascii="Times New Roman" w:hAnsi="Times New Roman" w:cs="Times New Roman"/>
              </w:rPr>
            </w:pPr>
            <w:r w:rsidRPr="00036DE4">
              <w:rPr>
                <w:rFonts w:ascii="Times New Roman" w:hAnsi="Times New Roman" w:cs="Times New Roman"/>
              </w:rPr>
              <w:t>2020-08-17 raštas Nr. 4E-21332</w:t>
            </w:r>
          </w:p>
        </w:tc>
        <w:tc>
          <w:tcPr>
            <w:tcW w:w="0" w:type="auto"/>
          </w:tcPr>
          <w:p w:rsidR="008B480F" w:rsidRPr="00036DE4" w:rsidRDefault="009F7423" w:rsidP="00E90CC6">
            <w:pPr>
              <w:tabs>
                <w:tab w:val="left" w:pos="449"/>
                <w:tab w:val="left" w:pos="669"/>
              </w:tabs>
              <w:jc w:val="both"/>
              <w:rPr>
                <w:rFonts w:ascii="Times New Roman" w:hAnsi="Times New Roman" w:cs="Times New Roman"/>
                <w:bCs/>
                <w:iCs/>
              </w:rPr>
            </w:pPr>
            <w:r>
              <w:rPr>
                <w:rFonts w:ascii="Times New Roman" w:hAnsi="Times New Roman" w:cs="Times New Roman"/>
                <w:bCs/>
                <w:iCs/>
              </w:rPr>
              <w:t>N</w:t>
            </w:r>
            <w:r w:rsidR="008B480F" w:rsidRPr="00036DE4">
              <w:rPr>
                <w:rFonts w:ascii="Times New Roman" w:hAnsi="Times New Roman" w:cs="Times New Roman"/>
                <w:bCs/>
                <w:iCs/>
              </w:rPr>
              <w:t xml:space="preserve">ėra aišku, ar vartojimo ginčo neteisminio sprendimo sąnaudos bus apskaičiuojamos kiekvieno individualaus ginčo atveju, ar, pavyzdžiui, kas tam tikrą laikotarpį bus nustatomas sąnaudų dydis (vidurkis). </w:t>
            </w:r>
          </w:p>
          <w:p w:rsidR="008B480F" w:rsidRPr="00036DE4" w:rsidRDefault="008B480F" w:rsidP="00C773DB">
            <w:pPr>
              <w:tabs>
                <w:tab w:val="left" w:pos="449"/>
                <w:tab w:val="left" w:pos="669"/>
              </w:tabs>
              <w:jc w:val="both"/>
              <w:rPr>
                <w:rFonts w:ascii="Times New Roman" w:hAnsi="Times New Roman" w:cs="Times New Roman"/>
                <w:b/>
                <w:bCs/>
                <w:i/>
                <w:iCs/>
              </w:rPr>
            </w:pPr>
            <w:r w:rsidRPr="00036DE4">
              <w:rPr>
                <w:rFonts w:ascii="Times New Roman" w:hAnsi="Times New Roman" w:cs="Times New Roman"/>
                <w:bCs/>
                <w:iCs/>
              </w:rPr>
              <w:t xml:space="preserve">Atsižvelgiant į tai, kas išdėstyta, siekiant teisinio tikslumo bei apibrėžtumo, siūlytina parengti vartojimo ginčus nagrinėjančios institucijos ginčo nagrinėjimo išlaidų apskaičiavimo ir taikymo rekomendacijas, taisykles ar tvarką. Taip pat, atsižvelgiant į tai, kad ne visos vartojimo ginčus nagrinėjančios institucijos yra </w:t>
            </w:r>
            <w:r w:rsidR="00E90CC6">
              <w:rPr>
                <w:rFonts w:ascii="Times New Roman" w:hAnsi="Times New Roman" w:cs="Times New Roman"/>
                <w:bCs/>
                <w:iCs/>
              </w:rPr>
              <w:t>T</w:t>
            </w:r>
            <w:r w:rsidRPr="00036DE4">
              <w:rPr>
                <w:rFonts w:ascii="Times New Roman" w:hAnsi="Times New Roman" w:cs="Times New Roman"/>
                <w:bCs/>
                <w:iCs/>
              </w:rPr>
              <w:t>eisingumo ministerijos pavaldume, papildomai siūloma, kad minimos rekomendacijas, taisyklės ar tvarka būtų tvirtinami Lietuvos Respublikos Vyriausybės.</w:t>
            </w:r>
          </w:p>
        </w:tc>
        <w:tc>
          <w:tcPr>
            <w:tcW w:w="0" w:type="auto"/>
          </w:tcPr>
          <w:p w:rsidR="00D229A1" w:rsidRPr="003A2B69" w:rsidRDefault="00E82866" w:rsidP="0095379F">
            <w:pPr>
              <w:jc w:val="both"/>
              <w:rPr>
                <w:rFonts w:ascii="Times New Roman" w:hAnsi="Times New Roman" w:cs="Times New Roman"/>
                <w:bCs/>
                <w:iCs/>
              </w:rPr>
            </w:pPr>
            <w:r>
              <w:rPr>
                <w:rFonts w:ascii="Times New Roman" w:hAnsi="Times New Roman" w:cs="Times New Roman"/>
                <w:b/>
              </w:rPr>
              <w:t>A</w:t>
            </w:r>
            <w:r w:rsidR="00D229A1" w:rsidRPr="003A2B69">
              <w:rPr>
                <w:rFonts w:ascii="Times New Roman" w:hAnsi="Times New Roman" w:cs="Times New Roman"/>
                <w:b/>
              </w:rPr>
              <w:t>tsiž</w:t>
            </w:r>
            <w:r w:rsidR="00E90CC6" w:rsidRPr="003A2B69">
              <w:rPr>
                <w:rFonts w:ascii="Times New Roman" w:hAnsi="Times New Roman" w:cs="Times New Roman"/>
                <w:b/>
              </w:rPr>
              <w:t>velgta</w:t>
            </w:r>
            <w:r>
              <w:rPr>
                <w:rFonts w:ascii="Times New Roman" w:hAnsi="Times New Roman" w:cs="Times New Roman"/>
                <w:b/>
              </w:rPr>
              <w:t xml:space="preserve"> iš dalies</w:t>
            </w:r>
            <w:bookmarkStart w:id="1" w:name="_GoBack"/>
            <w:bookmarkEnd w:id="1"/>
            <w:r w:rsidR="00D229A1" w:rsidRPr="003A2B69">
              <w:rPr>
                <w:rFonts w:ascii="Times New Roman" w:hAnsi="Times New Roman" w:cs="Times New Roman"/>
                <w:b/>
              </w:rPr>
              <w:t>.</w:t>
            </w:r>
            <w:r w:rsidR="00C773DB" w:rsidRPr="003A2B69">
              <w:rPr>
                <w:rFonts w:ascii="Times New Roman" w:hAnsi="Times New Roman" w:cs="Times New Roman"/>
              </w:rPr>
              <w:t xml:space="preserve"> Projekte numatyta, kad vartojimo ginčus nagrinėjančios institucijos ginčo nagrinėjimo išlaidų dydį nustato vartojimo ginčus nagrinėjanti institucija pagal vartojimo ginčų neteisminio sprendimo procedūros taisykles ir jis turi būti pagrįstas vartojimo ginčo neteisminio sprendimo sąnaudomis.</w:t>
            </w:r>
            <w:r w:rsidR="0095379F" w:rsidRPr="003A2B69">
              <w:rPr>
                <w:rFonts w:ascii="Times New Roman" w:hAnsi="Times New Roman" w:cs="Times New Roman"/>
              </w:rPr>
              <w:t xml:space="preserve"> Taigi, šių</w:t>
            </w:r>
            <w:r w:rsidR="00D229A1" w:rsidRPr="003A2B69">
              <w:rPr>
                <w:rFonts w:ascii="Times New Roman" w:hAnsi="Times New Roman" w:cs="Times New Roman"/>
                <w:bCs/>
                <w:iCs/>
              </w:rPr>
              <w:t xml:space="preserve"> </w:t>
            </w:r>
            <w:r w:rsidR="00D229A1" w:rsidRPr="003A2B69">
              <w:rPr>
                <w:rFonts w:ascii="Times New Roman" w:hAnsi="Times New Roman" w:cs="Times New Roman"/>
              </w:rPr>
              <w:t xml:space="preserve">išlaidų </w:t>
            </w:r>
            <w:r w:rsidR="0095379F" w:rsidRPr="003A2B69">
              <w:rPr>
                <w:rFonts w:ascii="Times New Roman" w:hAnsi="Times New Roman" w:cs="Times New Roman"/>
              </w:rPr>
              <w:t>nustatymo</w:t>
            </w:r>
            <w:r w:rsidR="00D229A1" w:rsidRPr="003A2B69">
              <w:rPr>
                <w:rFonts w:ascii="Times New Roman" w:hAnsi="Times New Roman" w:cs="Times New Roman"/>
              </w:rPr>
              <w:t xml:space="preserve"> tvarka </w:t>
            </w:r>
            <w:r w:rsidR="0095379F" w:rsidRPr="003A2B69">
              <w:rPr>
                <w:rFonts w:ascii="Times New Roman" w:hAnsi="Times New Roman" w:cs="Times New Roman"/>
              </w:rPr>
              <w:t>bus</w:t>
            </w:r>
            <w:r w:rsidR="00D229A1" w:rsidRPr="003A2B69">
              <w:rPr>
                <w:rFonts w:ascii="Times New Roman" w:hAnsi="Times New Roman" w:cs="Times New Roman"/>
              </w:rPr>
              <w:t xml:space="preserve"> nustatyta</w:t>
            </w:r>
            <w:r w:rsidR="00D229A1" w:rsidRPr="003A2B69">
              <w:rPr>
                <w:rFonts w:ascii="Times New Roman" w:hAnsi="Times New Roman" w:cs="Times New Roman"/>
                <w:bCs/>
                <w:iCs/>
              </w:rPr>
              <w:t xml:space="preserve"> Vartojimo ginčų neteisminio sprendimo procedūros taisyklėse, atsisakant </w:t>
            </w:r>
            <w:r w:rsidR="0095379F" w:rsidRPr="003A2B69">
              <w:rPr>
                <w:rFonts w:ascii="Times New Roman" w:hAnsi="Times New Roman" w:cs="Times New Roman"/>
                <w:bCs/>
                <w:iCs/>
              </w:rPr>
              <w:t>atskiro</w:t>
            </w:r>
            <w:r w:rsidR="00D229A1" w:rsidRPr="003A2B69">
              <w:rPr>
                <w:rFonts w:ascii="Times New Roman" w:hAnsi="Times New Roman" w:cs="Times New Roman"/>
                <w:bCs/>
                <w:iCs/>
              </w:rPr>
              <w:t xml:space="preserve"> teisės akto</w:t>
            </w:r>
            <w:r w:rsidR="0095379F" w:rsidRPr="003A2B69">
              <w:rPr>
                <w:rFonts w:ascii="Times New Roman" w:hAnsi="Times New Roman" w:cs="Times New Roman"/>
                <w:bCs/>
                <w:iCs/>
              </w:rPr>
              <w:t xml:space="preserve"> priėmimo </w:t>
            </w:r>
            <w:r w:rsidR="00974696">
              <w:rPr>
                <w:rFonts w:ascii="Times New Roman" w:hAnsi="Times New Roman" w:cs="Times New Roman"/>
                <w:bCs/>
                <w:iCs/>
              </w:rPr>
              <w:t xml:space="preserve">(užtikrinant teisinio reguliavimo ekonomiškumą) </w:t>
            </w:r>
            <w:r w:rsidR="0095379F" w:rsidRPr="003A2B69">
              <w:rPr>
                <w:rFonts w:ascii="Times New Roman" w:hAnsi="Times New Roman" w:cs="Times New Roman"/>
                <w:bCs/>
                <w:iCs/>
              </w:rPr>
              <w:t xml:space="preserve">ir </w:t>
            </w:r>
            <w:r w:rsidR="00974696">
              <w:rPr>
                <w:rFonts w:ascii="Times New Roman" w:hAnsi="Times New Roman" w:cs="Times New Roman"/>
                <w:bCs/>
                <w:iCs/>
              </w:rPr>
              <w:t>įgyvendinant subsidiarumo principą</w:t>
            </w:r>
            <w:r w:rsidR="0044158A" w:rsidRPr="003A2B69">
              <w:rPr>
                <w:rFonts w:ascii="Times New Roman" w:hAnsi="Times New Roman" w:cs="Times New Roman"/>
                <w:bCs/>
                <w:iCs/>
              </w:rPr>
              <w:t>.</w:t>
            </w:r>
            <w:r w:rsidR="0095379F" w:rsidRPr="003A2B69">
              <w:rPr>
                <w:rFonts w:ascii="Times New Roman" w:hAnsi="Times New Roman" w:cs="Times New Roman"/>
                <w:bCs/>
                <w:iCs/>
              </w:rPr>
              <w:t xml:space="preserve"> </w:t>
            </w:r>
          </w:p>
          <w:p w:rsidR="0095379F" w:rsidRPr="003A2B69" w:rsidRDefault="008B5933" w:rsidP="009F7423">
            <w:pPr>
              <w:jc w:val="both"/>
              <w:rPr>
                <w:rFonts w:ascii="Times New Roman" w:hAnsi="Times New Roman" w:cs="Times New Roman"/>
              </w:rPr>
            </w:pPr>
            <w:r>
              <w:rPr>
                <w:rFonts w:ascii="Times New Roman" w:hAnsi="Times New Roman" w:cs="Times New Roman"/>
              </w:rPr>
              <w:t xml:space="preserve">Siekiant kuo mažesnės administracinės naštos ir operatyvumo, manytume, kad </w:t>
            </w:r>
            <w:r w:rsidRPr="003A2B69">
              <w:rPr>
                <w:rFonts w:ascii="Times New Roman" w:hAnsi="Times New Roman" w:cs="Times New Roman"/>
                <w:bCs/>
                <w:iCs/>
              </w:rPr>
              <w:t>Vartojimo ginčų neteisminio sprendimo procedūros taisyklėse</w:t>
            </w:r>
            <w:r>
              <w:rPr>
                <w:rFonts w:ascii="Times New Roman" w:hAnsi="Times New Roman" w:cs="Times New Roman"/>
                <w:bCs/>
                <w:iCs/>
              </w:rPr>
              <w:t xml:space="preserve"> galėtų būti įtvirtintas modelis, kai </w:t>
            </w:r>
            <w:r w:rsidR="009F7423" w:rsidRPr="003A2B69">
              <w:rPr>
                <w:rFonts w:ascii="Times New Roman" w:hAnsi="Times New Roman" w:cs="Times New Roman"/>
              </w:rPr>
              <w:t>ginčo n</w:t>
            </w:r>
            <w:r w:rsidR="009F7423">
              <w:rPr>
                <w:rFonts w:ascii="Times New Roman" w:hAnsi="Times New Roman" w:cs="Times New Roman"/>
              </w:rPr>
              <w:t>agrinėjimo išlaidų dydis</w:t>
            </w:r>
            <w:r w:rsidR="009F7423" w:rsidRPr="003A2B69">
              <w:rPr>
                <w:rFonts w:ascii="Times New Roman" w:hAnsi="Times New Roman" w:cs="Times New Roman"/>
              </w:rPr>
              <w:t xml:space="preserve"> </w:t>
            </w:r>
            <w:r w:rsidRPr="008B5933">
              <w:rPr>
                <w:rFonts w:ascii="Times New Roman" w:hAnsi="Times New Roman" w:cs="Times New Roman"/>
                <w:bCs/>
                <w:iCs/>
                <w:u w:val="single"/>
              </w:rPr>
              <w:t>neb</w:t>
            </w:r>
            <w:r>
              <w:rPr>
                <w:rFonts w:ascii="Times New Roman" w:hAnsi="Times New Roman" w:cs="Times New Roman"/>
                <w:bCs/>
                <w:iCs/>
                <w:u w:val="single"/>
              </w:rPr>
              <w:t>ūtų</w:t>
            </w:r>
            <w:r w:rsidRPr="00036DE4">
              <w:rPr>
                <w:rFonts w:ascii="Times New Roman" w:hAnsi="Times New Roman" w:cs="Times New Roman"/>
                <w:bCs/>
                <w:iCs/>
              </w:rPr>
              <w:t xml:space="preserve"> apskaičiuojamos kiekvieno </w:t>
            </w:r>
            <w:r w:rsidRPr="008B5933">
              <w:rPr>
                <w:rFonts w:ascii="Times New Roman" w:hAnsi="Times New Roman" w:cs="Times New Roman"/>
                <w:bCs/>
                <w:iCs/>
                <w:u w:val="single"/>
              </w:rPr>
              <w:t>individualaus</w:t>
            </w:r>
            <w:r w:rsidRPr="00036DE4">
              <w:rPr>
                <w:rFonts w:ascii="Times New Roman" w:hAnsi="Times New Roman" w:cs="Times New Roman"/>
                <w:bCs/>
                <w:iCs/>
              </w:rPr>
              <w:t xml:space="preserve"> ginčo atveju,</w:t>
            </w:r>
            <w:r>
              <w:rPr>
                <w:rFonts w:ascii="Times New Roman" w:hAnsi="Times New Roman" w:cs="Times New Roman"/>
                <w:bCs/>
                <w:iCs/>
              </w:rPr>
              <w:t xml:space="preserve"> bet </w:t>
            </w:r>
            <w:r w:rsidRPr="008B5933">
              <w:rPr>
                <w:rFonts w:ascii="Times New Roman" w:hAnsi="Times New Roman" w:cs="Times New Roman"/>
                <w:bCs/>
                <w:iCs/>
                <w:u w:val="single"/>
              </w:rPr>
              <w:t>būtų</w:t>
            </w:r>
            <w:r>
              <w:rPr>
                <w:rFonts w:ascii="Times New Roman" w:hAnsi="Times New Roman" w:cs="Times New Roman"/>
                <w:bCs/>
                <w:iCs/>
              </w:rPr>
              <w:t xml:space="preserve"> skaičiuojamas tam tikrų veiksmų vykdymo </w:t>
            </w:r>
            <w:r w:rsidRPr="00036DE4">
              <w:rPr>
                <w:rFonts w:ascii="Times New Roman" w:hAnsi="Times New Roman" w:cs="Times New Roman"/>
                <w:bCs/>
                <w:iCs/>
              </w:rPr>
              <w:t>sąnaudų dyd</w:t>
            </w:r>
            <w:r>
              <w:rPr>
                <w:rFonts w:ascii="Times New Roman" w:hAnsi="Times New Roman" w:cs="Times New Roman"/>
                <w:bCs/>
                <w:iCs/>
              </w:rPr>
              <w:t>žio</w:t>
            </w:r>
            <w:r w:rsidRPr="00036DE4">
              <w:rPr>
                <w:rFonts w:ascii="Times New Roman" w:hAnsi="Times New Roman" w:cs="Times New Roman"/>
                <w:bCs/>
                <w:iCs/>
              </w:rPr>
              <w:t xml:space="preserve"> </w:t>
            </w:r>
            <w:r w:rsidRPr="008B5933">
              <w:rPr>
                <w:rFonts w:ascii="Times New Roman" w:hAnsi="Times New Roman" w:cs="Times New Roman"/>
                <w:bCs/>
                <w:iCs/>
                <w:u w:val="single"/>
              </w:rPr>
              <w:t>vidurkis</w:t>
            </w:r>
            <w:r>
              <w:rPr>
                <w:rFonts w:ascii="Times New Roman" w:hAnsi="Times New Roman" w:cs="Times New Roman"/>
              </w:rPr>
              <w:t>.</w:t>
            </w:r>
          </w:p>
        </w:tc>
      </w:tr>
      <w:tr w:rsidR="006D6811" w:rsidRPr="00835D10" w:rsidTr="004B2FA2">
        <w:tc>
          <w:tcPr>
            <w:tcW w:w="0" w:type="auto"/>
          </w:tcPr>
          <w:p w:rsidR="00962D95" w:rsidRPr="00036DE4" w:rsidRDefault="00163C24" w:rsidP="00163C24">
            <w:pPr>
              <w:autoSpaceDE w:val="0"/>
              <w:autoSpaceDN w:val="0"/>
              <w:adjustRightInd w:val="0"/>
              <w:spacing w:line="264" w:lineRule="auto"/>
              <w:rPr>
                <w:rFonts w:ascii="Times New Roman" w:hAnsi="Times New Roman" w:cs="Times New Roman"/>
                <w:bCs/>
              </w:rPr>
            </w:pPr>
            <w:r>
              <w:rPr>
                <w:rFonts w:ascii="Times New Roman" w:hAnsi="Times New Roman" w:cs="Times New Roman"/>
                <w:bCs/>
              </w:rPr>
              <w:t>3</w:t>
            </w:r>
            <w:r w:rsidR="004B2FA2">
              <w:rPr>
                <w:rFonts w:ascii="Times New Roman" w:hAnsi="Times New Roman" w:cs="Times New Roman"/>
                <w:bCs/>
              </w:rPr>
              <w:t>.</w:t>
            </w:r>
          </w:p>
        </w:tc>
        <w:tc>
          <w:tcPr>
            <w:tcW w:w="0" w:type="auto"/>
          </w:tcPr>
          <w:p w:rsidR="00962D95" w:rsidRPr="00116859" w:rsidRDefault="001709B1" w:rsidP="001B1FCA">
            <w:pPr>
              <w:rPr>
                <w:rFonts w:ascii="Times New Roman" w:hAnsi="Times New Roman" w:cs="Times New Roman"/>
              </w:rPr>
            </w:pPr>
            <w:r w:rsidRPr="00116859">
              <w:rPr>
                <w:rFonts w:ascii="Times New Roman" w:hAnsi="Times New Roman" w:cs="Times New Roman"/>
              </w:rPr>
              <w:t>Lietuvos vartotojų organizacijų aljansas</w:t>
            </w:r>
          </w:p>
          <w:p w:rsidR="00116859" w:rsidRPr="00116859" w:rsidRDefault="00116859" w:rsidP="00116859">
            <w:pPr>
              <w:pStyle w:val="Default"/>
              <w:rPr>
                <w:sz w:val="22"/>
                <w:szCs w:val="22"/>
              </w:rPr>
            </w:pPr>
            <w:r w:rsidRPr="00116859">
              <w:rPr>
                <w:sz w:val="22"/>
                <w:szCs w:val="22"/>
              </w:rPr>
              <w:t xml:space="preserve">2020-08-16 raštas Nr. </w:t>
            </w:r>
          </w:p>
          <w:p w:rsidR="00116859" w:rsidRPr="00116859" w:rsidRDefault="00116859" w:rsidP="00116859">
            <w:pPr>
              <w:rPr>
                <w:rFonts w:ascii="Times New Roman" w:hAnsi="Times New Roman" w:cs="Times New Roman"/>
              </w:rPr>
            </w:pPr>
            <w:r w:rsidRPr="00116859">
              <w:rPr>
                <w:rFonts w:ascii="Times New Roman" w:hAnsi="Times New Roman" w:cs="Times New Roman"/>
              </w:rPr>
              <w:t>Nr. RP-40</w:t>
            </w:r>
          </w:p>
        </w:tc>
        <w:tc>
          <w:tcPr>
            <w:tcW w:w="0" w:type="auto"/>
          </w:tcPr>
          <w:p w:rsidR="00962D95" w:rsidRPr="00036DE4" w:rsidRDefault="00132F7D" w:rsidP="00962D95">
            <w:pPr>
              <w:pStyle w:val="Betarp"/>
              <w:jc w:val="both"/>
              <w:rPr>
                <w:bCs/>
                <w:iCs/>
                <w:sz w:val="22"/>
                <w:szCs w:val="22"/>
              </w:rPr>
            </w:pPr>
            <w:r w:rsidRPr="00036DE4">
              <w:rPr>
                <w:bCs/>
                <w:iCs/>
                <w:sz w:val="22"/>
                <w:szCs w:val="22"/>
              </w:rPr>
              <w:t>Nepritariame Įstatymo 23</w:t>
            </w:r>
            <w:r w:rsidRPr="00036DE4">
              <w:rPr>
                <w:bCs/>
                <w:iCs/>
                <w:sz w:val="22"/>
                <w:szCs w:val="22"/>
                <w:vertAlign w:val="superscript"/>
              </w:rPr>
              <w:t>3</w:t>
            </w:r>
            <w:r w:rsidR="00962D95" w:rsidRPr="00036DE4">
              <w:rPr>
                <w:bCs/>
                <w:iCs/>
                <w:sz w:val="22"/>
                <w:szCs w:val="22"/>
              </w:rPr>
              <w:t xml:space="preserve"> straipsnio 8 dalyje minimos sumos, nuo kurios Tarnyba atsisako nagrinėti vartojimo ginčą, didinimui nuo 10 </w:t>
            </w:r>
            <w:proofErr w:type="spellStart"/>
            <w:r w:rsidR="00962D95" w:rsidRPr="00036DE4">
              <w:rPr>
                <w:bCs/>
                <w:iCs/>
                <w:sz w:val="22"/>
                <w:szCs w:val="22"/>
              </w:rPr>
              <w:t>Eur</w:t>
            </w:r>
            <w:proofErr w:type="spellEnd"/>
            <w:r w:rsidR="00962D95" w:rsidRPr="00036DE4">
              <w:rPr>
                <w:bCs/>
                <w:iCs/>
                <w:sz w:val="22"/>
                <w:szCs w:val="22"/>
              </w:rPr>
              <w:t xml:space="preserve"> iki 30 </w:t>
            </w:r>
            <w:proofErr w:type="spellStart"/>
            <w:r w:rsidR="00962D95" w:rsidRPr="00036DE4">
              <w:rPr>
                <w:bCs/>
                <w:iCs/>
                <w:sz w:val="22"/>
                <w:szCs w:val="22"/>
              </w:rPr>
              <w:t>Eur</w:t>
            </w:r>
            <w:proofErr w:type="spellEnd"/>
            <w:r w:rsidR="00962D95" w:rsidRPr="00036DE4">
              <w:rPr>
                <w:bCs/>
                <w:iCs/>
                <w:sz w:val="22"/>
                <w:szCs w:val="22"/>
              </w:rPr>
              <w:t xml:space="preserve">. Ši nuostata sudarytų palankias sąlygas smulkiems verslininkams elgtis nesąžiningai, kadangi vartotojai, patyrę mažesnę nei 30 </w:t>
            </w:r>
            <w:proofErr w:type="spellStart"/>
            <w:r w:rsidR="00962D95" w:rsidRPr="00036DE4">
              <w:rPr>
                <w:bCs/>
                <w:iCs/>
                <w:sz w:val="22"/>
                <w:szCs w:val="22"/>
              </w:rPr>
              <w:t>Eur</w:t>
            </w:r>
            <w:proofErr w:type="spellEnd"/>
            <w:r w:rsidR="00962D95" w:rsidRPr="00036DE4">
              <w:rPr>
                <w:bCs/>
                <w:iCs/>
                <w:sz w:val="22"/>
                <w:szCs w:val="22"/>
              </w:rPr>
              <w:t xml:space="preserve"> žalą (pavyzdžiui, negavę užsakytų prekių, kurių vertė yra mažesnė nei 30 </w:t>
            </w:r>
            <w:proofErr w:type="spellStart"/>
            <w:r w:rsidR="00962D95" w:rsidRPr="00036DE4">
              <w:rPr>
                <w:bCs/>
                <w:iCs/>
                <w:sz w:val="22"/>
                <w:szCs w:val="22"/>
              </w:rPr>
              <w:t>Eur</w:t>
            </w:r>
            <w:proofErr w:type="spellEnd"/>
            <w:r w:rsidR="00962D95" w:rsidRPr="00036DE4">
              <w:rPr>
                <w:bCs/>
                <w:iCs/>
                <w:sz w:val="22"/>
                <w:szCs w:val="22"/>
              </w:rPr>
              <w:t xml:space="preserve"> arba gavę prekę, turinčią kokybės neatitikimų, kai defektų pašalinimo kaina yra mažesnė nei 30 </w:t>
            </w:r>
            <w:proofErr w:type="spellStart"/>
            <w:r w:rsidR="00962D95" w:rsidRPr="00036DE4">
              <w:rPr>
                <w:bCs/>
                <w:iCs/>
                <w:sz w:val="22"/>
                <w:szCs w:val="22"/>
              </w:rPr>
              <w:t>Eur</w:t>
            </w:r>
            <w:proofErr w:type="spellEnd"/>
            <w:r w:rsidR="00962D95" w:rsidRPr="00036DE4">
              <w:rPr>
                <w:bCs/>
                <w:iCs/>
                <w:sz w:val="22"/>
                <w:szCs w:val="22"/>
              </w:rPr>
              <w:t xml:space="preserve"> ir kt.), negalėtų kreiptis į Tarnybą. Toks įstatymo pakeitimas pažeidžia tiek teisę į</w:t>
            </w:r>
            <w:r w:rsidR="00962D95" w:rsidRPr="00036DE4">
              <w:rPr>
                <w:color w:val="000000"/>
                <w:sz w:val="22"/>
                <w:szCs w:val="22"/>
              </w:rPr>
              <w:t xml:space="preserve"> </w:t>
            </w:r>
            <w:r w:rsidR="00962D95" w:rsidRPr="00036DE4">
              <w:rPr>
                <w:bCs/>
                <w:iCs/>
                <w:sz w:val="22"/>
                <w:szCs w:val="22"/>
              </w:rPr>
              <w:t xml:space="preserve">neteisminį ginčo nagrinėjimą, tiek teisingumo ir proporcingumo principus, kadangi nukentėjęs vartotojas, patyręs mažesnę nei 30 </w:t>
            </w:r>
            <w:proofErr w:type="spellStart"/>
            <w:r w:rsidR="00962D95" w:rsidRPr="00036DE4">
              <w:rPr>
                <w:bCs/>
                <w:iCs/>
                <w:sz w:val="22"/>
                <w:szCs w:val="22"/>
              </w:rPr>
              <w:t>Eur</w:t>
            </w:r>
            <w:proofErr w:type="spellEnd"/>
            <w:r w:rsidR="00962D95" w:rsidRPr="00036DE4">
              <w:rPr>
                <w:bCs/>
                <w:iCs/>
                <w:sz w:val="22"/>
                <w:szCs w:val="22"/>
              </w:rPr>
              <w:t xml:space="preserve"> žalą, dėl žalos atlyginimo turėtų kreiptis į teismą, dėl ko būtų patiriamos žymiai didesnės išlaidos bei ginčo </w:t>
            </w:r>
            <w:r w:rsidR="00962D95" w:rsidRPr="00036DE4">
              <w:rPr>
                <w:bCs/>
                <w:iCs/>
                <w:sz w:val="22"/>
                <w:szCs w:val="22"/>
              </w:rPr>
              <w:lastRenderedPageBreak/>
              <w:t xml:space="preserve">nagrinėjimas užtruktų daug ilgiau. </w:t>
            </w:r>
          </w:p>
          <w:p w:rsidR="00962D95" w:rsidRPr="00036DE4" w:rsidRDefault="00962D95" w:rsidP="00545A98">
            <w:pPr>
              <w:pStyle w:val="Betarp"/>
              <w:jc w:val="both"/>
              <w:rPr>
                <w:b/>
                <w:bCs/>
                <w:i/>
                <w:iCs/>
                <w:sz w:val="22"/>
                <w:szCs w:val="22"/>
              </w:rPr>
            </w:pPr>
            <w:r w:rsidRPr="00036DE4">
              <w:rPr>
                <w:bCs/>
                <w:iCs/>
                <w:sz w:val="22"/>
                <w:szCs w:val="22"/>
              </w:rPr>
              <w:t xml:space="preserve">Pažymėtina, kad bylos sprendimas teisme užtrunka apytiksliai 2-3 metus, kai tuo tarpu neteisminis ginčo sprendimas užtrunka iki 1 metų. Nors kreipiantis į teismą žyminis mokestis vartojimo ginčuose nėra mokamas, tikėtina, kad teisinių žinių neturintis vartotojas bus priverstas samdyti advokatą, o jei ginčo nagrinėjimo metu kils poreikis nustatyti, ar ginčijamas daiktas atitinka kokybės ar kitus reikalavimus, privalės atlyginti už reikiamos ekspertizės išvadas. Paprastai asmenis kreiptis į teismą atbaido teismo proceso viešumas ir formalūs reikalavimai, o kai ginčo suma nesiektų 30 </w:t>
            </w:r>
            <w:proofErr w:type="spellStart"/>
            <w:r w:rsidRPr="00036DE4">
              <w:rPr>
                <w:bCs/>
                <w:iCs/>
                <w:sz w:val="22"/>
                <w:szCs w:val="22"/>
              </w:rPr>
              <w:t>Eur</w:t>
            </w:r>
            <w:proofErr w:type="spellEnd"/>
            <w:r w:rsidRPr="00036DE4">
              <w:rPr>
                <w:bCs/>
                <w:iCs/>
                <w:sz w:val="22"/>
                <w:szCs w:val="22"/>
              </w:rPr>
              <w:t>, darytina pagrįsta išvada, kad vartotojas nesikreips į teismą ir iš jo bus atimama teisė į pažeistų interesų gynimą.</w:t>
            </w:r>
            <w:r w:rsidRPr="00036DE4">
              <w:rPr>
                <w:color w:val="000000"/>
                <w:sz w:val="22"/>
                <w:szCs w:val="22"/>
              </w:rPr>
              <w:t xml:space="preserve"> </w:t>
            </w:r>
            <w:r w:rsidRPr="00036DE4">
              <w:rPr>
                <w:bCs/>
                <w:iCs/>
                <w:sz w:val="22"/>
                <w:szCs w:val="22"/>
              </w:rPr>
              <w:t xml:space="preserve">Taigi, pabrėžiame, kad ginčo sumos didinimas, siekiant sumažinti Tarnybos nagrinėjamų vartotojų prašymų krūvį – nėra tinkamas. </w:t>
            </w:r>
          </w:p>
        </w:tc>
        <w:tc>
          <w:tcPr>
            <w:tcW w:w="0" w:type="auto"/>
          </w:tcPr>
          <w:p w:rsidR="00A4417C" w:rsidRPr="00A4417C" w:rsidRDefault="00545A98" w:rsidP="0033342E">
            <w:pPr>
              <w:jc w:val="both"/>
              <w:rPr>
                <w:rFonts w:ascii="Times New Roman" w:hAnsi="Times New Roman" w:cs="Times New Roman"/>
                <w:b/>
              </w:rPr>
            </w:pPr>
            <w:r w:rsidRPr="00A4417C">
              <w:rPr>
                <w:rFonts w:ascii="Times New Roman" w:hAnsi="Times New Roman" w:cs="Times New Roman"/>
                <w:b/>
              </w:rPr>
              <w:lastRenderedPageBreak/>
              <w:t xml:space="preserve">Atsižvelgta iš dalies. </w:t>
            </w:r>
            <w:r w:rsidR="00A4417C" w:rsidRPr="00A4417C">
              <w:rPr>
                <w:rFonts w:ascii="Times New Roman" w:hAnsi="Times New Roman" w:cs="Times New Roman"/>
              </w:rPr>
              <w:t>Įvertinus Ekonomikos ir inovacijų ministerijos pasiūlymą, projekte numatyta, kad m</w:t>
            </w:r>
            <w:r w:rsidR="00A4417C" w:rsidRPr="00A4417C">
              <w:rPr>
                <w:rFonts w:ascii="Times New Roman" w:hAnsi="Times New Roman" w:cs="Times New Roman"/>
                <w:color w:val="000000"/>
              </w:rPr>
              <w:t xml:space="preserve">inimalų ginčo vertės dydį nustato vartojimo ginčų neteisminio sprendimo procedūros taisyklės. Tokiu reguliavimu būtų </w:t>
            </w:r>
            <w:r w:rsidR="00A4417C" w:rsidRPr="00A4417C">
              <w:rPr>
                <w:rFonts w:ascii="Times New Roman" w:hAnsi="Times New Roman" w:cs="Times New Roman"/>
                <w:szCs w:val="24"/>
              </w:rPr>
              <w:t xml:space="preserve">užtikrinta galimybė </w:t>
            </w:r>
            <w:r w:rsidR="001C5FA4">
              <w:rPr>
                <w:rFonts w:ascii="Times New Roman" w:hAnsi="Times New Roman" w:cs="Times New Roman"/>
                <w:szCs w:val="24"/>
              </w:rPr>
              <w:t>išvengti</w:t>
            </w:r>
            <w:r w:rsidR="00A4417C" w:rsidRPr="00A4417C">
              <w:rPr>
                <w:rFonts w:ascii="Times New Roman" w:hAnsi="Times New Roman" w:cs="Times New Roman"/>
                <w:szCs w:val="24"/>
              </w:rPr>
              <w:t xml:space="preserve"> dažno įstatymo keitimo </w:t>
            </w:r>
            <w:r w:rsidR="0033342E">
              <w:rPr>
                <w:rFonts w:ascii="Times New Roman" w:hAnsi="Times New Roman" w:cs="Times New Roman"/>
                <w:szCs w:val="24"/>
              </w:rPr>
              <w:t>ir atsižvelgti į reikalingu</w:t>
            </w:r>
            <w:r w:rsidR="001C5FA4">
              <w:rPr>
                <w:rFonts w:ascii="Times New Roman" w:hAnsi="Times New Roman" w:cs="Times New Roman"/>
                <w:szCs w:val="24"/>
              </w:rPr>
              <w:t>s</w:t>
            </w:r>
            <w:r w:rsidR="0033342E">
              <w:rPr>
                <w:rFonts w:ascii="Times New Roman" w:hAnsi="Times New Roman" w:cs="Times New Roman"/>
                <w:szCs w:val="24"/>
              </w:rPr>
              <w:t xml:space="preserve"> </w:t>
            </w:r>
            <w:r w:rsidR="001C5FA4">
              <w:rPr>
                <w:rFonts w:ascii="Times New Roman" w:hAnsi="Times New Roman" w:cs="Times New Roman"/>
                <w:szCs w:val="24"/>
              </w:rPr>
              <w:t xml:space="preserve">ekonominius ir socialinius </w:t>
            </w:r>
            <w:r w:rsidR="0033342E">
              <w:rPr>
                <w:rFonts w:ascii="Times New Roman" w:hAnsi="Times New Roman" w:cs="Times New Roman"/>
                <w:szCs w:val="24"/>
              </w:rPr>
              <w:t xml:space="preserve">pokyčius </w:t>
            </w:r>
            <w:r w:rsidR="00A4417C" w:rsidRPr="00A4417C">
              <w:rPr>
                <w:rFonts w:ascii="Times New Roman" w:hAnsi="Times New Roman" w:cs="Times New Roman"/>
                <w:szCs w:val="24"/>
              </w:rPr>
              <w:t>(pvz., metin</w:t>
            </w:r>
            <w:r w:rsidR="0033342E">
              <w:rPr>
                <w:rFonts w:ascii="Times New Roman" w:hAnsi="Times New Roman" w:cs="Times New Roman"/>
                <w:szCs w:val="24"/>
              </w:rPr>
              <w:t>ę</w:t>
            </w:r>
            <w:r w:rsidR="00A4417C" w:rsidRPr="00A4417C">
              <w:rPr>
                <w:rFonts w:ascii="Times New Roman" w:hAnsi="Times New Roman" w:cs="Times New Roman"/>
                <w:szCs w:val="24"/>
              </w:rPr>
              <w:t xml:space="preserve"> infliacij</w:t>
            </w:r>
            <w:r w:rsidR="0033342E">
              <w:rPr>
                <w:rFonts w:ascii="Times New Roman" w:hAnsi="Times New Roman" w:cs="Times New Roman"/>
                <w:szCs w:val="24"/>
              </w:rPr>
              <w:t>ą</w:t>
            </w:r>
            <w:r w:rsidR="00A4417C" w:rsidRPr="00A4417C">
              <w:rPr>
                <w:rFonts w:ascii="Times New Roman" w:hAnsi="Times New Roman" w:cs="Times New Roman"/>
                <w:szCs w:val="24"/>
              </w:rPr>
              <w:t>).</w:t>
            </w:r>
          </w:p>
        </w:tc>
      </w:tr>
      <w:tr w:rsidR="006D6811" w:rsidRPr="00835D10" w:rsidTr="004B2FA2">
        <w:tc>
          <w:tcPr>
            <w:tcW w:w="0" w:type="auto"/>
          </w:tcPr>
          <w:p w:rsidR="00962D95" w:rsidRPr="00036DE4" w:rsidRDefault="00163C24" w:rsidP="00163C24">
            <w:pPr>
              <w:autoSpaceDE w:val="0"/>
              <w:autoSpaceDN w:val="0"/>
              <w:adjustRightInd w:val="0"/>
              <w:spacing w:line="264" w:lineRule="auto"/>
              <w:rPr>
                <w:rFonts w:ascii="Times New Roman" w:hAnsi="Times New Roman" w:cs="Times New Roman"/>
                <w:bCs/>
              </w:rPr>
            </w:pPr>
            <w:r>
              <w:rPr>
                <w:rFonts w:ascii="Times New Roman" w:hAnsi="Times New Roman" w:cs="Times New Roman"/>
                <w:bCs/>
              </w:rPr>
              <w:t>4</w:t>
            </w:r>
            <w:r w:rsidR="004B2FA2">
              <w:rPr>
                <w:rFonts w:ascii="Times New Roman" w:hAnsi="Times New Roman" w:cs="Times New Roman"/>
                <w:bCs/>
              </w:rPr>
              <w:t>.</w:t>
            </w:r>
          </w:p>
        </w:tc>
        <w:tc>
          <w:tcPr>
            <w:tcW w:w="0" w:type="auto"/>
          </w:tcPr>
          <w:p w:rsidR="004B2FA2" w:rsidRPr="00116859" w:rsidRDefault="004B2FA2" w:rsidP="004B2FA2">
            <w:pPr>
              <w:rPr>
                <w:rFonts w:ascii="Times New Roman" w:hAnsi="Times New Roman" w:cs="Times New Roman"/>
              </w:rPr>
            </w:pPr>
            <w:r w:rsidRPr="00116859">
              <w:rPr>
                <w:rFonts w:ascii="Times New Roman" w:hAnsi="Times New Roman" w:cs="Times New Roman"/>
              </w:rPr>
              <w:t>Lietuvos vartotojų organizacijų aljansas</w:t>
            </w:r>
          </w:p>
          <w:p w:rsidR="004B2FA2" w:rsidRPr="00116859" w:rsidRDefault="004B2FA2" w:rsidP="004B2FA2">
            <w:pPr>
              <w:pStyle w:val="Default"/>
              <w:rPr>
                <w:sz w:val="22"/>
                <w:szCs w:val="22"/>
              </w:rPr>
            </w:pPr>
            <w:r w:rsidRPr="00116859">
              <w:rPr>
                <w:sz w:val="22"/>
                <w:szCs w:val="22"/>
              </w:rPr>
              <w:t xml:space="preserve">2020-08-16 raštas Nr. </w:t>
            </w:r>
          </w:p>
          <w:p w:rsidR="00962D95" w:rsidRPr="00036DE4" w:rsidRDefault="004B2FA2" w:rsidP="004B2FA2">
            <w:pPr>
              <w:rPr>
                <w:rFonts w:ascii="Times New Roman" w:hAnsi="Times New Roman" w:cs="Times New Roman"/>
              </w:rPr>
            </w:pPr>
            <w:r w:rsidRPr="00116859">
              <w:rPr>
                <w:rFonts w:ascii="Times New Roman" w:hAnsi="Times New Roman" w:cs="Times New Roman"/>
              </w:rPr>
              <w:t>Nr. RP-40</w:t>
            </w:r>
          </w:p>
        </w:tc>
        <w:tc>
          <w:tcPr>
            <w:tcW w:w="0" w:type="auto"/>
          </w:tcPr>
          <w:p w:rsidR="00962D95" w:rsidRPr="00036DE4" w:rsidRDefault="00962D95" w:rsidP="00036DE4">
            <w:pPr>
              <w:pStyle w:val="Betarp"/>
              <w:jc w:val="both"/>
              <w:rPr>
                <w:bCs/>
                <w:iCs/>
                <w:sz w:val="22"/>
                <w:szCs w:val="22"/>
              </w:rPr>
            </w:pPr>
            <w:r w:rsidRPr="00036DE4">
              <w:rPr>
                <w:bCs/>
                <w:iCs/>
                <w:sz w:val="22"/>
                <w:szCs w:val="22"/>
              </w:rPr>
              <w:t xml:space="preserve">Paminėtina, kad vartotojų asociacijos grupės ieškinio bylose, kaip grupės atstovės gali atstovauti visiems vartotojams, o ne tik asociacijų nariams. Siekiant efektyvesnio ir platesnio vartotojų interesų atstovavimo siūlome Įstatymo 23 straipsnio 3 dalies 5 punktą pakeisti ir išdėstyti taip: </w:t>
            </w:r>
          </w:p>
          <w:p w:rsidR="00962D95" w:rsidRPr="00036DE4" w:rsidRDefault="00962D95" w:rsidP="00036DE4">
            <w:pPr>
              <w:pStyle w:val="Betarp"/>
              <w:jc w:val="both"/>
              <w:rPr>
                <w:bCs/>
                <w:iCs/>
                <w:sz w:val="22"/>
                <w:szCs w:val="22"/>
              </w:rPr>
            </w:pPr>
            <w:r w:rsidRPr="00036DE4">
              <w:rPr>
                <w:bCs/>
                <w:iCs/>
                <w:sz w:val="22"/>
                <w:szCs w:val="22"/>
              </w:rPr>
              <w:t xml:space="preserve">5) paprastos rašytinės formos įgaliojimą, jeigu vartotojui atstovauja atstovas. Jeigu vartotojui atstovauja vartotojų asociacija, kurios narys jis yra, vietoj įgaliojimo pateikiamas dokumentas, patvirtinantis vartotojo narystę vartotojų asociacijoje; </w:t>
            </w:r>
            <w:r w:rsidRPr="00036DE4">
              <w:rPr>
                <w:b/>
                <w:bCs/>
                <w:iCs/>
                <w:sz w:val="22"/>
                <w:szCs w:val="22"/>
              </w:rPr>
              <w:t xml:space="preserve">arba dokumentas, patvirtinantis, kad vartotojui </w:t>
            </w:r>
            <w:r w:rsidR="00036DE4" w:rsidRPr="00036DE4">
              <w:rPr>
                <w:b/>
                <w:bCs/>
                <w:iCs/>
                <w:sz w:val="22"/>
                <w:szCs w:val="22"/>
              </w:rPr>
              <w:t>atstovauja vartotojų asociacija</w:t>
            </w:r>
            <w:r w:rsidR="00036DE4" w:rsidRPr="00036DE4">
              <w:rPr>
                <w:bCs/>
                <w:iCs/>
                <w:sz w:val="22"/>
                <w:szCs w:val="22"/>
              </w:rPr>
              <w:t>.</w:t>
            </w:r>
          </w:p>
        </w:tc>
        <w:tc>
          <w:tcPr>
            <w:tcW w:w="0" w:type="auto"/>
          </w:tcPr>
          <w:p w:rsidR="00962D95" w:rsidRPr="00036DE4" w:rsidRDefault="00883DA2" w:rsidP="009F7423">
            <w:pPr>
              <w:jc w:val="both"/>
              <w:rPr>
                <w:rFonts w:ascii="Times New Roman" w:hAnsi="Times New Roman" w:cs="Times New Roman"/>
                <w:b/>
              </w:rPr>
            </w:pPr>
            <w:r>
              <w:rPr>
                <w:rFonts w:ascii="Times New Roman" w:hAnsi="Times New Roman" w:cs="Times New Roman"/>
                <w:b/>
              </w:rPr>
              <w:t>A</w:t>
            </w:r>
            <w:r w:rsidR="00036DE4" w:rsidRPr="00036DE4">
              <w:rPr>
                <w:rFonts w:ascii="Times New Roman" w:hAnsi="Times New Roman" w:cs="Times New Roman"/>
                <w:b/>
              </w:rPr>
              <w:t>tsižvelgta</w:t>
            </w:r>
            <w:r>
              <w:rPr>
                <w:rFonts w:ascii="Times New Roman" w:hAnsi="Times New Roman" w:cs="Times New Roman"/>
                <w:b/>
              </w:rPr>
              <w:t xml:space="preserve"> iš dalies</w:t>
            </w:r>
            <w:r w:rsidR="00036DE4" w:rsidRPr="00036DE4">
              <w:rPr>
                <w:rFonts w:ascii="Times New Roman" w:hAnsi="Times New Roman" w:cs="Times New Roman"/>
                <w:b/>
              </w:rPr>
              <w:t>.</w:t>
            </w:r>
            <w:r w:rsidR="00036DE4" w:rsidRPr="00A325BD">
              <w:rPr>
                <w:rFonts w:ascii="Times New Roman" w:hAnsi="Times New Roman" w:cs="Times New Roman"/>
              </w:rPr>
              <w:t xml:space="preserve"> </w:t>
            </w:r>
            <w:r>
              <w:rPr>
                <w:rFonts w:ascii="Times New Roman" w:hAnsi="Times New Roman" w:cs="Times New Roman"/>
              </w:rPr>
              <w:t>Pažymėtina, kad jau šiuo metu</w:t>
            </w:r>
            <w:r w:rsidR="00A325BD">
              <w:rPr>
                <w:rFonts w:ascii="Times New Roman" w:hAnsi="Times New Roman" w:cs="Times New Roman"/>
              </w:rPr>
              <w:t xml:space="preserve"> </w:t>
            </w:r>
            <w:r>
              <w:rPr>
                <w:rFonts w:ascii="Times New Roman" w:hAnsi="Times New Roman" w:cs="Times New Roman"/>
              </w:rPr>
              <w:t xml:space="preserve">Vartotojų teisių apsaugos </w:t>
            </w:r>
            <w:r w:rsidR="00A325BD">
              <w:rPr>
                <w:rFonts w:ascii="Times New Roman" w:hAnsi="Times New Roman" w:cs="Times New Roman"/>
              </w:rPr>
              <w:t>įstatym</w:t>
            </w:r>
            <w:r>
              <w:rPr>
                <w:rFonts w:ascii="Times New Roman" w:hAnsi="Times New Roman" w:cs="Times New Roman"/>
              </w:rPr>
              <w:t>o nuostatos leidžia vartotojų asociacijai atstovauti bet kurį vartotoją vartojimo g</w:t>
            </w:r>
            <w:r w:rsidRPr="00A325BD">
              <w:rPr>
                <w:rFonts w:ascii="Times New Roman" w:hAnsi="Times New Roman" w:cs="Times New Roman"/>
              </w:rPr>
              <w:t>inč</w:t>
            </w:r>
            <w:r>
              <w:rPr>
                <w:rFonts w:ascii="Times New Roman" w:hAnsi="Times New Roman" w:cs="Times New Roman"/>
              </w:rPr>
              <w:t>ų</w:t>
            </w:r>
            <w:r w:rsidRPr="00A325BD">
              <w:rPr>
                <w:rFonts w:ascii="Times New Roman" w:hAnsi="Times New Roman" w:cs="Times New Roman"/>
              </w:rPr>
              <w:t xml:space="preserve"> neteisminio sprendimo procedūroje</w:t>
            </w:r>
            <w:r>
              <w:rPr>
                <w:rFonts w:ascii="Times New Roman" w:hAnsi="Times New Roman" w:cs="Times New Roman"/>
              </w:rPr>
              <w:t xml:space="preserve">. Jeigu vartotojų asociacija atstovauja savo narį, tokiu atveju vietoj </w:t>
            </w:r>
            <w:r w:rsidR="00A325BD" w:rsidRPr="00A325BD">
              <w:rPr>
                <w:rFonts w:ascii="Times New Roman" w:hAnsi="Times New Roman" w:cs="Times New Roman"/>
              </w:rPr>
              <w:t xml:space="preserve">rašytinės formos įgaliojimo gali būti pateikiamas </w:t>
            </w:r>
            <w:r w:rsidR="00A325BD" w:rsidRPr="009F7423">
              <w:rPr>
                <w:rFonts w:ascii="Times New Roman" w:hAnsi="Times New Roman" w:cs="Times New Roman"/>
                <w:bCs/>
                <w:iCs/>
              </w:rPr>
              <w:t>dokumentas, patvirtinantis vartotojo narystę vartotojų asociacijoje</w:t>
            </w:r>
            <w:r>
              <w:rPr>
                <w:rFonts w:ascii="Times New Roman" w:hAnsi="Times New Roman" w:cs="Times New Roman"/>
                <w:bCs/>
                <w:iCs/>
              </w:rPr>
              <w:t xml:space="preserve">. </w:t>
            </w:r>
          </w:p>
        </w:tc>
      </w:tr>
      <w:tr w:rsidR="006D6811" w:rsidRPr="00835D10" w:rsidTr="004B2FA2">
        <w:tc>
          <w:tcPr>
            <w:tcW w:w="0" w:type="auto"/>
          </w:tcPr>
          <w:p w:rsidR="0070274F" w:rsidRPr="00036DE4" w:rsidRDefault="00163C24" w:rsidP="002E6C10">
            <w:pPr>
              <w:autoSpaceDE w:val="0"/>
              <w:autoSpaceDN w:val="0"/>
              <w:adjustRightInd w:val="0"/>
              <w:spacing w:line="264" w:lineRule="auto"/>
              <w:rPr>
                <w:rFonts w:ascii="Times New Roman" w:hAnsi="Times New Roman" w:cs="Times New Roman"/>
                <w:bCs/>
              </w:rPr>
            </w:pPr>
            <w:r>
              <w:rPr>
                <w:rFonts w:ascii="Times New Roman" w:hAnsi="Times New Roman" w:cs="Times New Roman"/>
                <w:bCs/>
              </w:rPr>
              <w:t>5</w:t>
            </w:r>
            <w:r w:rsidR="004B2FA2">
              <w:rPr>
                <w:rFonts w:ascii="Times New Roman" w:hAnsi="Times New Roman" w:cs="Times New Roman"/>
                <w:bCs/>
              </w:rPr>
              <w:t>.</w:t>
            </w:r>
          </w:p>
        </w:tc>
        <w:tc>
          <w:tcPr>
            <w:tcW w:w="0" w:type="auto"/>
          </w:tcPr>
          <w:p w:rsidR="00A3635B" w:rsidRPr="00036DE4" w:rsidRDefault="00A3635B" w:rsidP="00A3635B">
            <w:pPr>
              <w:rPr>
                <w:rFonts w:ascii="Times New Roman" w:hAnsi="Times New Roman" w:cs="Times New Roman"/>
              </w:rPr>
            </w:pPr>
            <w:r w:rsidRPr="00036DE4">
              <w:rPr>
                <w:rFonts w:ascii="Times New Roman" w:hAnsi="Times New Roman" w:cs="Times New Roman"/>
              </w:rPr>
              <w:t>Valstybinė energetikos reguliavimo taryba</w:t>
            </w:r>
          </w:p>
          <w:p w:rsidR="00A3635B" w:rsidRPr="00036DE4" w:rsidRDefault="00A3635B" w:rsidP="00A3635B">
            <w:pPr>
              <w:rPr>
                <w:rFonts w:ascii="Times New Roman" w:hAnsi="Times New Roman" w:cs="Times New Roman"/>
              </w:rPr>
            </w:pPr>
            <w:r w:rsidRPr="00036DE4">
              <w:rPr>
                <w:rFonts w:ascii="Times New Roman" w:hAnsi="Times New Roman" w:cs="Times New Roman"/>
              </w:rPr>
              <w:t>2020-08-19</w:t>
            </w:r>
          </w:p>
          <w:p w:rsidR="00A3635B" w:rsidRPr="00036DE4" w:rsidRDefault="00A3635B" w:rsidP="00A3635B">
            <w:pPr>
              <w:rPr>
                <w:rFonts w:ascii="Times New Roman" w:hAnsi="Times New Roman" w:cs="Times New Roman"/>
              </w:rPr>
            </w:pPr>
            <w:r w:rsidRPr="00036DE4">
              <w:rPr>
                <w:rFonts w:ascii="Times New Roman" w:hAnsi="Times New Roman" w:cs="Times New Roman"/>
              </w:rPr>
              <w:t xml:space="preserve">raštas </w:t>
            </w:r>
          </w:p>
          <w:p w:rsidR="0070274F" w:rsidRPr="00036DE4" w:rsidRDefault="00A3635B" w:rsidP="00A3635B">
            <w:pPr>
              <w:rPr>
                <w:rFonts w:ascii="Times New Roman" w:hAnsi="Times New Roman" w:cs="Times New Roman"/>
              </w:rPr>
            </w:pPr>
            <w:r w:rsidRPr="00036DE4">
              <w:rPr>
                <w:rFonts w:ascii="Times New Roman" w:hAnsi="Times New Roman" w:cs="Times New Roman"/>
              </w:rPr>
              <w:t>Nr. R2-(TTA)-4613</w:t>
            </w:r>
          </w:p>
        </w:tc>
        <w:tc>
          <w:tcPr>
            <w:tcW w:w="0" w:type="auto"/>
          </w:tcPr>
          <w:p w:rsidR="0070274F" w:rsidRPr="00036DE4" w:rsidRDefault="0070274F" w:rsidP="006D6811">
            <w:pPr>
              <w:tabs>
                <w:tab w:val="left" w:pos="567"/>
                <w:tab w:val="left" w:pos="993"/>
              </w:tabs>
              <w:jc w:val="both"/>
              <w:rPr>
                <w:rFonts w:ascii="Times New Roman" w:hAnsi="Times New Roman" w:cs="Times New Roman"/>
                <w:bCs/>
                <w:iCs/>
              </w:rPr>
            </w:pPr>
            <w:r w:rsidRPr="00036DE4">
              <w:rPr>
                <w:rFonts w:ascii="Times New Roman" w:hAnsi="Times New Roman" w:cs="Times New Roman"/>
              </w:rPr>
              <w:t xml:space="preserve">Siekiant teisinio aiškumo bei vienodo teisinio reglamentavimo, siūlytina atsižvelgti į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19 punktą, kuriame numatyta, kad prašymas raštu, atsiųstas institucijai elektroninėmis priemonėmis, turi būti pasirašytas kvalifikuotu elektroniniu parašu arba suformuotas elektroninėmis priemonėmis, kurios leidžia užtikrinti teksto vientisumą ir nepakeičiamumą, ir pakeisti VTAĮ 23 straipsnio 3 dalies 1 punktą bei jį išdėstyti taip: „1) prašymą nagrinėti vartojimo </w:t>
            </w:r>
            <w:r w:rsidRPr="00036DE4">
              <w:rPr>
                <w:rFonts w:ascii="Times New Roman" w:hAnsi="Times New Roman" w:cs="Times New Roman"/>
              </w:rPr>
              <w:lastRenderedPageBreak/>
              <w:t>ginčą. Prašymą pasirašo pareiškėjas ar jo atstovas. Prašymas, atsiųstas institucijai elektroninėmis priemonėmis, turi būti pasirašytas kvalifikuotu elektroniniu parašu arba suformuotas elektroninėmis priemonėmis, kurios leidžia užtikrinti teksto vientisumą ir nepakeičiamumą;“. Tuo atveju, jei į šį pasiūlymą nebūtų atsižvelgta, atkreiptinas dėmesys, kad šiuo metu galiojančiose Vartojimo ginčų neteisminio sprendimo procedūros taisyklėse, patvirtintose Lietuvos Respublikos teisingumo ministro 2015 m. gruodži</w:t>
            </w:r>
            <w:r w:rsidR="00036DE4" w:rsidRPr="00036DE4">
              <w:rPr>
                <w:rFonts w:ascii="Times New Roman" w:hAnsi="Times New Roman" w:cs="Times New Roman"/>
              </w:rPr>
              <w:t xml:space="preserve">o 30 d. įsakymu Nr. 1R-382 „Dėl </w:t>
            </w:r>
            <w:r w:rsidRPr="00036DE4">
              <w:rPr>
                <w:rFonts w:ascii="Times New Roman" w:hAnsi="Times New Roman" w:cs="Times New Roman"/>
              </w:rPr>
              <w:t>Vartojimo ginčų neteisminio sprendimo procedūros taisyklių patvirtinimo“, nėra nustatyta jokių būdų, kuriais turėtų būti patvirtinta asmens tapatybė, todėl neaišku, kaip konkrečiai turėtų vykti asmens tapatybės patvirtinimas: ar asmens tapatybė laikytina patvirtinta pateikus tinkamai pasirašytą prašymą, ar turi būti pateikta asmens dokumento kopija, ar kt.</w:t>
            </w:r>
          </w:p>
        </w:tc>
        <w:tc>
          <w:tcPr>
            <w:tcW w:w="0" w:type="auto"/>
          </w:tcPr>
          <w:p w:rsidR="00A154E7" w:rsidRDefault="00B36CB2" w:rsidP="006D6811">
            <w:pPr>
              <w:jc w:val="both"/>
              <w:rPr>
                <w:rFonts w:ascii="Times New Roman" w:hAnsi="Times New Roman" w:cs="Times New Roman"/>
                <w:color w:val="000000"/>
              </w:rPr>
            </w:pPr>
            <w:r>
              <w:rPr>
                <w:rFonts w:ascii="Times New Roman" w:hAnsi="Times New Roman" w:cs="Times New Roman"/>
                <w:b/>
              </w:rPr>
              <w:lastRenderedPageBreak/>
              <w:t>A</w:t>
            </w:r>
            <w:r w:rsidR="006D6811" w:rsidRPr="006D6811">
              <w:rPr>
                <w:rFonts w:ascii="Times New Roman" w:hAnsi="Times New Roman" w:cs="Times New Roman"/>
                <w:b/>
              </w:rPr>
              <w:t>tsižvelgta</w:t>
            </w:r>
            <w:r>
              <w:rPr>
                <w:rFonts w:ascii="Times New Roman" w:hAnsi="Times New Roman" w:cs="Times New Roman"/>
                <w:b/>
              </w:rPr>
              <w:t xml:space="preserve"> iš dalies</w:t>
            </w:r>
            <w:r w:rsidR="00910360" w:rsidRPr="006D6811">
              <w:rPr>
                <w:rFonts w:ascii="Times New Roman" w:hAnsi="Times New Roman" w:cs="Times New Roman"/>
                <w:b/>
              </w:rPr>
              <w:t>.</w:t>
            </w:r>
            <w:r w:rsidR="006D6811" w:rsidRPr="006D6811">
              <w:rPr>
                <w:rFonts w:ascii="Times New Roman" w:hAnsi="Times New Roman" w:cs="Times New Roman"/>
                <w:b/>
              </w:rPr>
              <w:t xml:space="preserve"> </w:t>
            </w:r>
            <w:r w:rsidR="00A154E7">
              <w:rPr>
                <w:rFonts w:ascii="Times New Roman" w:hAnsi="Times New Roman" w:cs="Times New Roman"/>
              </w:rPr>
              <w:t xml:space="preserve">Projekte numatyta, </w:t>
            </w:r>
            <w:r w:rsidR="00A154E7" w:rsidRPr="00A154E7">
              <w:rPr>
                <w:rFonts w:ascii="Times New Roman" w:hAnsi="Times New Roman" w:cs="Times New Roman"/>
              </w:rPr>
              <w:t xml:space="preserve">kad </w:t>
            </w:r>
            <w:r w:rsidR="00A154E7">
              <w:rPr>
                <w:rFonts w:ascii="Times New Roman" w:hAnsi="Times New Roman" w:cs="Times New Roman"/>
                <w:color w:val="000000"/>
              </w:rPr>
              <w:t>p</w:t>
            </w:r>
            <w:r w:rsidR="00A154E7" w:rsidRPr="00A154E7">
              <w:rPr>
                <w:rFonts w:ascii="Times New Roman" w:hAnsi="Times New Roman" w:cs="Times New Roman"/>
                <w:color w:val="000000"/>
              </w:rPr>
              <w:t>ateikiant prašymą elektroniniu būdu, turi būti patvirtinta asmens tapatybė vartojimo ginčų neteisminio sprendimo procedūros taisyklėse nustatytais būdais</w:t>
            </w:r>
            <w:r w:rsidR="00A154E7">
              <w:rPr>
                <w:rFonts w:ascii="Times New Roman" w:hAnsi="Times New Roman" w:cs="Times New Roman"/>
                <w:color w:val="000000"/>
              </w:rPr>
              <w:t xml:space="preserve">. </w:t>
            </w:r>
          </w:p>
          <w:p w:rsidR="0070274F" w:rsidRPr="006D6811" w:rsidRDefault="00A154E7" w:rsidP="006F3811">
            <w:pPr>
              <w:jc w:val="both"/>
              <w:rPr>
                <w:rFonts w:ascii="Times New Roman" w:hAnsi="Times New Roman" w:cs="Times New Roman"/>
                <w:b/>
              </w:rPr>
            </w:pPr>
            <w:r w:rsidRPr="00036DE4">
              <w:rPr>
                <w:rFonts w:ascii="Times New Roman" w:hAnsi="Times New Roman" w:cs="Times New Roman"/>
              </w:rPr>
              <w:t>Vartojimo ginčų neteismini</w:t>
            </w:r>
            <w:r>
              <w:rPr>
                <w:rFonts w:ascii="Times New Roman" w:hAnsi="Times New Roman" w:cs="Times New Roman"/>
              </w:rPr>
              <w:t xml:space="preserve">o sprendimo procedūros taisyklės yra įstatymo įgyvendinamasis teisės aktas. Priėmus įstatymo pakeitimus, bus pakeistos </w:t>
            </w:r>
            <w:r w:rsidR="006F3811" w:rsidRPr="00036DE4">
              <w:rPr>
                <w:rFonts w:ascii="Times New Roman" w:hAnsi="Times New Roman" w:cs="Times New Roman"/>
              </w:rPr>
              <w:t>Vartojimo ginčų neteismini</w:t>
            </w:r>
            <w:r w:rsidR="006F3811">
              <w:rPr>
                <w:rFonts w:ascii="Times New Roman" w:hAnsi="Times New Roman" w:cs="Times New Roman"/>
              </w:rPr>
              <w:t>o sprendimo procedūros</w:t>
            </w:r>
            <w:r w:rsidR="00B36CB2">
              <w:rPr>
                <w:rFonts w:ascii="Times New Roman" w:hAnsi="Times New Roman" w:cs="Times New Roman"/>
              </w:rPr>
              <w:t xml:space="preserve"> taisyklės</w:t>
            </w:r>
            <w:r w:rsidR="006F3811">
              <w:rPr>
                <w:rFonts w:ascii="Times New Roman" w:hAnsi="Times New Roman" w:cs="Times New Roman"/>
              </w:rPr>
              <w:t>, jose numatant</w:t>
            </w:r>
            <w:r>
              <w:rPr>
                <w:rFonts w:ascii="Times New Roman" w:hAnsi="Times New Roman" w:cs="Times New Roman"/>
              </w:rPr>
              <w:t xml:space="preserve"> </w:t>
            </w:r>
            <w:r w:rsidR="006F3811">
              <w:rPr>
                <w:rFonts w:ascii="Times New Roman" w:hAnsi="Times New Roman" w:cs="Times New Roman"/>
              </w:rPr>
              <w:t xml:space="preserve">nuostatas, kurios atitiks </w:t>
            </w:r>
            <w:r w:rsidR="006F3811" w:rsidRPr="00036DE4">
              <w:rPr>
                <w:rFonts w:ascii="Times New Roman" w:hAnsi="Times New Roman" w:cs="Times New Roman"/>
              </w:rPr>
              <w:t>Prašymų ir skundų nagrinėjimo ir asmenų aptarnavimo viešojo administravimo subjektuose taisyklių</w:t>
            </w:r>
            <w:r w:rsidR="006F3811">
              <w:rPr>
                <w:rFonts w:ascii="Times New Roman" w:hAnsi="Times New Roman" w:cs="Times New Roman"/>
              </w:rPr>
              <w:t xml:space="preserve">, patvirtintų </w:t>
            </w:r>
            <w:r w:rsidR="006F3811" w:rsidRPr="00036DE4">
              <w:rPr>
                <w:rFonts w:ascii="Times New Roman" w:hAnsi="Times New Roman" w:cs="Times New Roman"/>
              </w:rPr>
              <w:t xml:space="preserve">Vyriausybės 2007 m. rugpjūčio 22 d. nutarimu Nr. </w:t>
            </w:r>
            <w:r w:rsidR="006F3811" w:rsidRPr="00036DE4">
              <w:rPr>
                <w:rFonts w:ascii="Times New Roman" w:hAnsi="Times New Roman" w:cs="Times New Roman"/>
              </w:rPr>
              <w:lastRenderedPageBreak/>
              <w:t>875</w:t>
            </w:r>
            <w:r w:rsidR="006F3811">
              <w:rPr>
                <w:rFonts w:ascii="Times New Roman" w:hAnsi="Times New Roman" w:cs="Times New Roman"/>
              </w:rPr>
              <w:t xml:space="preserve">, nuostatas dėl elektroninėmis priemonėmis atsiųstų prašymų. </w:t>
            </w:r>
          </w:p>
        </w:tc>
      </w:tr>
      <w:tr w:rsidR="006D6811" w:rsidRPr="00835D10" w:rsidTr="004B2FA2">
        <w:tc>
          <w:tcPr>
            <w:tcW w:w="0" w:type="auto"/>
          </w:tcPr>
          <w:p w:rsidR="0070274F" w:rsidRPr="00036DE4" w:rsidRDefault="00163C24" w:rsidP="00163C24">
            <w:pPr>
              <w:autoSpaceDE w:val="0"/>
              <w:autoSpaceDN w:val="0"/>
              <w:adjustRightInd w:val="0"/>
              <w:spacing w:line="264" w:lineRule="auto"/>
              <w:rPr>
                <w:rFonts w:ascii="Times New Roman" w:hAnsi="Times New Roman" w:cs="Times New Roman"/>
                <w:bCs/>
              </w:rPr>
            </w:pPr>
            <w:r>
              <w:rPr>
                <w:rFonts w:ascii="Times New Roman" w:hAnsi="Times New Roman" w:cs="Times New Roman"/>
                <w:bCs/>
              </w:rPr>
              <w:lastRenderedPageBreak/>
              <w:t>6</w:t>
            </w:r>
            <w:r w:rsidR="004B2FA2">
              <w:rPr>
                <w:rFonts w:ascii="Times New Roman" w:hAnsi="Times New Roman" w:cs="Times New Roman"/>
                <w:bCs/>
              </w:rPr>
              <w:t>.</w:t>
            </w:r>
          </w:p>
        </w:tc>
        <w:tc>
          <w:tcPr>
            <w:tcW w:w="0" w:type="auto"/>
          </w:tcPr>
          <w:p w:rsidR="00A3635B" w:rsidRPr="00036DE4" w:rsidRDefault="00A3635B" w:rsidP="00A3635B">
            <w:pPr>
              <w:rPr>
                <w:rFonts w:ascii="Times New Roman" w:hAnsi="Times New Roman" w:cs="Times New Roman"/>
              </w:rPr>
            </w:pPr>
            <w:r w:rsidRPr="00036DE4">
              <w:rPr>
                <w:rFonts w:ascii="Times New Roman" w:hAnsi="Times New Roman" w:cs="Times New Roman"/>
              </w:rPr>
              <w:t>Valstybinė energetikos reguliavimo taryba</w:t>
            </w:r>
          </w:p>
          <w:p w:rsidR="00A3635B" w:rsidRPr="00036DE4" w:rsidRDefault="00A3635B" w:rsidP="00A3635B">
            <w:pPr>
              <w:rPr>
                <w:rFonts w:ascii="Times New Roman" w:hAnsi="Times New Roman" w:cs="Times New Roman"/>
              </w:rPr>
            </w:pPr>
            <w:r w:rsidRPr="00036DE4">
              <w:rPr>
                <w:rFonts w:ascii="Times New Roman" w:hAnsi="Times New Roman" w:cs="Times New Roman"/>
              </w:rPr>
              <w:t>2020-08-19</w:t>
            </w:r>
          </w:p>
          <w:p w:rsidR="00A3635B" w:rsidRPr="00036DE4" w:rsidRDefault="00A3635B" w:rsidP="00A3635B">
            <w:pPr>
              <w:rPr>
                <w:rFonts w:ascii="Times New Roman" w:hAnsi="Times New Roman" w:cs="Times New Roman"/>
              </w:rPr>
            </w:pPr>
            <w:r w:rsidRPr="00036DE4">
              <w:rPr>
                <w:rFonts w:ascii="Times New Roman" w:hAnsi="Times New Roman" w:cs="Times New Roman"/>
              </w:rPr>
              <w:t xml:space="preserve">raštas </w:t>
            </w:r>
          </w:p>
          <w:p w:rsidR="0070274F" w:rsidRPr="00036DE4" w:rsidRDefault="00A3635B" w:rsidP="00A3635B">
            <w:pPr>
              <w:rPr>
                <w:rFonts w:ascii="Times New Roman" w:hAnsi="Times New Roman" w:cs="Times New Roman"/>
              </w:rPr>
            </w:pPr>
            <w:r w:rsidRPr="00036DE4">
              <w:rPr>
                <w:rFonts w:ascii="Times New Roman" w:hAnsi="Times New Roman" w:cs="Times New Roman"/>
              </w:rPr>
              <w:t>Nr. R2-(TTA)-4613</w:t>
            </w:r>
          </w:p>
        </w:tc>
        <w:tc>
          <w:tcPr>
            <w:tcW w:w="0" w:type="auto"/>
          </w:tcPr>
          <w:p w:rsidR="0070274F" w:rsidRPr="00036DE4" w:rsidRDefault="0070274F" w:rsidP="00036DE4">
            <w:pPr>
              <w:tabs>
                <w:tab w:val="left" w:pos="567"/>
                <w:tab w:val="left" w:pos="993"/>
              </w:tabs>
              <w:jc w:val="both"/>
              <w:rPr>
                <w:rFonts w:ascii="Times New Roman" w:hAnsi="Times New Roman" w:cs="Times New Roman"/>
                <w:bCs/>
                <w:iCs/>
              </w:rPr>
            </w:pPr>
            <w:r w:rsidRPr="00036DE4">
              <w:rPr>
                <w:rFonts w:ascii="Times New Roman" w:hAnsi="Times New Roman" w:cs="Times New Roman"/>
                <w:bCs/>
                <w:iCs/>
              </w:rPr>
              <w:t>Nėra aišku, kodėl keičiant 23 straipsnio 3 dalies 6 punktą atsisakoma reikalavimo pateikti dokumentus, patvirtinančius, kad vartotojų asociacija įregistruota Juridinių asmenų registre ir kad jos steigimo dokumentuose nurodytas veiklos tikslas – vartotojų teisių ir teisėtų interesų atstovavimas ir gynimas, kopijas, jeigu vartotojui atstovauja vartotojų asociacija.</w:t>
            </w:r>
          </w:p>
        </w:tc>
        <w:tc>
          <w:tcPr>
            <w:tcW w:w="0" w:type="auto"/>
          </w:tcPr>
          <w:p w:rsidR="00C1237B" w:rsidRDefault="006D6811" w:rsidP="00491FFE">
            <w:pPr>
              <w:jc w:val="both"/>
              <w:rPr>
                <w:rFonts w:ascii="Times New Roman" w:hAnsi="Times New Roman" w:cs="Times New Roman"/>
              </w:rPr>
            </w:pPr>
            <w:r w:rsidRPr="00C1237B">
              <w:rPr>
                <w:rFonts w:ascii="Times New Roman" w:hAnsi="Times New Roman" w:cs="Times New Roman"/>
                <w:b/>
              </w:rPr>
              <w:t>Neatsižvelgta.</w:t>
            </w:r>
            <w:r w:rsidRPr="00C1237B">
              <w:rPr>
                <w:rFonts w:ascii="Times New Roman" w:hAnsi="Times New Roman" w:cs="Times New Roman"/>
              </w:rPr>
              <w:t xml:space="preserve"> </w:t>
            </w:r>
            <w:r w:rsidR="00C1237B" w:rsidRPr="00C1237B">
              <w:rPr>
                <w:rFonts w:ascii="Times New Roman" w:hAnsi="Times New Roman" w:cs="Times New Roman"/>
              </w:rPr>
              <w:t>Pagal Viešojo administravimo įstatymo 26 straipsnio 2 dalį viešojo administravimo subjektas gali reikalauti tik tų dokumentų ir informacijos, kurių nėra valstybės registruose ar kitose valstybės informacinėse sistemose. Viešojo administravimo subjekto reikalavimas pateikti dokumentus ir informaciją, kurie yra valstybės registruose ar kitose valstybės informacinėse sistemose, laikomas biurokratizmu</w:t>
            </w:r>
            <w:r w:rsidR="00C1237B">
              <w:rPr>
                <w:rFonts w:ascii="Times New Roman" w:hAnsi="Times New Roman" w:cs="Times New Roman"/>
              </w:rPr>
              <w:t xml:space="preserve">. </w:t>
            </w:r>
          </w:p>
          <w:p w:rsidR="0070274F" w:rsidRPr="00C1237B" w:rsidRDefault="00C1237B" w:rsidP="00AB5761">
            <w:pPr>
              <w:jc w:val="both"/>
              <w:rPr>
                <w:rFonts w:ascii="Times New Roman" w:hAnsi="Times New Roman" w:cs="Times New Roman"/>
              </w:rPr>
            </w:pPr>
            <w:r>
              <w:rPr>
                <w:rFonts w:ascii="Times New Roman" w:hAnsi="Times New Roman" w:cs="Times New Roman"/>
              </w:rPr>
              <w:t xml:space="preserve">Vartotojų asociacijų įstatai </w:t>
            </w:r>
            <w:r w:rsidR="00AB5761">
              <w:rPr>
                <w:rFonts w:ascii="Times New Roman" w:hAnsi="Times New Roman" w:cs="Times New Roman"/>
              </w:rPr>
              <w:t xml:space="preserve">yra viešai prieinami valstybės registre – </w:t>
            </w:r>
            <w:r w:rsidR="00910360" w:rsidRPr="00C1237B">
              <w:rPr>
                <w:rFonts w:ascii="Times New Roman" w:hAnsi="Times New Roman" w:cs="Times New Roman"/>
              </w:rPr>
              <w:t>Juridinių asmenų registre.</w:t>
            </w:r>
          </w:p>
        </w:tc>
      </w:tr>
      <w:tr w:rsidR="006D6811" w:rsidRPr="00835D10" w:rsidTr="004B2FA2">
        <w:tc>
          <w:tcPr>
            <w:tcW w:w="0" w:type="auto"/>
          </w:tcPr>
          <w:p w:rsidR="0070274F" w:rsidRPr="00036DE4" w:rsidRDefault="00163C24" w:rsidP="00163C24">
            <w:pPr>
              <w:autoSpaceDE w:val="0"/>
              <w:autoSpaceDN w:val="0"/>
              <w:adjustRightInd w:val="0"/>
              <w:spacing w:line="264" w:lineRule="auto"/>
              <w:rPr>
                <w:rFonts w:ascii="Times New Roman" w:hAnsi="Times New Roman" w:cs="Times New Roman"/>
                <w:bCs/>
              </w:rPr>
            </w:pPr>
            <w:r>
              <w:rPr>
                <w:rFonts w:ascii="Times New Roman" w:hAnsi="Times New Roman" w:cs="Times New Roman"/>
                <w:bCs/>
              </w:rPr>
              <w:t>7</w:t>
            </w:r>
            <w:r w:rsidR="004B2FA2">
              <w:rPr>
                <w:rFonts w:ascii="Times New Roman" w:hAnsi="Times New Roman" w:cs="Times New Roman"/>
                <w:bCs/>
              </w:rPr>
              <w:t>.</w:t>
            </w:r>
          </w:p>
        </w:tc>
        <w:tc>
          <w:tcPr>
            <w:tcW w:w="0" w:type="auto"/>
          </w:tcPr>
          <w:p w:rsidR="00A3635B" w:rsidRPr="00036DE4" w:rsidRDefault="00A3635B" w:rsidP="00A3635B">
            <w:pPr>
              <w:rPr>
                <w:rFonts w:ascii="Times New Roman" w:hAnsi="Times New Roman" w:cs="Times New Roman"/>
              </w:rPr>
            </w:pPr>
            <w:r w:rsidRPr="00036DE4">
              <w:rPr>
                <w:rFonts w:ascii="Times New Roman" w:hAnsi="Times New Roman" w:cs="Times New Roman"/>
              </w:rPr>
              <w:t>Valstybinė energetikos reguliavimo taryba</w:t>
            </w:r>
          </w:p>
          <w:p w:rsidR="00A3635B" w:rsidRPr="00036DE4" w:rsidRDefault="00A3635B" w:rsidP="00A3635B">
            <w:pPr>
              <w:rPr>
                <w:rFonts w:ascii="Times New Roman" w:hAnsi="Times New Roman" w:cs="Times New Roman"/>
              </w:rPr>
            </w:pPr>
            <w:r w:rsidRPr="00036DE4">
              <w:rPr>
                <w:rFonts w:ascii="Times New Roman" w:hAnsi="Times New Roman" w:cs="Times New Roman"/>
              </w:rPr>
              <w:t>2020-08-19</w:t>
            </w:r>
          </w:p>
          <w:p w:rsidR="00A3635B" w:rsidRPr="00036DE4" w:rsidRDefault="00A3635B" w:rsidP="00A3635B">
            <w:pPr>
              <w:rPr>
                <w:rFonts w:ascii="Times New Roman" w:hAnsi="Times New Roman" w:cs="Times New Roman"/>
              </w:rPr>
            </w:pPr>
            <w:r w:rsidRPr="00036DE4">
              <w:rPr>
                <w:rFonts w:ascii="Times New Roman" w:hAnsi="Times New Roman" w:cs="Times New Roman"/>
              </w:rPr>
              <w:t xml:space="preserve">raštas </w:t>
            </w:r>
          </w:p>
          <w:p w:rsidR="0070274F" w:rsidRPr="00036DE4" w:rsidRDefault="00A3635B" w:rsidP="00A3635B">
            <w:pPr>
              <w:rPr>
                <w:rFonts w:ascii="Times New Roman" w:hAnsi="Times New Roman" w:cs="Times New Roman"/>
              </w:rPr>
            </w:pPr>
            <w:r w:rsidRPr="00036DE4">
              <w:rPr>
                <w:rFonts w:ascii="Times New Roman" w:hAnsi="Times New Roman" w:cs="Times New Roman"/>
              </w:rPr>
              <w:t>Nr. R2-(TTA)-4613</w:t>
            </w:r>
          </w:p>
        </w:tc>
        <w:tc>
          <w:tcPr>
            <w:tcW w:w="0" w:type="auto"/>
          </w:tcPr>
          <w:p w:rsidR="0070274F" w:rsidRPr="00036DE4" w:rsidRDefault="0070274F" w:rsidP="006D6811">
            <w:pPr>
              <w:tabs>
                <w:tab w:val="left" w:pos="567"/>
                <w:tab w:val="left" w:pos="993"/>
              </w:tabs>
              <w:jc w:val="both"/>
              <w:rPr>
                <w:rFonts w:ascii="Times New Roman" w:hAnsi="Times New Roman" w:cs="Times New Roman"/>
                <w:bCs/>
                <w:iCs/>
              </w:rPr>
            </w:pPr>
            <w:r w:rsidRPr="00036DE4">
              <w:rPr>
                <w:rFonts w:ascii="Times New Roman" w:hAnsi="Times New Roman" w:cs="Times New Roman"/>
                <w:bCs/>
                <w:iCs/>
              </w:rPr>
              <w:t>Siūloma papildyti VTAĮ 27 straipsnį nauja 5 dalimi. Atkreiptinas dėmesys, kad šiuo metu galiojančiose Vartojimo ginčų neteisminio sprendimo procedūros taisyklėse nėra nustatyta tvarka, kaip turi būti nustatomos vartojimo ginčus nagrinėjančios institucijos ginčo nagrinėjimo išlaidos.</w:t>
            </w:r>
          </w:p>
        </w:tc>
        <w:tc>
          <w:tcPr>
            <w:tcW w:w="0" w:type="auto"/>
          </w:tcPr>
          <w:p w:rsidR="00AB5761" w:rsidRDefault="006D6811" w:rsidP="00910360">
            <w:pPr>
              <w:jc w:val="both"/>
              <w:rPr>
                <w:rFonts w:ascii="Times New Roman" w:hAnsi="Times New Roman" w:cs="Times New Roman"/>
              </w:rPr>
            </w:pPr>
            <w:r w:rsidRPr="006D6811">
              <w:rPr>
                <w:rFonts w:ascii="Times New Roman" w:hAnsi="Times New Roman" w:cs="Times New Roman"/>
                <w:b/>
              </w:rPr>
              <w:t>Neatsižvelgta.</w:t>
            </w:r>
            <w:r>
              <w:rPr>
                <w:rFonts w:ascii="Times New Roman" w:hAnsi="Times New Roman" w:cs="Times New Roman"/>
              </w:rPr>
              <w:t xml:space="preserve"> </w:t>
            </w:r>
            <w:r w:rsidR="00AB5761">
              <w:rPr>
                <w:rFonts w:ascii="Times New Roman" w:hAnsi="Times New Roman" w:cs="Times New Roman"/>
              </w:rPr>
              <w:t xml:space="preserve">Projekte numatyta, kad </w:t>
            </w:r>
            <w:r w:rsidR="00AB5761" w:rsidRPr="00AB5761">
              <w:rPr>
                <w:rFonts w:ascii="Times New Roman" w:hAnsi="Times New Roman" w:cs="Times New Roman"/>
              </w:rPr>
              <w:t>vartojimo ginčus nagrinėjančios institucijos ginčo nagrinėjimo išlaidų dydį nustato vartojimo ginčus nagrinėjanti institucija pagal vartojimo ginčų neteisminio sprendimo procedūros taisykles</w:t>
            </w:r>
            <w:r w:rsidR="00AB5761">
              <w:rPr>
                <w:rFonts w:ascii="Times New Roman" w:hAnsi="Times New Roman" w:cs="Times New Roman"/>
              </w:rPr>
              <w:t xml:space="preserve">. </w:t>
            </w:r>
          </w:p>
          <w:p w:rsidR="0070274F" w:rsidRPr="00036DE4" w:rsidRDefault="00AB5761" w:rsidP="00AB5761">
            <w:pPr>
              <w:jc w:val="both"/>
              <w:rPr>
                <w:rFonts w:ascii="Times New Roman" w:hAnsi="Times New Roman" w:cs="Times New Roman"/>
              </w:rPr>
            </w:pPr>
            <w:r w:rsidRPr="00036DE4">
              <w:rPr>
                <w:rFonts w:ascii="Times New Roman" w:hAnsi="Times New Roman" w:cs="Times New Roman"/>
              </w:rPr>
              <w:t>Vartojimo ginčų neteismini</w:t>
            </w:r>
            <w:r>
              <w:rPr>
                <w:rFonts w:ascii="Times New Roman" w:hAnsi="Times New Roman" w:cs="Times New Roman"/>
              </w:rPr>
              <w:t>o sprendimo procedūros taisyklės yra įstatymo įgyvendinamasis teisės aktas. Priėmus įstatymo pakeitimus, bus pakeistos šios taisyklės, p</w:t>
            </w:r>
            <w:r>
              <w:rPr>
                <w:rFonts w:ascii="Times New Roman" w:hAnsi="Times New Roman" w:cs="Times New Roman"/>
                <w:bCs/>
                <w:iCs/>
              </w:rPr>
              <w:t xml:space="preserve">apildant </w:t>
            </w:r>
            <w:r w:rsidR="00910360" w:rsidRPr="00036DE4">
              <w:rPr>
                <w:rFonts w:ascii="Times New Roman" w:hAnsi="Times New Roman" w:cs="Times New Roman"/>
                <w:bCs/>
                <w:iCs/>
              </w:rPr>
              <w:t xml:space="preserve">nuostatomis dėl </w:t>
            </w:r>
            <w:r w:rsidRPr="00AB5761">
              <w:rPr>
                <w:rFonts w:ascii="Times New Roman" w:hAnsi="Times New Roman" w:cs="Times New Roman"/>
              </w:rPr>
              <w:t>ginčo nagrinėjimo išlaidų dyd</w:t>
            </w:r>
            <w:r>
              <w:rPr>
                <w:rFonts w:ascii="Times New Roman" w:hAnsi="Times New Roman" w:cs="Times New Roman"/>
              </w:rPr>
              <w:t>žio nustatymo</w:t>
            </w:r>
            <w:r w:rsidR="00910360" w:rsidRPr="00036DE4">
              <w:rPr>
                <w:rFonts w:ascii="Times New Roman" w:hAnsi="Times New Roman" w:cs="Times New Roman"/>
                <w:bCs/>
                <w:iCs/>
              </w:rPr>
              <w:t xml:space="preserve">. </w:t>
            </w:r>
          </w:p>
        </w:tc>
      </w:tr>
      <w:tr w:rsidR="00163C24" w:rsidRPr="00835D10" w:rsidTr="004B2FA2">
        <w:tc>
          <w:tcPr>
            <w:tcW w:w="0" w:type="auto"/>
          </w:tcPr>
          <w:p w:rsidR="00163C24" w:rsidRDefault="00163C24" w:rsidP="00163C24">
            <w:pPr>
              <w:autoSpaceDE w:val="0"/>
              <w:autoSpaceDN w:val="0"/>
              <w:adjustRightInd w:val="0"/>
              <w:spacing w:line="264" w:lineRule="auto"/>
              <w:rPr>
                <w:rFonts w:ascii="Times New Roman" w:hAnsi="Times New Roman" w:cs="Times New Roman"/>
                <w:bCs/>
              </w:rPr>
            </w:pPr>
            <w:r>
              <w:rPr>
                <w:rFonts w:ascii="Times New Roman" w:hAnsi="Times New Roman" w:cs="Times New Roman"/>
                <w:bCs/>
              </w:rPr>
              <w:t>8.</w:t>
            </w:r>
          </w:p>
        </w:tc>
        <w:tc>
          <w:tcPr>
            <w:tcW w:w="0" w:type="auto"/>
          </w:tcPr>
          <w:p w:rsidR="00163C24" w:rsidRDefault="00163C24" w:rsidP="00A3635B">
            <w:pPr>
              <w:rPr>
                <w:rFonts w:ascii="Times New Roman" w:hAnsi="Times New Roman" w:cs="Times New Roman"/>
              </w:rPr>
            </w:pPr>
            <w:r>
              <w:rPr>
                <w:rFonts w:ascii="Times New Roman" w:hAnsi="Times New Roman" w:cs="Times New Roman"/>
              </w:rPr>
              <w:t>Lietuvos advokatūra</w:t>
            </w:r>
          </w:p>
          <w:p w:rsidR="00163C24" w:rsidRPr="00036DE4" w:rsidRDefault="00163C24" w:rsidP="00A3635B">
            <w:pPr>
              <w:rPr>
                <w:rFonts w:ascii="Times New Roman" w:hAnsi="Times New Roman" w:cs="Times New Roman"/>
              </w:rPr>
            </w:pPr>
            <w:r>
              <w:rPr>
                <w:rFonts w:ascii="Times New Roman" w:hAnsi="Times New Roman" w:cs="Times New Roman"/>
              </w:rPr>
              <w:t>2020-09-04 raštas Nr. 1136</w:t>
            </w:r>
          </w:p>
        </w:tc>
        <w:tc>
          <w:tcPr>
            <w:tcW w:w="0" w:type="auto"/>
          </w:tcPr>
          <w:p w:rsidR="00163C24" w:rsidRPr="00036DE4" w:rsidRDefault="00163C24" w:rsidP="006D6811">
            <w:pPr>
              <w:tabs>
                <w:tab w:val="left" w:pos="567"/>
                <w:tab w:val="left" w:pos="993"/>
              </w:tabs>
              <w:jc w:val="both"/>
              <w:rPr>
                <w:rFonts w:ascii="Times New Roman" w:hAnsi="Times New Roman" w:cs="Times New Roman"/>
                <w:bCs/>
                <w:iCs/>
              </w:rPr>
            </w:pPr>
            <w:r>
              <w:rPr>
                <w:rFonts w:ascii="Times New Roman" w:hAnsi="Times New Roman" w:cs="Times New Roman"/>
                <w:bCs/>
                <w:iCs/>
              </w:rPr>
              <w:t>Projektu siūloma panaikinti VTAĮ22 straipsnio 1 dalies 5 punktą, kuris numato, kad Lietuvos advokatūros advokatų taryba ar jos sudarytas organas nagrinėja vartotojų ir advokatų ginčus dėl teisinių paslaugų. Taip pat Projektu siūloma papildyti VTAĮ 35</w:t>
            </w:r>
            <w:r w:rsidRPr="00163C24">
              <w:rPr>
                <w:rFonts w:ascii="Times New Roman" w:hAnsi="Times New Roman" w:cs="Times New Roman"/>
                <w:bCs/>
                <w:iCs/>
                <w:vertAlign w:val="superscript"/>
              </w:rPr>
              <w:t>1</w:t>
            </w:r>
            <w:r>
              <w:rPr>
                <w:rFonts w:ascii="Times New Roman" w:hAnsi="Times New Roman" w:cs="Times New Roman"/>
                <w:bCs/>
                <w:iCs/>
              </w:rPr>
              <w:t xml:space="preserve"> straipsniu, </w:t>
            </w:r>
            <w:r w:rsidR="005622BB">
              <w:rPr>
                <w:rFonts w:ascii="Times New Roman" w:hAnsi="Times New Roman" w:cs="Times New Roman"/>
                <w:bCs/>
                <w:iCs/>
              </w:rPr>
              <w:lastRenderedPageBreak/>
              <w:t>pagal kurį Valstybinė vartotojų teisių apsaugos tarnyba nustatytų vartojimo sutarčių nesąžiningas sąlygas pagal Civilinio kodekso 6.228</w:t>
            </w:r>
            <w:r w:rsidR="005622BB" w:rsidRPr="005622BB">
              <w:rPr>
                <w:rFonts w:ascii="Times New Roman" w:hAnsi="Times New Roman" w:cs="Times New Roman"/>
                <w:bCs/>
                <w:iCs/>
                <w:vertAlign w:val="superscript"/>
              </w:rPr>
              <w:t>4</w:t>
            </w:r>
            <w:r w:rsidR="005622BB">
              <w:rPr>
                <w:rFonts w:ascii="Times New Roman" w:hAnsi="Times New Roman" w:cs="Times New Roman"/>
                <w:bCs/>
                <w:iCs/>
              </w:rPr>
              <w:t xml:space="preserve"> straipsnį.</w:t>
            </w:r>
            <w:r w:rsidR="000F5BF3">
              <w:rPr>
                <w:rFonts w:ascii="Times New Roman" w:hAnsi="Times New Roman" w:cs="Times New Roman"/>
                <w:bCs/>
                <w:iCs/>
              </w:rPr>
              <w:t xml:space="preserve"> Siūlytina atsisakyti Projekto dalies, pagal kurią Tarnybai norima suteikti teisę nustatinėti vartojimo sutarčių nesąžiningas sąlygas pagal Civilinio kodekso 6.228</w:t>
            </w:r>
            <w:r w:rsidR="000F5BF3" w:rsidRPr="005622BB">
              <w:rPr>
                <w:rFonts w:ascii="Times New Roman" w:hAnsi="Times New Roman" w:cs="Times New Roman"/>
                <w:bCs/>
                <w:iCs/>
                <w:vertAlign w:val="superscript"/>
              </w:rPr>
              <w:t>4</w:t>
            </w:r>
            <w:r w:rsidR="000F5BF3">
              <w:rPr>
                <w:rFonts w:ascii="Times New Roman" w:hAnsi="Times New Roman" w:cs="Times New Roman"/>
                <w:bCs/>
                <w:iCs/>
              </w:rPr>
              <w:t xml:space="preserve"> straipsnį.</w:t>
            </w:r>
          </w:p>
        </w:tc>
        <w:tc>
          <w:tcPr>
            <w:tcW w:w="0" w:type="auto"/>
          </w:tcPr>
          <w:p w:rsidR="00163C24" w:rsidRDefault="00163C24" w:rsidP="00910360">
            <w:pPr>
              <w:jc w:val="both"/>
              <w:rPr>
                <w:rFonts w:ascii="Times New Roman" w:hAnsi="Times New Roman" w:cs="Times New Roman"/>
              </w:rPr>
            </w:pPr>
            <w:r>
              <w:rPr>
                <w:rFonts w:ascii="Times New Roman" w:hAnsi="Times New Roman" w:cs="Times New Roman"/>
                <w:b/>
              </w:rPr>
              <w:lastRenderedPageBreak/>
              <w:t>Atsižvelgta iš dalies.</w:t>
            </w:r>
            <w:r w:rsidRPr="00163C24">
              <w:rPr>
                <w:rFonts w:ascii="Times New Roman" w:hAnsi="Times New Roman" w:cs="Times New Roman"/>
              </w:rPr>
              <w:t xml:space="preserve"> Projekte atsisakyta Vartotojų teisių apsaugos įstatymo </w:t>
            </w:r>
            <w:r>
              <w:rPr>
                <w:rFonts w:ascii="Times New Roman" w:hAnsi="Times New Roman" w:cs="Times New Roman"/>
              </w:rPr>
              <w:t xml:space="preserve">22 straipsnio 1 dalies 5 punkto panaikinimo, t. y. </w:t>
            </w:r>
            <w:r w:rsidR="000F5BF3">
              <w:rPr>
                <w:rFonts w:ascii="Times New Roman" w:hAnsi="Times New Roman" w:cs="Times New Roman"/>
              </w:rPr>
              <w:t xml:space="preserve">įstatyme išlieka </w:t>
            </w:r>
            <w:r>
              <w:rPr>
                <w:rFonts w:ascii="Times New Roman" w:hAnsi="Times New Roman" w:cs="Times New Roman"/>
              </w:rPr>
              <w:t xml:space="preserve">nuostata, kad Lietuvos </w:t>
            </w:r>
            <w:r>
              <w:rPr>
                <w:rFonts w:ascii="Times New Roman" w:hAnsi="Times New Roman" w:cs="Times New Roman"/>
              </w:rPr>
              <w:lastRenderedPageBreak/>
              <w:t>advokatūros advokatų taryba ar jos sudarytas organas nagrinėja vartotojų ir advokatų ginčus dėl teisinių paslaugų.</w:t>
            </w:r>
          </w:p>
          <w:p w:rsidR="000F5BF3" w:rsidRPr="006D6811" w:rsidRDefault="000F5BF3" w:rsidP="005C1619">
            <w:pPr>
              <w:jc w:val="both"/>
              <w:rPr>
                <w:rFonts w:ascii="Times New Roman" w:hAnsi="Times New Roman" w:cs="Times New Roman"/>
                <w:b/>
              </w:rPr>
            </w:pPr>
            <w:r>
              <w:rPr>
                <w:rFonts w:ascii="Times New Roman" w:hAnsi="Times New Roman" w:cs="Times New Roman"/>
              </w:rPr>
              <w:t xml:space="preserve">Pažymėtina, kad Valstybinė vartotojų teisių apsaugos tarnyba ir šiuo metu vykdo vartojimo sutarčių nesąžiningų sąlygų kontrolę (VTAĮ 12 straipsnio 1 dalies 6 punktas). </w:t>
            </w:r>
            <w:r w:rsidR="005C1619">
              <w:rPr>
                <w:rFonts w:ascii="Times New Roman" w:hAnsi="Times New Roman" w:cs="Times New Roman"/>
              </w:rPr>
              <w:t xml:space="preserve">Ši nuostata užtikrina </w:t>
            </w:r>
            <w:r w:rsidR="005C1619" w:rsidRPr="0047336E">
              <w:rPr>
                <w:rFonts w:ascii="Times New Roman" w:hAnsi="Times New Roman" w:cs="Times New Roman"/>
              </w:rPr>
              <w:t>Direktyv</w:t>
            </w:r>
            <w:r w:rsidR="005C1619">
              <w:rPr>
                <w:rFonts w:ascii="Times New Roman" w:hAnsi="Times New Roman" w:cs="Times New Roman"/>
              </w:rPr>
              <w:t>os</w:t>
            </w:r>
            <w:r w:rsidR="005C1619" w:rsidRPr="0047336E">
              <w:rPr>
                <w:rFonts w:ascii="Times New Roman" w:hAnsi="Times New Roman" w:cs="Times New Roman"/>
              </w:rPr>
              <w:t xml:space="preserve"> </w:t>
            </w:r>
            <w:r w:rsidR="005C1619" w:rsidRPr="00036DE4">
              <w:rPr>
                <w:rFonts w:ascii="Times New Roman" w:hAnsi="Times New Roman" w:cs="Times New Roman"/>
                <w:bCs/>
                <w:iCs/>
              </w:rPr>
              <w:t>93/13/EEB</w:t>
            </w:r>
            <w:r w:rsidR="005C1619">
              <w:rPr>
                <w:rFonts w:ascii="Times New Roman" w:hAnsi="Times New Roman" w:cs="Times New Roman"/>
                <w:bCs/>
                <w:iCs/>
              </w:rPr>
              <w:t xml:space="preserve"> tinkamą ir efektyvų įgyvendinimą. </w:t>
            </w:r>
          </w:p>
        </w:tc>
      </w:tr>
    </w:tbl>
    <w:p w:rsidR="006E04B1" w:rsidRPr="00745393" w:rsidRDefault="00B2281C">
      <w:pPr>
        <w:rPr>
          <w:rFonts w:ascii="Times New Roman" w:hAnsi="Times New Roman" w:cs="Times New Roman"/>
          <w:sz w:val="24"/>
          <w:szCs w:val="24"/>
        </w:rPr>
      </w:pPr>
    </w:p>
    <w:sectPr w:rsidR="006E04B1" w:rsidRPr="00745393" w:rsidSect="00C12AFA">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81C" w:rsidRDefault="00B2281C" w:rsidP="00937A4B">
      <w:pPr>
        <w:spacing w:after="0" w:line="240" w:lineRule="auto"/>
      </w:pPr>
      <w:r>
        <w:separator/>
      </w:r>
    </w:p>
  </w:endnote>
  <w:endnote w:type="continuationSeparator" w:id="0">
    <w:p w:rsidR="00B2281C" w:rsidRDefault="00B2281C" w:rsidP="0093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81C" w:rsidRDefault="00B2281C" w:rsidP="00937A4B">
      <w:pPr>
        <w:spacing w:after="0" w:line="240" w:lineRule="auto"/>
      </w:pPr>
      <w:r>
        <w:separator/>
      </w:r>
    </w:p>
  </w:footnote>
  <w:footnote w:type="continuationSeparator" w:id="0">
    <w:p w:rsidR="00B2281C" w:rsidRDefault="00B2281C" w:rsidP="00937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847122"/>
      <w:docPartObj>
        <w:docPartGallery w:val="Page Numbers (Top of Page)"/>
        <w:docPartUnique/>
      </w:docPartObj>
    </w:sdtPr>
    <w:sdtEndPr>
      <w:rPr>
        <w:rFonts w:ascii="Times New Roman" w:hAnsi="Times New Roman" w:cs="Times New Roman"/>
        <w:sz w:val="24"/>
        <w:szCs w:val="24"/>
      </w:rPr>
    </w:sdtEndPr>
    <w:sdtContent>
      <w:p w:rsidR="00C12AFA" w:rsidRPr="00FD3D85" w:rsidRDefault="00C12AFA">
        <w:pPr>
          <w:pStyle w:val="Antrats"/>
          <w:jc w:val="center"/>
          <w:rPr>
            <w:rFonts w:ascii="Times New Roman" w:hAnsi="Times New Roman" w:cs="Times New Roman"/>
            <w:sz w:val="24"/>
            <w:szCs w:val="24"/>
          </w:rPr>
        </w:pPr>
        <w:r w:rsidRPr="00FD3D85">
          <w:rPr>
            <w:rFonts w:ascii="Times New Roman" w:hAnsi="Times New Roman" w:cs="Times New Roman"/>
            <w:sz w:val="24"/>
            <w:szCs w:val="24"/>
          </w:rPr>
          <w:fldChar w:fldCharType="begin"/>
        </w:r>
        <w:r w:rsidRPr="00FD3D85">
          <w:rPr>
            <w:rFonts w:ascii="Times New Roman" w:hAnsi="Times New Roman" w:cs="Times New Roman"/>
            <w:sz w:val="24"/>
            <w:szCs w:val="24"/>
          </w:rPr>
          <w:instrText>PAGE   \* MERGEFORMAT</w:instrText>
        </w:r>
        <w:r w:rsidRPr="00FD3D85">
          <w:rPr>
            <w:rFonts w:ascii="Times New Roman" w:hAnsi="Times New Roman" w:cs="Times New Roman"/>
            <w:sz w:val="24"/>
            <w:szCs w:val="24"/>
          </w:rPr>
          <w:fldChar w:fldCharType="separate"/>
        </w:r>
        <w:r w:rsidR="00E82866">
          <w:rPr>
            <w:rFonts w:ascii="Times New Roman" w:hAnsi="Times New Roman" w:cs="Times New Roman"/>
            <w:noProof/>
            <w:sz w:val="24"/>
            <w:szCs w:val="24"/>
          </w:rPr>
          <w:t>5</w:t>
        </w:r>
        <w:r w:rsidRPr="00FD3D8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04820"/>
    <w:multiLevelType w:val="hybridMultilevel"/>
    <w:tmpl w:val="922E52D4"/>
    <w:lvl w:ilvl="0" w:tplc="9A9CBAAA">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D5A4BD0"/>
    <w:multiLevelType w:val="hybridMultilevel"/>
    <w:tmpl w:val="E8A82302"/>
    <w:lvl w:ilvl="0" w:tplc="5CBCF462">
      <w:start w:val="201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207F7C"/>
    <w:multiLevelType w:val="hybridMultilevel"/>
    <w:tmpl w:val="6E564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0E47D8"/>
    <w:multiLevelType w:val="hybridMultilevel"/>
    <w:tmpl w:val="1134720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2E02FF4"/>
    <w:multiLevelType w:val="hybridMultilevel"/>
    <w:tmpl w:val="B0426648"/>
    <w:lvl w:ilvl="0" w:tplc="D568B3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0523D01"/>
    <w:multiLevelType w:val="hybridMultilevel"/>
    <w:tmpl w:val="88D84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6F6B1B"/>
    <w:multiLevelType w:val="hybridMultilevel"/>
    <w:tmpl w:val="1EBEAE6E"/>
    <w:lvl w:ilvl="0" w:tplc="82D00F10">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7" w15:restartNumberingAfterBreak="0">
    <w:nsid w:val="791F7FB2"/>
    <w:multiLevelType w:val="hybridMultilevel"/>
    <w:tmpl w:val="6F987C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C327E4"/>
    <w:multiLevelType w:val="hybridMultilevel"/>
    <w:tmpl w:val="D0BC6FA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5E"/>
    <w:rsid w:val="00014AE6"/>
    <w:rsid w:val="00035D85"/>
    <w:rsid w:val="00036DE4"/>
    <w:rsid w:val="00044F9B"/>
    <w:rsid w:val="00045F59"/>
    <w:rsid w:val="0005772C"/>
    <w:rsid w:val="000956B8"/>
    <w:rsid w:val="000969A5"/>
    <w:rsid w:val="000A4574"/>
    <w:rsid w:val="000C127C"/>
    <w:rsid w:val="000F5BF3"/>
    <w:rsid w:val="00116859"/>
    <w:rsid w:val="00132F7D"/>
    <w:rsid w:val="00160C0D"/>
    <w:rsid w:val="00163C24"/>
    <w:rsid w:val="00167AC8"/>
    <w:rsid w:val="001709B1"/>
    <w:rsid w:val="00175A2A"/>
    <w:rsid w:val="0018631F"/>
    <w:rsid w:val="001B1FCA"/>
    <w:rsid w:val="001C5FA4"/>
    <w:rsid w:val="001D1F98"/>
    <w:rsid w:val="001F4788"/>
    <w:rsid w:val="00215715"/>
    <w:rsid w:val="00235FB3"/>
    <w:rsid w:val="00252C7B"/>
    <w:rsid w:val="002929B5"/>
    <w:rsid w:val="002958DE"/>
    <w:rsid w:val="002E1AD3"/>
    <w:rsid w:val="002E5C69"/>
    <w:rsid w:val="0030518E"/>
    <w:rsid w:val="00325914"/>
    <w:rsid w:val="0033342E"/>
    <w:rsid w:val="00344058"/>
    <w:rsid w:val="003700D5"/>
    <w:rsid w:val="00394A2A"/>
    <w:rsid w:val="003A2B69"/>
    <w:rsid w:val="003B75A3"/>
    <w:rsid w:val="00410A8E"/>
    <w:rsid w:val="0044158A"/>
    <w:rsid w:val="0046556D"/>
    <w:rsid w:val="0047336E"/>
    <w:rsid w:val="00491FFE"/>
    <w:rsid w:val="00492FE6"/>
    <w:rsid w:val="00497974"/>
    <w:rsid w:val="004B2FA2"/>
    <w:rsid w:val="004F4C4A"/>
    <w:rsid w:val="0050704D"/>
    <w:rsid w:val="005208C9"/>
    <w:rsid w:val="00523EF6"/>
    <w:rsid w:val="00534A36"/>
    <w:rsid w:val="00545A98"/>
    <w:rsid w:val="00554143"/>
    <w:rsid w:val="005622BB"/>
    <w:rsid w:val="00571C71"/>
    <w:rsid w:val="00583788"/>
    <w:rsid w:val="00590091"/>
    <w:rsid w:val="005B20B0"/>
    <w:rsid w:val="005B47C1"/>
    <w:rsid w:val="005C1619"/>
    <w:rsid w:val="005E6D45"/>
    <w:rsid w:val="00614D4E"/>
    <w:rsid w:val="00644871"/>
    <w:rsid w:val="00647E65"/>
    <w:rsid w:val="00682C07"/>
    <w:rsid w:val="0068452E"/>
    <w:rsid w:val="00687CFA"/>
    <w:rsid w:val="006A595E"/>
    <w:rsid w:val="006D10BD"/>
    <w:rsid w:val="006D6811"/>
    <w:rsid w:val="006E7B10"/>
    <w:rsid w:val="006F3811"/>
    <w:rsid w:val="0070274F"/>
    <w:rsid w:val="00714586"/>
    <w:rsid w:val="00745393"/>
    <w:rsid w:val="007C3639"/>
    <w:rsid w:val="007D5AB7"/>
    <w:rsid w:val="007E1264"/>
    <w:rsid w:val="007E1A5B"/>
    <w:rsid w:val="007F59CB"/>
    <w:rsid w:val="00806530"/>
    <w:rsid w:val="0081268F"/>
    <w:rsid w:val="0082028B"/>
    <w:rsid w:val="00823EA5"/>
    <w:rsid w:val="00846126"/>
    <w:rsid w:val="008718BF"/>
    <w:rsid w:val="00883DA2"/>
    <w:rsid w:val="008B480F"/>
    <w:rsid w:val="008B5933"/>
    <w:rsid w:val="008F1485"/>
    <w:rsid w:val="008F20DD"/>
    <w:rsid w:val="00910360"/>
    <w:rsid w:val="00937A4B"/>
    <w:rsid w:val="009475E6"/>
    <w:rsid w:val="0095379F"/>
    <w:rsid w:val="00962D95"/>
    <w:rsid w:val="00964A8A"/>
    <w:rsid w:val="00974696"/>
    <w:rsid w:val="009B7A9A"/>
    <w:rsid w:val="009E2D98"/>
    <w:rsid w:val="009F7423"/>
    <w:rsid w:val="00A01790"/>
    <w:rsid w:val="00A12FD6"/>
    <w:rsid w:val="00A14E38"/>
    <w:rsid w:val="00A154E7"/>
    <w:rsid w:val="00A15AE3"/>
    <w:rsid w:val="00A20EAF"/>
    <w:rsid w:val="00A325BD"/>
    <w:rsid w:val="00A3635B"/>
    <w:rsid w:val="00A4417C"/>
    <w:rsid w:val="00A73CBE"/>
    <w:rsid w:val="00A8385E"/>
    <w:rsid w:val="00A83892"/>
    <w:rsid w:val="00AB5761"/>
    <w:rsid w:val="00AC12EB"/>
    <w:rsid w:val="00AC1E4B"/>
    <w:rsid w:val="00AC58F2"/>
    <w:rsid w:val="00AC5F6E"/>
    <w:rsid w:val="00AD7973"/>
    <w:rsid w:val="00AE19BD"/>
    <w:rsid w:val="00B00DC2"/>
    <w:rsid w:val="00B2281C"/>
    <w:rsid w:val="00B25E31"/>
    <w:rsid w:val="00B36CB2"/>
    <w:rsid w:val="00B601AB"/>
    <w:rsid w:val="00BC3D36"/>
    <w:rsid w:val="00BD5011"/>
    <w:rsid w:val="00BE57EF"/>
    <w:rsid w:val="00BF68FA"/>
    <w:rsid w:val="00C00035"/>
    <w:rsid w:val="00C1237B"/>
    <w:rsid w:val="00C12AFA"/>
    <w:rsid w:val="00C179D7"/>
    <w:rsid w:val="00C55236"/>
    <w:rsid w:val="00C6059D"/>
    <w:rsid w:val="00C773DB"/>
    <w:rsid w:val="00CD36BE"/>
    <w:rsid w:val="00CF7271"/>
    <w:rsid w:val="00D02339"/>
    <w:rsid w:val="00D03EDD"/>
    <w:rsid w:val="00D2075C"/>
    <w:rsid w:val="00D229A1"/>
    <w:rsid w:val="00D63BE9"/>
    <w:rsid w:val="00D8222A"/>
    <w:rsid w:val="00DA55D5"/>
    <w:rsid w:val="00DA7EA0"/>
    <w:rsid w:val="00DB043A"/>
    <w:rsid w:val="00DE4F91"/>
    <w:rsid w:val="00E021C6"/>
    <w:rsid w:val="00E82866"/>
    <w:rsid w:val="00E90CC6"/>
    <w:rsid w:val="00E90D3C"/>
    <w:rsid w:val="00E92E2C"/>
    <w:rsid w:val="00ED0642"/>
    <w:rsid w:val="00EF4148"/>
    <w:rsid w:val="00F00FC0"/>
    <w:rsid w:val="00F70FAB"/>
    <w:rsid w:val="00FB293D"/>
    <w:rsid w:val="00FD1D5E"/>
    <w:rsid w:val="00FD3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A802D-F858-4CC7-A774-AAF3FB5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D1D5E"/>
    <w:pPr>
      <w:ind w:left="720"/>
      <w:contextualSpacing/>
    </w:pPr>
  </w:style>
  <w:style w:type="character" w:styleId="Hipersaitas">
    <w:name w:val="Hyperlink"/>
    <w:basedOn w:val="Numatytasispastraiposriftas"/>
    <w:uiPriority w:val="99"/>
    <w:unhideWhenUsed/>
    <w:rsid w:val="00937A4B"/>
    <w:rPr>
      <w:color w:val="0563C1" w:themeColor="hyperlink"/>
      <w:u w:val="single"/>
    </w:rPr>
  </w:style>
  <w:style w:type="paragraph" w:styleId="Puslapioinaostekstas">
    <w:name w:val="footnote text"/>
    <w:basedOn w:val="prastasis"/>
    <w:link w:val="PuslapioinaostekstasDiagrama"/>
    <w:uiPriority w:val="99"/>
    <w:unhideWhenUsed/>
    <w:rsid w:val="00937A4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937A4B"/>
    <w:rPr>
      <w:rFonts w:ascii="Times New Roman" w:eastAsia="Times New Roman" w:hAnsi="Times New Roman" w:cs="Times New Roman"/>
      <w:sz w:val="20"/>
      <w:szCs w:val="20"/>
    </w:rPr>
  </w:style>
  <w:style w:type="character" w:styleId="Puslapioinaosnuoroda">
    <w:name w:val="footnote reference"/>
    <w:uiPriority w:val="99"/>
    <w:unhideWhenUsed/>
    <w:rsid w:val="00937A4B"/>
    <w:rPr>
      <w:vertAlign w:val="superscript"/>
    </w:rPr>
  </w:style>
  <w:style w:type="paragraph" w:styleId="Antrats">
    <w:name w:val="header"/>
    <w:basedOn w:val="prastasis"/>
    <w:link w:val="AntratsDiagrama"/>
    <w:uiPriority w:val="99"/>
    <w:unhideWhenUsed/>
    <w:rsid w:val="00C12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2AFA"/>
  </w:style>
  <w:style w:type="paragraph" w:styleId="Porat">
    <w:name w:val="footer"/>
    <w:basedOn w:val="prastasis"/>
    <w:link w:val="PoratDiagrama"/>
    <w:uiPriority w:val="99"/>
    <w:unhideWhenUsed/>
    <w:rsid w:val="00C12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2AFA"/>
  </w:style>
  <w:style w:type="paragraph" w:styleId="Betarp">
    <w:name w:val="No Spacing"/>
    <w:link w:val="BetarpDiagrama"/>
    <w:qFormat/>
    <w:rsid w:val="00571C71"/>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BetarpDiagrama">
    <w:name w:val="Be tarpų Diagrama"/>
    <w:link w:val="Betarp"/>
    <w:locked/>
    <w:rsid w:val="00571C71"/>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rsid w:val="00AC5F6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AC5F6E"/>
    <w:rPr>
      <w:rFonts w:ascii="Times New Roman" w:eastAsia="Times New Roman" w:hAnsi="Times New Roman" w:cs="Times New Roman"/>
      <w:sz w:val="20"/>
      <w:szCs w:val="20"/>
      <w:lang w:eastAsia="lt-LT"/>
    </w:rPr>
  </w:style>
  <w:style w:type="character" w:customStyle="1" w:styleId="bold1">
    <w:name w:val="bold1"/>
    <w:basedOn w:val="Numatytasispastraiposriftas"/>
    <w:rsid w:val="00AC5F6E"/>
    <w:rPr>
      <w:b/>
      <w:bCs/>
    </w:rPr>
  </w:style>
  <w:style w:type="paragraph" w:customStyle="1" w:styleId="Default">
    <w:name w:val="Default"/>
    <w:rsid w:val="001168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7927">
      <w:bodyDiv w:val="1"/>
      <w:marLeft w:val="0"/>
      <w:marRight w:val="0"/>
      <w:marTop w:val="0"/>
      <w:marBottom w:val="0"/>
      <w:divBdr>
        <w:top w:val="none" w:sz="0" w:space="0" w:color="auto"/>
        <w:left w:val="none" w:sz="0" w:space="0" w:color="auto"/>
        <w:bottom w:val="none" w:sz="0" w:space="0" w:color="auto"/>
        <w:right w:val="none" w:sz="0" w:space="0" w:color="auto"/>
      </w:divBdr>
    </w:div>
    <w:div w:id="151144973">
      <w:bodyDiv w:val="1"/>
      <w:marLeft w:val="0"/>
      <w:marRight w:val="0"/>
      <w:marTop w:val="0"/>
      <w:marBottom w:val="0"/>
      <w:divBdr>
        <w:top w:val="none" w:sz="0" w:space="0" w:color="auto"/>
        <w:left w:val="none" w:sz="0" w:space="0" w:color="auto"/>
        <w:bottom w:val="none" w:sz="0" w:space="0" w:color="auto"/>
        <w:right w:val="none" w:sz="0" w:space="0" w:color="auto"/>
      </w:divBdr>
    </w:div>
    <w:div w:id="382606464">
      <w:bodyDiv w:val="1"/>
      <w:marLeft w:val="0"/>
      <w:marRight w:val="0"/>
      <w:marTop w:val="0"/>
      <w:marBottom w:val="0"/>
      <w:divBdr>
        <w:top w:val="none" w:sz="0" w:space="0" w:color="auto"/>
        <w:left w:val="none" w:sz="0" w:space="0" w:color="auto"/>
        <w:bottom w:val="none" w:sz="0" w:space="0" w:color="auto"/>
        <w:right w:val="none" w:sz="0" w:space="0" w:color="auto"/>
      </w:divBdr>
      <w:divsChild>
        <w:div w:id="1467166130">
          <w:marLeft w:val="0"/>
          <w:marRight w:val="0"/>
          <w:marTop w:val="0"/>
          <w:marBottom w:val="0"/>
          <w:divBdr>
            <w:top w:val="none" w:sz="0" w:space="0" w:color="auto"/>
            <w:left w:val="none" w:sz="0" w:space="0" w:color="auto"/>
            <w:bottom w:val="none" w:sz="0" w:space="0" w:color="auto"/>
            <w:right w:val="none" w:sz="0" w:space="0" w:color="auto"/>
          </w:divBdr>
          <w:divsChild>
            <w:div w:id="280109601">
              <w:marLeft w:val="0"/>
              <w:marRight w:val="0"/>
              <w:marTop w:val="0"/>
              <w:marBottom w:val="0"/>
              <w:divBdr>
                <w:top w:val="none" w:sz="0" w:space="0" w:color="auto"/>
                <w:left w:val="none" w:sz="0" w:space="0" w:color="auto"/>
                <w:bottom w:val="none" w:sz="0" w:space="0" w:color="auto"/>
                <w:right w:val="none" w:sz="0" w:space="0" w:color="auto"/>
              </w:divBdr>
              <w:divsChild>
                <w:div w:id="777139167">
                  <w:marLeft w:val="0"/>
                  <w:marRight w:val="0"/>
                  <w:marTop w:val="0"/>
                  <w:marBottom w:val="0"/>
                  <w:divBdr>
                    <w:top w:val="none" w:sz="0" w:space="0" w:color="auto"/>
                    <w:left w:val="none" w:sz="0" w:space="0" w:color="auto"/>
                    <w:bottom w:val="none" w:sz="0" w:space="0" w:color="auto"/>
                    <w:right w:val="none" w:sz="0" w:space="0" w:color="auto"/>
                  </w:divBdr>
                  <w:divsChild>
                    <w:div w:id="1290621665">
                      <w:marLeft w:val="0"/>
                      <w:marRight w:val="0"/>
                      <w:marTop w:val="0"/>
                      <w:marBottom w:val="0"/>
                      <w:divBdr>
                        <w:top w:val="none" w:sz="0" w:space="0" w:color="auto"/>
                        <w:left w:val="none" w:sz="0" w:space="0" w:color="auto"/>
                        <w:bottom w:val="none" w:sz="0" w:space="0" w:color="auto"/>
                        <w:right w:val="none" w:sz="0" w:space="0" w:color="auto"/>
                      </w:divBdr>
                      <w:divsChild>
                        <w:div w:id="10175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070987">
      <w:bodyDiv w:val="1"/>
      <w:marLeft w:val="0"/>
      <w:marRight w:val="0"/>
      <w:marTop w:val="0"/>
      <w:marBottom w:val="0"/>
      <w:divBdr>
        <w:top w:val="none" w:sz="0" w:space="0" w:color="auto"/>
        <w:left w:val="none" w:sz="0" w:space="0" w:color="auto"/>
        <w:bottom w:val="none" w:sz="0" w:space="0" w:color="auto"/>
        <w:right w:val="none" w:sz="0" w:space="0" w:color="auto"/>
      </w:divBdr>
    </w:div>
    <w:div w:id="601185917">
      <w:bodyDiv w:val="1"/>
      <w:marLeft w:val="0"/>
      <w:marRight w:val="0"/>
      <w:marTop w:val="0"/>
      <w:marBottom w:val="0"/>
      <w:divBdr>
        <w:top w:val="none" w:sz="0" w:space="0" w:color="auto"/>
        <w:left w:val="none" w:sz="0" w:space="0" w:color="auto"/>
        <w:bottom w:val="none" w:sz="0" w:space="0" w:color="auto"/>
        <w:right w:val="none" w:sz="0" w:space="0" w:color="auto"/>
      </w:divBdr>
    </w:div>
    <w:div w:id="929118181">
      <w:bodyDiv w:val="1"/>
      <w:marLeft w:val="0"/>
      <w:marRight w:val="0"/>
      <w:marTop w:val="0"/>
      <w:marBottom w:val="0"/>
      <w:divBdr>
        <w:top w:val="none" w:sz="0" w:space="0" w:color="auto"/>
        <w:left w:val="none" w:sz="0" w:space="0" w:color="auto"/>
        <w:bottom w:val="none" w:sz="0" w:space="0" w:color="auto"/>
        <w:right w:val="none" w:sz="0" w:space="0" w:color="auto"/>
      </w:divBdr>
    </w:div>
    <w:div w:id="1358972388">
      <w:bodyDiv w:val="1"/>
      <w:marLeft w:val="0"/>
      <w:marRight w:val="0"/>
      <w:marTop w:val="0"/>
      <w:marBottom w:val="0"/>
      <w:divBdr>
        <w:top w:val="none" w:sz="0" w:space="0" w:color="auto"/>
        <w:left w:val="none" w:sz="0" w:space="0" w:color="auto"/>
        <w:bottom w:val="none" w:sz="0" w:space="0" w:color="auto"/>
        <w:right w:val="none" w:sz="0" w:space="0" w:color="auto"/>
      </w:divBdr>
    </w:div>
    <w:div w:id="1563129838">
      <w:bodyDiv w:val="1"/>
      <w:marLeft w:val="0"/>
      <w:marRight w:val="0"/>
      <w:marTop w:val="0"/>
      <w:marBottom w:val="0"/>
      <w:divBdr>
        <w:top w:val="none" w:sz="0" w:space="0" w:color="auto"/>
        <w:left w:val="none" w:sz="0" w:space="0" w:color="auto"/>
        <w:bottom w:val="none" w:sz="0" w:space="0" w:color="auto"/>
        <w:right w:val="none" w:sz="0" w:space="0" w:color="auto"/>
      </w:divBdr>
    </w:div>
    <w:div w:id="1663729610">
      <w:bodyDiv w:val="1"/>
      <w:marLeft w:val="0"/>
      <w:marRight w:val="0"/>
      <w:marTop w:val="0"/>
      <w:marBottom w:val="0"/>
      <w:divBdr>
        <w:top w:val="none" w:sz="0" w:space="0" w:color="auto"/>
        <w:left w:val="none" w:sz="0" w:space="0" w:color="auto"/>
        <w:bottom w:val="none" w:sz="0" w:space="0" w:color="auto"/>
        <w:right w:val="none" w:sz="0" w:space="0" w:color="auto"/>
      </w:divBdr>
      <w:divsChild>
        <w:div w:id="2125423862">
          <w:marLeft w:val="0"/>
          <w:marRight w:val="0"/>
          <w:marTop w:val="0"/>
          <w:marBottom w:val="0"/>
          <w:divBdr>
            <w:top w:val="none" w:sz="0" w:space="0" w:color="auto"/>
            <w:left w:val="none" w:sz="0" w:space="0" w:color="auto"/>
            <w:bottom w:val="none" w:sz="0" w:space="0" w:color="auto"/>
            <w:right w:val="none" w:sz="0" w:space="0" w:color="auto"/>
          </w:divBdr>
          <w:divsChild>
            <w:div w:id="858857214">
              <w:marLeft w:val="0"/>
              <w:marRight w:val="0"/>
              <w:marTop w:val="0"/>
              <w:marBottom w:val="0"/>
              <w:divBdr>
                <w:top w:val="none" w:sz="0" w:space="0" w:color="auto"/>
                <w:left w:val="none" w:sz="0" w:space="0" w:color="auto"/>
                <w:bottom w:val="none" w:sz="0" w:space="0" w:color="auto"/>
                <w:right w:val="none" w:sz="0" w:space="0" w:color="auto"/>
              </w:divBdr>
              <w:divsChild>
                <w:div w:id="902637325">
                  <w:marLeft w:val="0"/>
                  <w:marRight w:val="0"/>
                  <w:marTop w:val="0"/>
                  <w:marBottom w:val="0"/>
                  <w:divBdr>
                    <w:top w:val="none" w:sz="0" w:space="0" w:color="auto"/>
                    <w:left w:val="none" w:sz="0" w:space="0" w:color="auto"/>
                    <w:bottom w:val="none" w:sz="0" w:space="0" w:color="auto"/>
                    <w:right w:val="none" w:sz="0" w:space="0" w:color="auto"/>
                  </w:divBdr>
                  <w:divsChild>
                    <w:div w:id="1145780109">
                      <w:marLeft w:val="0"/>
                      <w:marRight w:val="0"/>
                      <w:marTop w:val="0"/>
                      <w:marBottom w:val="0"/>
                      <w:divBdr>
                        <w:top w:val="none" w:sz="0" w:space="0" w:color="auto"/>
                        <w:left w:val="none" w:sz="0" w:space="0" w:color="auto"/>
                        <w:bottom w:val="none" w:sz="0" w:space="0" w:color="auto"/>
                        <w:right w:val="none" w:sz="0" w:space="0" w:color="auto"/>
                      </w:divBdr>
                      <w:divsChild>
                        <w:div w:id="2074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2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8855</Words>
  <Characters>5048</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2020-09-11T08:28:00Z</dcterms:created>
  <dc:creator>Rosita Pletienė</dc:creator>
  <cp:lastModifiedBy>Algis Baležentis</cp:lastModifiedBy>
  <dcterms:modified xsi:type="dcterms:W3CDTF">2020-09-11T10:37:00Z</dcterms:modified>
  <cp:revision>7</cp:revision>
</cp:coreProperties>
</file>