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10E2D" w14:textId="7B599D36" w:rsidR="00FB3629" w:rsidRPr="00930785" w:rsidRDefault="00541E33" w:rsidP="000F73EA">
      <w:pPr>
        <w:spacing w:after="0" w:line="276" w:lineRule="auto"/>
        <w:ind w:right="-568"/>
        <w:jc w:val="center"/>
        <w:rPr>
          <w:rFonts w:ascii="Times New Roman" w:eastAsia="Times New Roman" w:hAnsi="Times New Roman" w:cs="Times New Roman"/>
          <w:b/>
          <w:sz w:val="24"/>
          <w:szCs w:val="20"/>
          <w:lang w:val="lt-LT"/>
        </w:rPr>
      </w:pPr>
      <w:r w:rsidRPr="00930785">
        <w:rPr>
          <w:rFonts w:ascii="Times New Roman" w:eastAsia="Calibri" w:hAnsi="Times New Roman" w:cs="Times New Roman"/>
          <w:b/>
          <w:lang w:val="lt-LT"/>
        </w:rPr>
        <w:t xml:space="preserve">DERINIMO PAŽYMA </w:t>
      </w:r>
      <w:r w:rsidR="007458BC" w:rsidRPr="00930785">
        <w:rPr>
          <w:rFonts w:ascii="Times New Roman" w:eastAsia="Times New Roman" w:hAnsi="Times New Roman" w:cs="Times New Roman"/>
          <w:b/>
          <w:sz w:val="24"/>
          <w:szCs w:val="20"/>
          <w:lang w:val="lt-LT"/>
        </w:rPr>
        <w:t>DĖL LIETUVOS RESPUBLIKOS VYRIAUSYBĖS NUTARIMO „DĖL VIEŠOSIOS ĮSTAIGOS VYRIAUSYBĖS STRATEGINĖS ANALIZĖS CENTRO ĮSTATŲ PATVIRTINIMO“ PROJEKTO</w:t>
      </w:r>
    </w:p>
    <w:p w14:paraId="1EB9F7AA" w14:textId="77777777" w:rsidR="00FB3629" w:rsidRPr="00930785" w:rsidRDefault="00FB3629">
      <w:pPr>
        <w:rPr>
          <w:lang w:val="lt-LT"/>
        </w:rPr>
      </w:pPr>
    </w:p>
    <w:tbl>
      <w:tblPr>
        <w:tblStyle w:val="TableGrid"/>
        <w:tblW w:w="14215" w:type="dxa"/>
        <w:tblLook w:val="04A0" w:firstRow="1" w:lastRow="0" w:firstColumn="1" w:lastColumn="0" w:noHBand="0" w:noVBand="1"/>
      </w:tblPr>
      <w:tblGrid>
        <w:gridCol w:w="2155"/>
        <w:gridCol w:w="6300"/>
        <w:gridCol w:w="5760"/>
      </w:tblGrid>
      <w:tr w:rsidR="00603714" w:rsidRPr="00930785" w14:paraId="23E38123" w14:textId="77777777" w:rsidTr="00FB3629">
        <w:tc>
          <w:tcPr>
            <w:tcW w:w="2155" w:type="dxa"/>
          </w:tcPr>
          <w:p w14:paraId="5D547450" w14:textId="77777777" w:rsidR="00603714" w:rsidRPr="00930785" w:rsidRDefault="00603714">
            <w:pPr>
              <w:rPr>
                <w:rFonts w:ascii="Times New Roman" w:hAnsi="Times New Roman" w:cs="Times New Roman"/>
                <w:b/>
                <w:sz w:val="24"/>
                <w:szCs w:val="24"/>
                <w:lang w:val="lt-LT"/>
              </w:rPr>
            </w:pPr>
            <w:r w:rsidRPr="00930785">
              <w:rPr>
                <w:rFonts w:ascii="Times New Roman" w:hAnsi="Times New Roman" w:cs="Times New Roman"/>
                <w:b/>
                <w:sz w:val="24"/>
                <w:szCs w:val="24"/>
                <w:lang w:val="lt-LT"/>
              </w:rPr>
              <w:t>Institucija</w:t>
            </w:r>
          </w:p>
        </w:tc>
        <w:tc>
          <w:tcPr>
            <w:tcW w:w="6300" w:type="dxa"/>
          </w:tcPr>
          <w:p w14:paraId="0BFEFAFB" w14:textId="77777777" w:rsidR="00603714" w:rsidRPr="00930785" w:rsidRDefault="00603714">
            <w:pPr>
              <w:rPr>
                <w:rFonts w:ascii="Times New Roman" w:hAnsi="Times New Roman" w:cs="Times New Roman"/>
                <w:b/>
                <w:sz w:val="24"/>
                <w:szCs w:val="24"/>
                <w:lang w:val="lt-LT"/>
              </w:rPr>
            </w:pPr>
            <w:r w:rsidRPr="00930785">
              <w:rPr>
                <w:rFonts w:ascii="Times New Roman" w:hAnsi="Times New Roman" w:cs="Times New Roman"/>
                <w:b/>
                <w:sz w:val="24"/>
                <w:szCs w:val="24"/>
                <w:lang w:val="lt-LT"/>
              </w:rPr>
              <w:t>Institucijos pastaba</w:t>
            </w:r>
          </w:p>
        </w:tc>
        <w:tc>
          <w:tcPr>
            <w:tcW w:w="5760" w:type="dxa"/>
          </w:tcPr>
          <w:p w14:paraId="4FEF2176" w14:textId="23528501" w:rsidR="00603714" w:rsidRPr="00930785" w:rsidRDefault="00603714">
            <w:pPr>
              <w:rPr>
                <w:rFonts w:ascii="Times New Roman" w:hAnsi="Times New Roman" w:cs="Times New Roman"/>
                <w:b/>
                <w:sz w:val="24"/>
                <w:szCs w:val="24"/>
                <w:lang w:val="lt-LT"/>
              </w:rPr>
            </w:pPr>
            <w:r w:rsidRPr="00930785">
              <w:rPr>
                <w:rFonts w:ascii="Times New Roman" w:hAnsi="Times New Roman" w:cs="Times New Roman"/>
                <w:b/>
                <w:sz w:val="24"/>
                <w:szCs w:val="24"/>
                <w:lang w:val="lt-LT"/>
              </w:rPr>
              <w:t>Žyma apie pastabas</w:t>
            </w:r>
            <w:r w:rsidR="007233E4" w:rsidRPr="00930785">
              <w:rPr>
                <w:rFonts w:ascii="Times New Roman" w:hAnsi="Times New Roman" w:cs="Times New Roman"/>
                <w:b/>
                <w:sz w:val="24"/>
                <w:szCs w:val="24"/>
                <w:lang w:val="lt-LT"/>
              </w:rPr>
              <w:t xml:space="preserve"> ir </w:t>
            </w:r>
            <w:r w:rsidRPr="00930785">
              <w:rPr>
                <w:rFonts w:ascii="Times New Roman" w:hAnsi="Times New Roman" w:cs="Times New Roman"/>
                <w:b/>
                <w:sz w:val="24"/>
                <w:szCs w:val="24"/>
                <w:lang w:val="lt-LT"/>
              </w:rPr>
              <w:t>pasiūlymus</w:t>
            </w:r>
          </w:p>
        </w:tc>
      </w:tr>
      <w:tr w:rsidR="00556E6E" w:rsidRPr="00930785" w14:paraId="65080BD2" w14:textId="77777777" w:rsidTr="00B476A0">
        <w:trPr>
          <w:trHeight w:val="6081"/>
        </w:trPr>
        <w:tc>
          <w:tcPr>
            <w:tcW w:w="2155" w:type="dxa"/>
          </w:tcPr>
          <w:p w14:paraId="58AC6C74" w14:textId="77777777" w:rsidR="00556E6E" w:rsidRPr="00930785" w:rsidRDefault="00556E6E">
            <w:pPr>
              <w:rPr>
                <w:rFonts w:ascii="Times New Roman" w:hAnsi="Times New Roman" w:cs="Times New Roman"/>
                <w:sz w:val="24"/>
                <w:szCs w:val="24"/>
                <w:lang w:val="lt-LT"/>
              </w:rPr>
            </w:pPr>
            <w:r w:rsidRPr="00930785">
              <w:rPr>
                <w:rFonts w:ascii="Times New Roman" w:hAnsi="Times New Roman" w:cs="Times New Roman"/>
                <w:sz w:val="24"/>
                <w:szCs w:val="24"/>
                <w:lang w:val="lt-LT"/>
              </w:rPr>
              <w:t>Teisingumo ministerija</w:t>
            </w:r>
          </w:p>
          <w:p w14:paraId="51959BFA" w14:textId="484318E7" w:rsidR="00556E6E" w:rsidRPr="00930785" w:rsidRDefault="00556E6E" w:rsidP="001C3AA0">
            <w:pPr>
              <w:rPr>
                <w:rFonts w:ascii="Times New Roman" w:hAnsi="Times New Roman" w:cs="Times New Roman"/>
                <w:sz w:val="24"/>
                <w:szCs w:val="24"/>
                <w:lang w:val="lt-LT"/>
              </w:rPr>
            </w:pPr>
          </w:p>
        </w:tc>
        <w:tc>
          <w:tcPr>
            <w:tcW w:w="6300" w:type="dxa"/>
          </w:tcPr>
          <w:p w14:paraId="738DB576" w14:textId="2FFC4899" w:rsidR="00556E6E" w:rsidRPr="00930785" w:rsidRDefault="00556E6E" w:rsidP="000628B8">
            <w:pPr>
              <w:pStyle w:val="m2461630555424535448adresas"/>
              <w:shd w:val="clear" w:color="auto" w:fill="FFFFFF"/>
              <w:spacing w:before="0" w:beforeAutospacing="0" w:after="0" w:afterAutospacing="0"/>
              <w:jc w:val="both"/>
              <w:rPr>
                <w:color w:val="222222"/>
                <w:lang w:val="lt-LT"/>
              </w:rPr>
            </w:pPr>
            <w:r w:rsidRPr="00930785">
              <w:rPr>
                <w:color w:val="222222"/>
                <w:lang w:val="lt-LT"/>
              </w:rPr>
              <w:t>“Atsižvelgiant į Įstatų 9 ir 10 p. nurodomus Centro veiklos tikslus ir sritis (veiklos sritis siejama su viešąja politika, Įstatų 1 p. nurodytais įstatymais, be to, jos įvardintos Vyriausybės įstatymo papildymo įstatyme) siūlytina įvertinti, ar neturėtų būti ribojamas tapimas Centro dalininku (iš Įstatų 14 p. nuostatų sektų, kad juo galėtų tapti iš esmės bet kuris asmuo). T. y. ar dalininke neturėtų būti </w:t>
            </w:r>
            <w:r w:rsidRPr="00930785">
              <w:rPr>
                <w:i/>
                <w:iCs/>
                <w:color w:val="222222"/>
                <w:lang w:val="lt-LT"/>
              </w:rPr>
              <w:t>tik</w:t>
            </w:r>
            <w:r w:rsidRPr="00930785">
              <w:rPr>
                <w:color w:val="222222"/>
                <w:lang w:val="lt-LT"/>
              </w:rPr>
              <w:t> valstybė?”</w:t>
            </w:r>
          </w:p>
        </w:tc>
        <w:tc>
          <w:tcPr>
            <w:tcW w:w="5760" w:type="dxa"/>
          </w:tcPr>
          <w:p w14:paraId="2B73290A" w14:textId="4AB2DB3A" w:rsidR="00556E6E" w:rsidRPr="00930785" w:rsidRDefault="00556E6E" w:rsidP="000628B8">
            <w:pPr>
              <w:jc w:val="both"/>
              <w:rPr>
                <w:rFonts w:ascii="Times New Roman" w:hAnsi="Times New Roman" w:cs="Times New Roman"/>
                <w:sz w:val="24"/>
                <w:szCs w:val="24"/>
                <w:lang w:val="lt-LT"/>
              </w:rPr>
            </w:pPr>
            <w:r w:rsidRPr="00930785">
              <w:rPr>
                <w:rFonts w:ascii="Times New Roman" w:hAnsi="Times New Roman" w:cs="Times New Roman"/>
                <w:sz w:val="24"/>
                <w:szCs w:val="24"/>
                <w:lang w:val="lt-LT"/>
              </w:rPr>
              <w:t>Neatsižvelgta.</w:t>
            </w:r>
          </w:p>
          <w:p w14:paraId="5AC3EDD0" w14:textId="77777777" w:rsidR="00556E6E" w:rsidRPr="00930785" w:rsidRDefault="00556E6E" w:rsidP="00651075">
            <w:pPr>
              <w:jc w:val="both"/>
              <w:rPr>
                <w:rFonts w:ascii="Times New Roman" w:eastAsia="Times New Roman" w:hAnsi="Times New Roman" w:cs="Times New Roman"/>
                <w:sz w:val="24"/>
                <w:szCs w:val="24"/>
                <w:lang w:val="lt-LT" w:eastAsia="ru-RU"/>
              </w:rPr>
            </w:pPr>
            <w:r w:rsidRPr="00930785">
              <w:rPr>
                <w:rFonts w:ascii="Times New Roman" w:eastAsia="Times New Roman" w:hAnsi="Times New Roman" w:cs="Times New Roman"/>
                <w:sz w:val="24"/>
                <w:szCs w:val="24"/>
                <w:lang w:val="lt-LT" w:eastAsia="ru-RU"/>
              </w:rPr>
              <w:t>Viešųjų įstaigų įstatymo 6 straipsnio 2 dalies 5-7 punktuose nustatyta, kad viešosios įstaigos įstatuose turi būti nurodyta</w:t>
            </w:r>
            <w:r w:rsidRPr="00930785">
              <w:rPr>
                <w:sz w:val="24"/>
                <w:szCs w:val="24"/>
                <w:lang w:val="lt-LT"/>
              </w:rPr>
              <w:t xml:space="preserve"> </w:t>
            </w:r>
            <w:r w:rsidRPr="00930785">
              <w:rPr>
                <w:rFonts w:ascii="Times New Roman" w:eastAsia="Times New Roman" w:hAnsi="Times New Roman" w:cs="Times New Roman"/>
                <w:sz w:val="24"/>
                <w:szCs w:val="24"/>
                <w:lang w:val="lt-LT" w:eastAsia="ru-RU"/>
              </w:rPr>
              <w:t>asmens tapimo nauju dalininku tvarka, dalininko teisių pardavimo kitiems asmenims tvarka, dalininkų įnašų perdavimo viešajai įstaigai tvarka. Atsisakius šių nuostatų Centro įstatuose, Įstatai neatitiks Viešųjų įstaigų įstatyme nustatytų reikalavimų.</w:t>
            </w:r>
          </w:p>
          <w:p w14:paraId="29871ABB" w14:textId="77777777" w:rsidR="00556E6E" w:rsidRPr="00930785" w:rsidRDefault="00556E6E" w:rsidP="00651075">
            <w:pPr>
              <w:pStyle w:val="CommentText"/>
              <w:jc w:val="both"/>
              <w:rPr>
                <w:color w:val="000000"/>
                <w:sz w:val="24"/>
                <w:szCs w:val="24"/>
              </w:rPr>
            </w:pPr>
            <w:r w:rsidRPr="00930785">
              <w:rPr>
                <w:sz w:val="24"/>
                <w:szCs w:val="24"/>
              </w:rPr>
              <w:t>Manome, kad nurodytų nuostatų įtvirtinimas Įstatuose  neprieštarauja Vyriausybės įstatymo 30</w:t>
            </w:r>
            <w:r w:rsidRPr="00930785">
              <w:rPr>
                <w:sz w:val="24"/>
                <w:szCs w:val="24"/>
                <w:vertAlign w:val="superscript"/>
              </w:rPr>
              <w:t>2</w:t>
            </w:r>
            <w:r w:rsidRPr="00930785">
              <w:rPr>
                <w:sz w:val="24"/>
                <w:szCs w:val="24"/>
              </w:rPr>
              <w:t xml:space="preserve"> straipsnio 1 dalies nuostatai, kad Centro </w:t>
            </w:r>
            <w:r w:rsidRPr="00930785">
              <w:rPr>
                <w:color w:val="000000"/>
                <w:sz w:val="24"/>
                <w:szCs w:val="24"/>
              </w:rPr>
              <w:t xml:space="preserve">savininkė yra valstybė, o savininko teises ir pareigas įgyvendina Vyriausybė arba jos įgaliota institucija (tai, kad Vyriausybės kanceliarija įgyvendina Centro savininko teises ir pareigas yra nurodyta įstatuose). </w:t>
            </w:r>
          </w:p>
          <w:p w14:paraId="1E77626F" w14:textId="6FF63333" w:rsidR="00556E6E" w:rsidRPr="00930785" w:rsidRDefault="00556E6E" w:rsidP="00930785">
            <w:pPr>
              <w:pStyle w:val="CommentText"/>
              <w:jc w:val="both"/>
              <w:rPr>
                <w:sz w:val="24"/>
                <w:szCs w:val="24"/>
              </w:rPr>
            </w:pPr>
            <w:r w:rsidRPr="00930785">
              <w:rPr>
                <w:color w:val="000000"/>
                <w:sz w:val="24"/>
                <w:szCs w:val="24"/>
              </w:rPr>
              <w:t xml:space="preserve">Be to, Mokslo ir studijų įstatymo 21 straipsnio 1 dalyje taip pat yra nustatyta, kad </w:t>
            </w:r>
            <w:r w:rsidRPr="00930785">
              <w:rPr>
                <w:sz w:val="24"/>
                <w:szCs w:val="24"/>
              </w:rPr>
              <w:t>Mokslo ir studijų stebėsenos ir analizės centro savininkė yra valstybė, tuo tarpu Vyriausybės 2016 m. lapkričio 16 d. nutarimu Nr. 1151 patvirtintuose šios įstaigos įstatuose yra (atsispindi) pirmiau aptartos nuostatos.</w:t>
            </w:r>
          </w:p>
        </w:tc>
      </w:tr>
    </w:tbl>
    <w:p w14:paraId="3A6129AE" w14:textId="77777777" w:rsidR="001701CA" w:rsidRPr="00930785" w:rsidRDefault="001701CA">
      <w:pPr>
        <w:rPr>
          <w:rFonts w:ascii="Times New Roman" w:hAnsi="Times New Roman" w:cs="Times New Roman"/>
          <w:sz w:val="24"/>
          <w:szCs w:val="24"/>
          <w:lang w:val="lt-LT"/>
        </w:rPr>
      </w:pPr>
    </w:p>
    <w:sectPr w:rsidR="001701CA" w:rsidRPr="00930785" w:rsidSect="00FB36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F121C"/>
    <w:multiLevelType w:val="multilevel"/>
    <w:tmpl w:val="8E3E4206"/>
    <w:lvl w:ilvl="0">
      <w:start w:val="1"/>
      <w:numFmt w:val="decimal"/>
      <w:lvlText w:val="%1."/>
      <w:lvlJc w:val="left"/>
      <w:pPr>
        <w:ind w:left="1440" w:hanging="360"/>
      </w:pPr>
    </w:lvl>
    <w:lvl w:ilvl="1">
      <w:start w:val="1"/>
      <w:numFmt w:val="decimal"/>
      <w:lvlText w:val="%1.%2."/>
      <w:lvlJc w:val="left"/>
      <w:pPr>
        <w:ind w:left="9570" w:hanging="48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14"/>
    <w:rsid w:val="0005165C"/>
    <w:rsid w:val="000628B8"/>
    <w:rsid w:val="000F73EA"/>
    <w:rsid w:val="001461A1"/>
    <w:rsid w:val="001503BF"/>
    <w:rsid w:val="00164CC9"/>
    <w:rsid w:val="001701CA"/>
    <w:rsid w:val="00170F28"/>
    <w:rsid w:val="001C04D9"/>
    <w:rsid w:val="001D61C7"/>
    <w:rsid w:val="00217693"/>
    <w:rsid w:val="002D2D42"/>
    <w:rsid w:val="003320C2"/>
    <w:rsid w:val="00380E5B"/>
    <w:rsid w:val="003F728D"/>
    <w:rsid w:val="004205B1"/>
    <w:rsid w:val="004265A1"/>
    <w:rsid w:val="0045163E"/>
    <w:rsid w:val="00457C07"/>
    <w:rsid w:val="00541E33"/>
    <w:rsid w:val="005567A1"/>
    <w:rsid w:val="00556E6E"/>
    <w:rsid w:val="005C2DAB"/>
    <w:rsid w:val="005E09D7"/>
    <w:rsid w:val="00603714"/>
    <w:rsid w:val="00650F4D"/>
    <w:rsid w:val="00651075"/>
    <w:rsid w:val="006514F0"/>
    <w:rsid w:val="007067CA"/>
    <w:rsid w:val="007233E4"/>
    <w:rsid w:val="007458BC"/>
    <w:rsid w:val="00761F1C"/>
    <w:rsid w:val="00817A9D"/>
    <w:rsid w:val="00843E0F"/>
    <w:rsid w:val="0088362E"/>
    <w:rsid w:val="008C4FB6"/>
    <w:rsid w:val="008D27B2"/>
    <w:rsid w:val="00930785"/>
    <w:rsid w:val="00995AD5"/>
    <w:rsid w:val="009A64A1"/>
    <w:rsid w:val="009D3F1B"/>
    <w:rsid w:val="00A65CA4"/>
    <w:rsid w:val="00A91D22"/>
    <w:rsid w:val="00AA10B8"/>
    <w:rsid w:val="00AF3EA9"/>
    <w:rsid w:val="00AF59D3"/>
    <w:rsid w:val="00B00390"/>
    <w:rsid w:val="00B46086"/>
    <w:rsid w:val="00B67E23"/>
    <w:rsid w:val="00B828EF"/>
    <w:rsid w:val="00C811B8"/>
    <w:rsid w:val="00CC1044"/>
    <w:rsid w:val="00CD21AF"/>
    <w:rsid w:val="00D31CE3"/>
    <w:rsid w:val="00D672D0"/>
    <w:rsid w:val="00D95A3F"/>
    <w:rsid w:val="00DB3060"/>
    <w:rsid w:val="00DC3B20"/>
    <w:rsid w:val="00E55720"/>
    <w:rsid w:val="00E7182D"/>
    <w:rsid w:val="00E92CBB"/>
    <w:rsid w:val="00EE63A8"/>
    <w:rsid w:val="00EF22DE"/>
    <w:rsid w:val="00EF7EDB"/>
    <w:rsid w:val="00F06F3B"/>
    <w:rsid w:val="00F44CA4"/>
    <w:rsid w:val="00F5282E"/>
    <w:rsid w:val="00F71E9E"/>
    <w:rsid w:val="00F9174D"/>
    <w:rsid w:val="00FB3629"/>
    <w:rsid w:val="00FB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A6B5"/>
  <w15:chartTrackingRefBased/>
  <w15:docId w15:val="{D344FECD-2872-475C-ACD8-6F0B932C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C4FB6"/>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rsid w:val="008C4FB6"/>
    <w:rPr>
      <w:rFonts w:ascii="Times New Roman" w:eastAsia="Times New Roman" w:hAnsi="Times New Roman" w:cs="Times New Roman"/>
      <w:sz w:val="20"/>
      <w:szCs w:val="20"/>
      <w:lang w:val="lt-LT"/>
    </w:rPr>
  </w:style>
  <w:style w:type="paragraph" w:customStyle="1" w:styleId="m2461630555424535448adresas">
    <w:name w:val="m_2461630555424535448adresas"/>
    <w:basedOn w:val="Normal"/>
    <w:rsid w:val="000628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B3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629"/>
    <w:rPr>
      <w:rFonts w:ascii="Segoe UI" w:hAnsi="Segoe UI" w:cs="Segoe UI"/>
      <w:sz w:val="18"/>
      <w:szCs w:val="18"/>
    </w:rPr>
  </w:style>
  <w:style w:type="character" w:styleId="CommentReference">
    <w:name w:val="annotation reference"/>
    <w:basedOn w:val="DefaultParagraphFont"/>
    <w:uiPriority w:val="99"/>
    <w:semiHidden/>
    <w:unhideWhenUsed/>
    <w:rsid w:val="00F06F3B"/>
    <w:rPr>
      <w:sz w:val="16"/>
      <w:szCs w:val="16"/>
    </w:rPr>
  </w:style>
  <w:style w:type="paragraph" w:styleId="CommentSubject">
    <w:name w:val="annotation subject"/>
    <w:basedOn w:val="CommentText"/>
    <w:next w:val="CommentText"/>
    <w:link w:val="CommentSubjectChar"/>
    <w:uiPriority w:val="99"/>
    <w:semiHidden/>
    <w:unhideWhenUsed/>
    <w:rsid w:val="00F06F3B"/>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06F3B"/>
    <w:rPr>
      <w:rFonts w:ascii="Times New Roman" w:eastAsia="Times New Roman" w:hAnsi="Times New Roman" w:cs="Times New Roman"/>
      <w:b/>
      <w:bCs/>
      <w:sz w:val="20"/>
      <w:szCs w:val="20"/>
      <w:lang w:val="lt-LT"/>
    </w:rPr>
  </w:style>
  <w:style w:type="paragraph" w:styleId="Revision">
    <w:name w:val="Revision"/>
    <w:hidden/>
    <w:uiPriority w:val="99"/>
    <w:semiHidden/>
    <w:rsid w:val="00F71E9E"/>
    <w:pPr>
      <w:spacing w:after="0" w:line="240" w:lineRule="auto"/>
    </w:pPr>
  </w:style>
  <w:style w:type="paragraph" w:styleId="ListParagraph">
    <w:name w:val="List Paragraph"/>
    <w:basedOn w:val="Normal"/>
    <w:uiPriority w:val="34"/>
    <w:qFormat/>
    <w:rsid w:val="00F44CA4"/>
    <w:pPr>
      <w:spacing w:after="0" w:line="240" w:lineRule="auto"/>
      <w:ind w:left="720"/>
      <w:contextualSpacing/>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18302">
      <w:bodyDiv w:val="1"/>
      <w:marLeft w:val="0"/>
      <w:marRight w:val="0"/>
      <w:marTop w:val="0"/>
      <w:marBottom w:val="0"/>
      <w:divBdr>
        <w:top w:val="none" w:sz="0" w:space="0" w:color="auto"/>
        <w:left w:val="none" w:sz="0" w:space="0" w:color="auto"/>
        <w:bottom w:val="none" w:sz="0" w:space="0" w:color="auto"/>
        <w:right w:val="none" w:sz="0" w:space="0" w:color="auto"/>
      </w:divBdr>
    </w:div>
    <w:div w:id="296179293">
      <w:bodyDiv w:val="1"/>
      <w:marLeft w:val="0"/>
      <w:marRight w:val="0"/>
      <w:marTop w:val="0"/>
      <w:marBottom w:val="0"/>
      <w:divBdr>
        <w:top w:val="none" w:sz="0" w:space="0" w:color="auto"/>
        <w:left w:val="none" w:sz="0" w:space="0" w:color="auto"/>
        <w:bottom w:val="none" w:sz="0" w:space="0" w:color="auto"/>
        <w:right w:val="none" w:sz="0" w:space="0" w:color="auto"/>
      </w:divBdr>
    </w:div>
    <w:div w:id="550773208">
      <w:bodyDiv w:val="1"/>
      <w:marLeft w:val="0"/>
      <w:marRight w:val="0"/>
      <w:marTop w:val="0"/>
      <w:marBottom w:val="0"/>
      <w:divBdr>
        <w:top w:val="none" w:sz="0" w:space="0" w:color="auto"/>
        <w:left w:val="none" w:sz="0" w:space="0" w:color="auto"/>
        <w:bottom w:val="none" w:sz="0" w:space="0" w:color="auto"/>
        <w:right w:val="none" w:sz="0" w:space="0" w:color="auto"/>
      </w:divBdr>
    </w:div>
    <w:div w:id="1951735636">
      <w:bodyDiv w:val="1"/>
      <w:marLeft w:val="0"/>
      <w:marRight w:val="0"/>
      <w:marTop w:val="0"/>
      <w:marBottom w:val="0"/>
      <w:divBdr>
        <w:top w:val="none" w:sz="0" w:space="0" w:color="auto"/>
        <w:left w:val="none" w:sz="0" w:space="0" w:color="auto"/>
        <w:bottom w:val="none" w:sz="0" w:space="0" w:color="auto"/>
        <w:right w:val="none" w:sz="0" w:space="0" w:color="auto"/>
      </w:divBdr>
    </w:div>
    <w:div w:id="1985498634">
      <w:bodyDiv w:val="1"/>
      <w:marLeft w:val="0"/>
      <w:marRight w:val="0"/>
      <w:marTop w:val="0"/>
      <w:marBottom w:val="0"/>
      <w:divBdr>
        <w:top w:val="none" w:sz="0" w:space="0" w:color="auto"/>
        <w:left w:val="none" w:sz="0" w:space="0" w:color="auto"/>
        <w:bottom w:val="none" w:sz="0" w:space="0" w:color="auto"/>
        <w:right w:val="none" w:sz="0" w:space="0" w:color="auto"/>
      </w:divBdr>
    </w:div>
    <w:div w:id="2028167630">
      <w:bodyDiv w:val="1"/>
      <w:marLeft w:val="0"/>
      <w:marRight w:val="0"/>
      <w:marTop w:val="0"/>
      <w:marBottom w:val="0"/>
      <w:divBdr>
        <w:top w:val="none" w:sz="0" w:space="0" w:color="auto"/>
        <w:left w:val="none" w:sz="0" w:space="0" w:color="auto"/>
        <w:bottom w:val="none" w:sz="0" w:space="0" w:color="auto"/>
        <w:right w:val="none" w:sz="0" w:space="0" w:color="auto"/>
      </w:divBdr>
      <w:divsChild>
        <w:div w:id="1349674811">
          <w:marLeft w:val="0"/>
          <w:marRight w:val="0"/>
          <w:marTop w:val="0"/>
          <w:marBottom w:val="0"/>
          <w:divBdr>
            <w:top w:val="none" w:sz="0" w:space="0" w:color="auto"/>
            <w:left w:val="none" w:sz="0" w:space="0" w:color="auto"/>
            <w:bottom w:val="none" w:sz="0" w:space="0" w:color="auto"/>
            <w:right w:val="none" w:sz="0" w:space="0" w:color="auto"/>
          </w:divBdr>
          <w:divsChild>
            <w:div w:id="1489202920">
              <w:marLeft w:val="0"/>
              <w:marRight w:val="0"/>
              <w:marTop w:val="0"/>
              <w:marBottom w:val="0"/>
              <w:divBdr>
                <w:top w:val="none" w:sz="0" w:space="0" w:color="auto"/>
                <w:left w:val="none" w:sz="0" w:space="0" w:color="auto"/>
                <w:bottom w:val="none" w:sz="0" w:space="0" w:color="auto"/>
                <w:right w:val="none" w:sz="0" w:space="0" w:color="auto"/>
              </w:divBdr>
              <w:divsChild>
                <w:div w:id="1087192094">
                  <w:marLeft w:val="0"/>
                  <w:marRight w:val="0"/>
                  <w:marTop w:val="0"/>
                  <w:marBottom w:val="0"/>
                  <w:divBdr>
                    <w:top w:val="none" w:sz="0" w:space="0" w:color="auto"/>
                    <w:left w:val="none" w:sz="0" w:space="0" w:color="auto"/>
                    <w:bottom w:val="none" w:sz="0" w:space="0" w:color="auto"/>
                    <w:right w:val="none" w:sz="0" w:space="0" w:color="auto"/>
                  </w:divBdr>
                  <w:divsChild>
                    <w:div w:id="742720617">
                      <w:marLeft w:val="0"/>
                      <w:marRight w:val="0"/>
                      <w:marTop w:val="0"/>
                      <w:marBottom w:val="0"/>
                      <w:divBdr>
                        <w:top w:val="none" w:sz="0" w:space="0" w:color="auto"/>
                        <w:left w:val="none" w:sz="0" w:space="0" w:color="auto"/>
                        <w:bottom w:val="none" w:sz="0" w:space="0" w:color="auto"/>
                        <w:right w:val="none" w:sz="0" w:space="0" w:color="auto"/>
                      </w:divBdr>
                    </w:div>
                    <w:div w:id="856038938">
                      <w:marLeft w:val="0"/>
                      <w:marRight w:val="0"/>
                      <w:marTop w:val="0"/>
                      <w:marBottom w:val="0"/>
                      <w:divBdr>
                        <w:top w:val="none" w:sz="0" w:space="0" w:color="auto"/>
                        <w:left w:val="none" w:sz="0" w:space="0" w:color="auto"/>
                        <w:bottom w:val="none" w:sz="0" w:space="0" w:color="auto"/>
                        <w:right w:val="none" w:sz="0" w:space="0" w:color="auto"/>
                      </w:divBdr>
                    </w:div>
                    <w:div w:id="1293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1" ma:contentTypeDescription="Kurkite naują dokumentą." ma:contentTypeScope="" ma:versionID="d1adf6a17b891702894c921555fc6a84">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21602dba5628d98cdca0f67224ca7557"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675E6-3B96-441A-9F52-C3EC385A9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75127-08FC-4973-81EB-170E6968AB54}">
  <ds:schemaRefs>
    <ds:schemaRef ds:uri="http://schemas.microsoft.com/sharepoint/v3/contenttype/forms"/>
  </ds:schemaRefs>
</ds:datastoreItem>
</file>

<file path=customXml/itemProps3.xml><?xml version="1.0" encoding="utf-8"?>
<ds:datastoreItem xmlns:ds="http://schemas.openxmlformats.org/officeDocument/2006/customXml" ds:itemID="{B5443F3A-09F0-448C-A6ED-923122CE3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2019-07-29T11:27:00Z</dcterms:created>
  <dc:creator>Agnė Braškutė</dc:creator>
  <cp:lastModifiedBy>Laura Stračinskienė</cp:lastModifiedBy>
  <dcterms:modified xsi:type="dcterms:W3CDTF">2019-07-29T11:27:00Z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