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85" w:rsidRDefault="00B62297" w:rsidP="00FB2A12">
      <w:pP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NUMATOMO TEISINIO REGULIAVIMO POVEIKIO VERTINIMO PAŽYM</w:t>
      </w:r>
      <w:r w:rsidR="00626E65">
        <w:rPr>
          <w:b/>
          <w:color w:val="000000"/>
          <w:szCs w:val="24"/>
        </w:rPr>
        <w:t>A</w:t>
      </w:r>
    </w:p>
    <w:p w:rsidR="00626E65" w:rsidRDefault="00626E65" w:rsidP="00626E65">
      <w:pPr>
        <w:jc w:val="center"/>
        <w:rPr>
          <w:b/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01"/>
        <w:gridCol w:w="7086"/>
      </w:tblGrid>
      <w:tr w:rsidR="004114EB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  <w:shd w:val="clear" w:color="auto" w:fill="DBE5F1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pavadinimas</w:t>
            </w:r>
          </w:p>
        </w:tc>
        <w:tc>
          <w:tcPr>
            <w:tcW w:w="7337" w:type="dxa"/>
            <w:shd w:val="clear" w:color="auto" w:fill="DBE5F1"/>
          </w:tcPr>
          <w:p w:rsidR="00B62297" w:rsidRPr="003A21B9" w:rsidRDefault="00072098" w:rsidP="00AC3304">
            <w:pPr>
              <w:pStyle w:val="WW-BodyTextIndent3"/>
              <w:ind w:firstLine="0"/>
              <w:rPr>
                <w:rFonts w:eastAsia="Times New Roman" w:cs="Times New Roman"/>
                <w:lang w:eastAsia="ar-SA" w:bidi="ar-SA"/>
              </w:rPr>
            </w:pPr>
            <w:r w:rsidRPr="00C87F1D">
              <w:t xml:space="preserve">Lietuvos Respublikos Vyriausybės </w:t>
            </w:r>
            <w:r w:rsidRPr="00FB01A9">
              <w:t>2015 m. sausio 14 d. nutarim</w:t>
            </w:r>
            <w:r>
              <w:t>o</w:t>
            </w:r>
            <w:r w:rsidRPr="00FB01A9">
              <w:t xml:space="preserve"> Nr. 34 „Dėl kompetentingų institucijų informavimo apie radioaktyviųjų, </w:t>
            </w:r>
            <w:proofErr w:type="spellStart"/>
            <w:r w:rsidRPr="00FB01A9">
              <w:t>toksiškų</w:t>
            </w:r>
            <w:proofErr w:type="spellEnd"/>
            <w:r w:rsidRPr="00FB01A9">
              <w:t xml:space="preserve"> ar pavojingų žmonių sveikatai ar aplinkai medžiagų, skirtų išsklaidytiesiems angliavandeniliams tirti, panaudojimą, hidraulinį uolienų ardymą, jo metu panaudotų medžiagų sudėtį ir kiekį tvarkos ir sąlygų“</w:t>
            </w:r>
            <w:r>
              <w:t xml:space="preserve"> pakeitimo projektas </w:t>
            </w:r>
            <w:r w:rsidR="00A431AC">
              <w:t xml:space="preserve">(toliau – </w:t>
            </w:r>
            <w:r>
              <w:t>Nutarimo p</w:t>
            </w:r>
            <w:r w:rsidR="00A431AC">
              <w:t>rojektas)</w:t>
            </w:r>
            <w:r w:rsidR="00965D46" w:rsidRPr="003A21B9"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90"/>
        <w:gridCol w:w="7097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szCs w:val="24"/>
              </w:rPr>
            </w:pPr>
            <w:r w:rsidRPr="003A21B9">
              <w:rPr>
                <w:b/>
                <w:szCs w:val="24"/>
                <w:shd w:val="clear" w:color="auto" w:fill="DBE5F1"/>
              </w:rPr>
              <w:t>Projekto rengėjas</w:t>
            </w:r>
          </w:p>
        </w:tc>
        <w:tc>
          <w:tcPr>
            <w:tcW w:w="7337" w:type="dxa"/>
            <w:shd w:val="clear" w:color="auto" w:fill="DBE5F1"/>
            <w:hideMark/>
          </w:tcPr>
          <w:p w:rsidR="00B62297" w:rsidRPr="003A21B9" w:rsidRDefault="002947BF" w:rsidP="00AC3304">
            <w:pPr>
              <w:jc w:val="both"/>
              <w:rPr>
                <w:b/>
                <w:szCs w:val="24"/>
              </w:rPr>
            </w:pPr>
            <w:r w:rsidRPr="003A21B9">
              <w:rPr>
                <w:szCs w:val="24"/>
              </w:rPr>
              <w:t>Lietuvos Respublikos aplinkos ministerija</w:t>
            </w:r>
            <w:r w:rsidR="00072098">
              <w:rPr>
                <w:szCs w:val="24"/>
              </w:rPr>
              <w:t xml:space="preserve"> ir Lietuvos geologijos tarnyba prie Aplinkos ministerijos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89"/>
        <w:gridCol w:w="7098"/>
      </w:tblGrid>
      <w:tr w:rsidR="00B62297" w:rsidRPr="003A21B9" w:rsidTr="004D373B">
        <w:tc>
          <w:tcPr>
            <w:tcW w:w="2235" w:type="dxa"/>
            <w:shd w:val="clear" w:color="auto" w:fill="DBE5F1"/>
            <w:hideMark/>
          </w:tcPr>
          <w:p w:rsidR="00B62297" w:rsidRPr="003A21B9" w:rsidRDefault="00B62297" w:rsidP="004D373B">
            <w:pPr>
              <w:rPr>
                <w:b/>
                <w:szCs w:val="24"/>
              </w:rPr>
            </w:pPr>
            <w:r w:rsidRPr="003A21B9">
              <w:rPr>
                <w:b/>
                <w:szCs w:val="24"/>
              </w:rPr>
              <w:t>Projekto tikslas</w:t>
            </w:r>
          </w:p>
        </w:tc>
        <w:tc>
          <w:tcPr>
            <w:tcW w:w="7337" w:type="dxa"/>
            <w:shd w:val="clear" w:color="auto" w:fill="DBE5F1"/>
            <w:hideMark/>
          </w:tcPr>
          <w:p w:rsidR="004C7AB0" w:rsidRPr="003A21B9" w:rsidRDefault="00072098" w:rsidP="0023011C">
            <w:pPr>
              <w:pStyle w:val="Plain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Nutarimo p</w:t>
            </w:r>
            <w:r w:rsidR="00AE599C" w:rsidRPr="00AE599C">
              <w:rPr>
                <w:rFonts w:ascii="Times New Roman" w:hAnsi="Times New Roman"/>
                <w:sz w:val="24"/>
                <w:szCs w:val="24"/>
              </w:rPr>
              <w:t>rojektas parengtas atsižvelgiant į tai, kad 2019 m. spalio 15 d. priimtas Žemės gelmių įstatymo Nr. I-1034 pakeitimo įstatymas Nr. XIII-2481</w:t>
            </w:r>
            <w:r w:rsidR="00AE599C">
              <w:rPr>
                <w:rFonts w:ascii="Times New Roman" w:hAnsi="Times New Roman"/>
                <w:sz w:val="24"/>
                <w:szCs w:val="24"/>
              </w:rPr>
              <w:t>,</w:t>
            </w:r>
            <w:r w:rsidR="00AE599C" w:rsidRPr="00AE599C">
              <w:rPr>
                <w:rFonts w:ascii="Times New Roman" w:hAnsi="Times New Roman"/>
                <w:sz w:val="24"/>
                <w:szCs w:val="24"/>
              </w:rPr>
              <w:t xml:space="preserve"> kuris įsigalio</w:t>
            </w:r>
            <w:r w:rsidR="0023011C">
              <w:rPr>
                <w:rFonts w:ascii="Times New Roman" w:hAnsi="Times New Roman"/>
                <w:sz w:val="24"/>
                <w:szCs w:val="24"/>
              </w:rPr>
              <w:t>jo</w:t>
            </w:r>
            <w:bookmarkStart w:id="0" w:name="_GoBack"/>
            <w:bookmarkEnd w:id="0"/>
            <w:r w:rsidR="00AE599C" w:rsidRPr="00AE599C">
              <w:rPr>
                <w:rFonts w:ascii="Times New Roman" w:hAnsi="Times New Roman"/>
                <w:sz w:val="24"/>
                <w:szCs w:val="24"/>
              </w:rPr>
              <w:t xml:space="preserve"> 2020 m. liepos 1 d</w:t>
            </w:r>
            <w:r w:rsidR="002A1B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62297" w:rsidRPr="00CA7932" w:rsidRDefault="00B62297" w:rsidP="00B62297">
      <w:pPr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64"/>
        <w:gridCol w:w="7123"/>
      </w:tblGrid>
      <w:tr w:rsidR="00B62297" w:rsidRPr="00CB0A21" w:rsidTr="004D373B">
        <w:trPr>
          <w:trHeight w:val="415"/>
        </w:trPr>
        <w:tc>
          <w:tcPr>
            <w:tcW w:w="2164" w:type="dxa"/>
            <w:shd w:val="clear" w:color="auto" w:fill="DBE5F1"/>
          </w:tcPr>
          <w:p w:rsidR="00B62297" w:rsidRPr="00CB0A21" w:rsidRDefault="00B62297" w:rsidP="004D373B">
            <w:pPr>
              <w:rPr>
                <w:sz w:val="28"/>
                <w:szCs w:val="22"/>
              </w:rPr>
            </w:pPr>
          </w:p>
        </w:tc>
        <w:tc>
          <w:tcPr>
            <w:tcW w:w="7123" w:type="dxa"/>
            <w:shd w:val="clear" w:color="auto" w:fill="DBE5F1"/>
            <w:hideMark/>
          </w:tcPr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Siūlomo projekto poveikio įvertinimas </w:t>
            </w:r>
          </w:p>
          <w:p w:rsidR="00B62297" w:rsidRPr="00CB0A21" w:rsidRDefault="00B62297" w:rsidP="004D373B">
            <w:pPr>
              <w:jc w:val="center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(</w:t>
            </w:r>
            <w:r w:rsidRPr="00CB0A21">
              <w:rPr>
                <w:b/>
                <w:bCs/>
                <w:szCs w:val="22"/>
              </w:rPr>
              <w:t>teigiamos ir (ar) neigiamos pasekmės)</w:t>
            </w:r>
          </w:p>
        </w:tc>
      </w:tr>
    </w:tbl>
    <w:p w:rsidR="00B62297" w:rsidRPr="00CB0A21" w:rsidRDefault="00B62297" w:rsidP="00B62297">
      <w:pPr>
        <w:rPr>
          <w:sz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35"/>
        <w:gridCol w:w="6945"/>
      </w:tblGrid>
      <w:tr w:rsidR="00B62297" w:rsidRPr="00CB0A21" w:rsidTr="004D373B">
        <w:tc>
          <w:tcPr>
            <w:tcW w:w="2235" w:type="dxa"/>
            <w:shd w:val="clear" w:color="auto" w:fill="DBE5F1"/>
          </w:tcPr>
          <w:p w:rsidR="00B62297" w:rsidRPr="00CB0A21" w:rsidRDefault="00B62297" w:rsidP="00B57F49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  <w:r w:rsidR="00B57F49" w:rsidRPr="00CB0A21">
              <w:rPr>
                <w:b/>
                <w:szCs w:val="22"/>
              </w:rPr>
              <w:t>aplinkai</w:t>
            </w:r>
          </w:p>
        </w:tc>
        <w:tc>
          <w:tcPr>
            <w:tcW w:w="6945" w:type="dxa"/>
          </w:tcPr>
          <w:p w:rsidR="00B62297" w:rsidRPr="00CB0A21" w:rsidRDefault="00DC0EF9" w:rsidP="005B005B">
            <w:pPr>
              <w:jc w:val="both"/>
              <w:rPr>
                <w:sz w:val="28"/>
                <w:szCs w:val="22"/>
                <w:highlight w:val="yellow"/>
              </w:rPr>
            </w:pPr>
            <w:r w:rsidRPr="00CB0A21">
              <w:rPr>
                <w:szCs w:val="22"/>
              </w:rPr>
              <w:t>Neigiamų pasekmių nenumatoma.</w:t>
            </w:r>
          </w:p>
        </w:tc>
      </w:tr>
    </w:tbl>
    <w:p w:rsidR="00B62297" w:rsidRPr="00CB0A21" w:rsidRDefault="00B62297" w:rsidP="00B62297">
      <w:pPr>
        <w:rPr>
          <w:sz w:val="28"/>
        </w:rPr>
      </w:pPr>
    </w:p>
    <w:tbl>
      <w:tblPr>
        <w:tblW w:w="9322" w:type="dxa"/>
        <w:tblLook w:val="00A0" w:firstRow="1" w:lastRow="0" w:firstColumn="1" w:lastColumn="0" w:noHBand="0" w:noVBand="0"/>
      </w:tblPr>
      <w:tblGrid>
        <w:gridCol w:w="2235"/>
        <w:gridCol w:w="7087"/>
      </w:tblGrid>
      <w:tr w:rsidR="00B62297" w:rsidRPr="00CB0A21" w:rsidTr="004D373B">
        <w:tc>
          <w:tcPr>
            <w:tcW w:w="2235" w:type="dxa"/>
            <w:shd w:val="clear" w:color="auto" w:fill="DBE5F1"/>
            <w:hideMark/>
          </w:tcPr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 xml:space="preserve">Poveikis </w:t>
            </w:r>
          </w:p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valstybės finansams</w:t>
            </w:r>
          </w:p>
        </w:tc>
        <w:tc>
          <w:tcPr>
            <w:tcW w:w="7087" w:type="dxa"/>
            <w:hideMark/>
          </w:tcPr>
          <w:p w:rsidR="0020056A" w:rsidRPr="00CB0A21" w:rsidRDefault="0020056A" w:rsidP="009772D0">
            <w:pPr>
              <w:jc w:val="both"/>
              <w:rPr>
                <w:szCs w:val="22"/>
              </w:rPr>
            </w:pPr>
          </w:p>
          <w:p w:rsidR="00B62297" w:rsidRPr="00CB0A21" w:rsidRDefault="00072098" w:rsidP="009772D0">
            <w:pPr>
              <w:jc w:val="both"/>
              <w:rPr>
                <w:sz w:val="28"/>
                <w:szCs w:val="22"/>
              </w:rPr>
            </w:pPr>
            <w:r>
              <w:rPr>
                <w:szCs w:val="22"/>
              </w:rPr>
              <w:t>Nutarimo p</w:t>
            </w:r>
            <w:r w:rsidR="009772D0" w:rsidRPr="00CB0A21">
              <w:rPr>
                <w:szCs w:val="22"/>
              </w:rPr>
              <w:t>rojekto įgyvendinimui papildomų biudžeto lėšų nereik</w:t>
            </w:r>
            <w:r w:rsidR="00BD7B04" w:rsidRPr="00CB0A21">
              <w:rPr>
                <w:szCs w:val="22"/>
              </w:rPr>
              <w:t>ė</w:t>
            </w:r>
            <w:r w:rsidR="009772D0" w:rsidRPr="00CB0A21">
              <w:rPr>
                <w:szCs w:val="22"/>
              </w:rPr>
              <w:t>s.</w:t>
            </w:r>
          </w:p>
        </w:tc>
      </w:tr>
    </w:tbl>
    <w:p w:rsidR="00B62297" w:rsidRPr="00CB0A21" w:rsidRDefault="00B62297" w:rsidP="00B62297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0"/>
        <w:gridCol w:w="7077"/>
      </w:tblGrid>
      <w:tr w:rsidR="00B62297" w:rsidRPr="00CB0A21" w:rsidTr="004D373B"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B62297" w:rsidRPr="00CB0A21" w:rsidRDefault="00B62297" w:rsidP="00FB2A12">
            <w:pPr>
              <w:shd w:val="clear" w:color="auto" w:fill="DBE5F1"/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Poveikis administracinei naštai</w:t>
            </w:r>
          </w:p>
        </w:tc>
        <w:tc>
          <w:tcPr>
            <w:tcW w:w="70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056A" w:rsidRPr="00CB0A21" w:rsidRDefault="0020056A" w:rsidP="00AC4C4E">
            <w:pPr>
              <w:jc w:val="both"/>
              <w:rPr>
                <w:szCs w:val="22"/>
              </w:rPr>
            </w:pPr>
          </w:p>
          <w:p w:rsidR="00B62297" w:rsidRPr="00CB0A21" w:rsidRDefault="00072098" w:rsidP="00A431AC">
            <w:pPr>
              <w:jc w:val="both"/>
              <w:rPr>
                <w:sz w:val="28"/>
                <w:szCs w:val="22"/>
              </w:rPr>
            </w:pPr>
            <w:r>
              <w:rPr>
                <w:szCs w:val="22"/>
              </w:rPr>
              <w:t>Nenumatomas.</w:t>
            </w:r>
          </w:p>
        </w:tc>
      </w:tr>
      <w:tr w:rsidR="00B62297" w:rsidRPr="00CB0A21" w:rsidTr="005B00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6"/>
        </w:trPr>
        <w:tc>
          <w:tcPr>
            <w:tcW w:w="9287" w:type="dxa"/>
            <w:gridSpan w:val="2"/>
            <w:vMerge w:val="restart"/>
            <w:shd w:val="clear" w:color="auto" w:fill="DBE5F1"/>
            <w:hideMark/>
          </w:tcPr>
          <w:p w:rsidR="005B005B" w:rsidRPr="00CB0A21" w:rsidRDefault="005B005B" w:rsidP="005B005B">
            <w:pPr>
              <w:rPr>
                <w:b/>
                <w:szCs w:val="22"/>
              </w:rPr>
            </w:pPr>
          </w:p>
          <w:p w:rsidR="0036644E" w:rsidRPr="00CB0A21" w:rsidRDefault="00B62297" w:rsidP="0036644E">
            <w:pPr>
              <w:rPr>
                <w:b/>
                <w:szCs w:val="22"/>
              </w:rPr>
            </w:pPr>
            <w:r w:rsidRPr="00CB0A21">
              <w:rPr>
                <w:b/>
                <w:szCs w:val="22"/>
              </w:rPr>
              <w:t xml:space="preserve">Kita svarbi </w:t>
            </w:r>
          </w:p>
          <w:p w:rsidR="00B62297" w:rsidRPr="00CB0A21" w:rsidRDefault="00B62297" w:rsidP="0036644E">
            <w:pPr>
              <w:rPr>
                <w:b/>
                <w:sz w:val="28"/>
                <w:szCs w:val="22"/>
              </w:rPr>
            </w:pPr>
            <w:r w:rsidRPr="00CB0A21">
              <w:rPr>
                <w:b/>
                <w:szCs w:val="22"/>
              </w:rPr>
              <w:t>informacija</w:t>
            </w:r>
            <w:r w:rsidR="005B005B" w:rsidRPr="00CB0A21">
              <w:rPr>
                <w:b/>
                <w:szCs w:val="22"/>
              </w:rPr>
              <w:t xml:space="preserve">    </w:t>
            </w:r>
            <w:r w:rsidR="00F848DE" w:rsidRPr="00CB0A21">
              <w:rPr>
                <w:b/>
                <w:szCs w:val="22"/>
              </w:rPr>
              <w:t xml:space="preserve">               </w:t>
            </w:r>
            <w:r w:rsidR="005B005B" w:rsidRPr="00CB0A21">
              <w:rPr>
                <w:szCs w:val="22"/>
              </w:rPr>
              <w:t>Nėra</w:t>
            </w:r>
            <w:r w:rsidR="00C7555E" w:rsidRPr="00CB0A21">
              <w:rPr>
                <w:szCs w:val="22"/>
              </w:rPr>
              <w:t>.</w:t>
            </w: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</w:p>
        </w:tc>
      </w:tr>
      <w:tr w:rsidR="00B62297" w:rsidRPr="00CB0A21" w:rsidTr="004D3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0" w:type="auto"/>
            <w:gridSpan w:val="2"/>
            <w:vMerge/>
            <w:vAlign w:val="center"/>
            <w:hideMark/>
          </w:tcPr>
          <w:p w:rsidR="00B62297" w:rsidRPr="00CB0A21" w:rsidRDefault="00B62297" w:rsidP="004D373B">
            <w:pPr>
              <w:rPr>
                <w:b/>
                <w:sz w:val="28"/>
                <w:szCs w:val="22"/>
              </w:rPr>
            </w:pPr>
          </w:p>
        </w:tc>
      </w:tr>
    </w:tbl>
    <w:p w:rsidR="00B62297" w:rsidRPr="00CB0A21" w:rsidRDefault="00B62297" w:rsidP="00B62297">
      <w:pPr>
        <w:pStyle w:val="ListParagraph1"/>
        <w:ind w:left="0"/>
        <w:contextualSpacing/>
        <w:jc w:val="both"/>
        <w:rPr>
          <w:b/>
          <w:szCs w:val="22"/>
        </w:rPr>
      </w:pPr>
      <w:r w:rsidRPr="00CB0A21">
        <w:rPr>
          <w:b/>
          <w:szCs w:val="22"/>
        </w:rPr>
        <w:t>Informacija apie asmenį ir instituciją, atsakingą už poveikio vertinimą</w:t>
      </w:r>
    </w:p>
    <w:p w:rsidR="00B62297" w:rsidRPr="00CB0A21" w:rsidRDefault="00B62297" w:rsidP="00B62297">
      <w:pPr>
        <w:pStyle w:val="ListParagraph1"/>
        <w:jc w:val="both"/>
        <w:rPr>
          <w:b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71"/>
        <w:gridCol w:w="6616"/>
      </w:tblGrid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Vardas ir pavardė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CA7932" w:rsidRDefault="00F95F86" w:rsidP="003E64B0">
            <w:pPr>
              <w:pStyle w:val="ListParagraph1"/>
              <w:ind w:left="0"/>
              <w:rPr>
                <w:szCs w:val="22"/>
              </w:rPr>
            </w:pPr>
            <w:r>
              <w:rPr>
                <w:szCs w:val="22"/>
              </w:rPr>
              <w:t>Valentina Tuskenytė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Pareigos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D72F58" w:rsidRDefault="00D72F58" w:rsidP="003E64B0">
            <w:pPr>
              <w:pStyle w:val="ListParagraph1"/>
              <w:ind w:left="0"/>
              <w:rPr>
                <w:szCs w:val="22"/>
              </w:rPr>
            </w:pPr>
            <w:r w:rsidRPr="00D72F58">
              <w:rPr>
                <w:szCs w:val="22"/>
              </w:rPr>
              <w:t>Vyriausioji specialistė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b/>
                <w:szCs w:val="22"/>
              </w:rPr>
            </w:pPr>
            <w:r w:rsidRPr="00CA7932">
              <w:rPr>
                <w:sz w:val="22"/>
                <w:szCs w:val="22"/>
              </w:rPr>
              <w:t>Institucija (padalinys)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B62297" w:rsidRPr="00FE6341" w:rsidRDefault="00D72F58" w:rsidP="00AD658B">
            <w:pPr>
              <w:pStyle w:val="ListParagraph1"/>
              <w:ind w:left="0"/>
              <w:rPr>
                <w:szCs w:val="22"/>
                <w:highlight w:val="yellow"/>
              </w:rPr>
            </w:pPr>
            <w:r w:rsidRPr="00DA3F33">
              <w:rPr>
                <w:szCs w:val="22"/>
              </w:rPr>
              <w:t xml:space="preserve">Aplinkos ministerijos </w:t>
            </w:r>
            <w:r w:rsidR="00DA3F33" w:rsidRPr="00DA3F33">
              <w:rPr>
                <w:szCs w:val="22"/>
              </w:rPr>
              <w:t>Taršos prevencijos</w:t>
            </w:r>
            <w:r w:rsidRPr="00DA3F33">
              <w:rPr>
                <w:szCs w:val="22"/>
              </w:rPr>
              <w:t xml:space="preserve"> </w:t>
            </w:r>
            <w:r w:rsidR="00AD658B">
              <w:rPr>
                <w:szCs w:val="22"/>
              </w:rPr>
              <w:t xml:space="preserve">politikos grupė </w:t>
            </w:r>
            <w:r w:rsidR="00F95F86">
              <w:rPr>
                <w:szCs w:val="22"/>
              </w:rPr>
              <w:t xml:space="preserve">Vandenų ir žemės gelmių išteklių </w:t>
            </w:r>
            <w:r w:rsidR="00AD658B">
              <w:rPr>
                <w:szCs w:val="22"/>
              </w:rPr>
              <w:t>klausimais</w:t>
            </w:r>
          </w:p>
        </w:tc>
      </w:tr>
      <w:tr w:rsidR="00B62297" w:rsidRPr="00CA7932" w:rsidTr="004D373B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B62297" w:rsidRPr="00CA7932" w:rsidRDefault="00B62297" w:rsidP="004D373B">
            <w:pPr>
              <w:pStyle w:val="ListParagraph1"/>
              <w:ind w:left="0"/>
              <w:rPr>
                <w:szCs w:val="22"/>
              </w:rPr>
            </w:pPr>
            <w:r w:rsidRPr="00CA7932">
              <w:rPr>
                <w:sz w:val="22"/>
                <w:szCs w:val="22"/>
              </w:rPr>
              <w:t>Telefon</w:t>
            </w:r>
            <w:r>
              <w:rPr>
                <w:sz w:val="22"/>
                <w:szCs w:val="22"/>
              </w:rPr>
              <w:t>o numeris</w:t>
            </w:r>
            <w:r w:rsidRPr="00CA7932">
              <w:rPr>
                <w:sz w:val="22"/>
                <w:szCs w:val="22"/>
              </w:rPr>
              <w:t xml:space="preserve"> ir elektronini</w:t>
            </w:r>
            <w:r>
              <w:rPr>
                <w:sz w:val="22"/>
                <w:szCs w:val="22"/>
              </w:rPr>
              <w:t>o</w:t>
            </w:r>
            <w:r w:rsidRPr="00CA7932">
              <w:rPr>
                <w:sz w:val="22"/>
                <w:szCs w:val="22"/>
              </w:rPr>
              <w:t xml:space="preserve"> pašt</w:t>
            </w:r>
            <w:r>
              <w:rPr>
                <w:sz w:val="22"/>
                <w:szCs w:val="22"/>
              </w:rPr>
              <w:t>o adres</w:t>
            </w:r>
            <w:r w:rsidRPr="00CA7932">
              <w:rPr>
                <w:sz w:val="22"/>
                <w:szCs w:val="22"/>
              </w:rPr>
              <w:t>as</w:t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2958E9" w:rsidRPr="002958E9" w:rsidRDefault="003E64B0" w:rsidP="00CB0A21">
            <w:pPr>
              <w:pStyle w:val="ListParagraph1"/>
              <w:ind w:left="0"/>
              <w:rPr>
                <w:szCs w:val="22"/>
              </w:rPr>
            </w:pPr>
            <w:r w:rsidRPr="002958E9">
              <w:rPr>
                <w:szCs w:val="22"/>
              </w:rPr>
              <w:t xml:space="preserve">Tel. </w:t>
            </w:r>
            <w:r w:rsidR="00CB0A21">
              <w:rPr>
                <w:szCs w:val="22"/>
              </w:rPr>
              <w:t>+370 695 86821</w:t>
            </w:r>
            <w:r w:rsidR="002958E9" w:rsidRPr="002958E9">
              <w:rPr>
                <w:szCs w:val="22"/>
              </w:rPr>
              <w:t xml:space="preserve">, </w:t>
            </w:r>
            <w:r w:rsidR="00DF2387">
              <w:rPr>
                <w:szCs w:val="22"/>
              </w:rPr>
              <w:t>e</w:t>
            </w:r>
            <w:r w:rsidR="002958E9" w:rsidRPr="002958E9">
              <w:rPr>
                <w:szCs w:val="22"/>
              </w:rPr>
              <w:t xml:space="preserve">l. p. </w:t>
            </w:r>
            <w:r w:rsidR="00F95F86">
              <w:rPr>
                <w:szCs w:val="22"/>
              </w:rPr>
              <w:t>valentina.tuskenyte</w:t>
            </w:r>
            <w:r w:rsidR="002958E9">
              <w:rPr>
                <w:szCs w:val="22"/>
              </w:rPr>
              <w:t>@am.lt</w:t>
            </w:r>
          </w:p>
        </w:tc>
      </w:tr>
    </w:tbl>
    <w:p w:rsidR="00B62297" w:rsidRPr="00765701" w:rsidRDefault="00B62297" w:rsidP="00B62297">
      <w:pPr>
        <w:jc w:val="both"/>
      </w:pPr>
    </w:p>
    <w:p w:rsidR="00B62297" w:rsidRDefault="00B62297" w:rsidP="00B62297">
      <w:pPr>
        <w:pStyle w:val="Header"/>
        <w:tabs>
          <w:tab w:val="clear" w:pos="4153"/>
          <w:tab w:val="clear" w:pos="8306"/>
          <w:tab w:val="left" w:pos="6237"/>
        </w:tabs>
        <w:spacing w:line="360" w:lineRule="atLeast"/>
        <w:jc w:val="center"/>
      </w:pPr>
      <w:r w:rsidRPr="00765701">
        <w:t>__________________</w:t>
      </w:r>
    </w:p>
    <w:sectPr w:rsidR="00B62297" w:rsidSect="00B224B7">
      <w:pgSz w:w="11906" w:h="16838"/>
      <w:pgMar w:top="993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67" w:rsidRDefault="00233567">
      <w:r>
        <w:separator/>
      </w:r>
    </w:p>
  </w:endnote>
  <w:endnote w:type="continuationSeparator" w:id="0">
    <w:p w:rsidR="00233567" w:rsidRDefault="00233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67" w:rsidRDefault="00233567">
      <w:r>
        <w:separator/>
      </w:r>
    </w:p>
  </w:footnote>
  <w:footnote w:type="continuationSeparator" w:id="0">
    <w:p w:rsidR="00233567" w:rsidRDefault="00233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97"/>
    <w:rsid w:val="00003DD1"/>
    <w:rsid w:val="000327D8"/>
    <w:rsid w:val="00072098"/>
    <w:rsid w:val="000D0B88"/>
    <w:rsid w:val="000E4B5F"/>
    <w:rsid w:val="000F2927"/>
    <w:rsid w:val="0013320C"/>
    <w:rsid w:val="00163364"/>
    <w:rsid w:val="00170E15"/>
    <w:rsid w:val="00191575"/>
    <w:rsid w:val="00192DDB"/>
    <w:rsid w:val="001A35EC"/>
    <w:rsid w:val="001A68A4"/>
    <w:rsid w:val="0020056A"/>
    <w:rsid w:val="0023011C"/>
    <w:rsid w:val="00233567"/>
    <w:rsid w:val="00243EE2"/>
    <w:rsid w:val="002613A2"/>
    <w:rsid w:val="00282936"/>
    <w:rsid w:val="00285F7B"/>
    <w:rsid w:val="002947BF"/>
    <w:rsid w:val="002958E9"/>
    <w:rsid w:val="00296681"/>
    <w:rsid w:val="002A1B6D"/>
    <w:rsid w:val="002D482D"/>
    <w:rsid w:val="002F3A84"/>
    <w:rsid w:val="00325481"/>
    <w:rsid w:val="00327F14"/>
    <w:rsid w:val="00340C15"/>
    <w:rsid w:val="0036644E"/>
    <w:rsid w:val="00380642"/>
    <w:rsid w:val="003A21B9"/>
    <w:rsid w:val="003B36FF"/>
    <w:rsid w:val="003E64B0"/>
    <w:rsid w:val="003F45EC"/>
    <w:rsid w:val="003F6488"/>
    <w:rsid w:val="004114EB"/>
    <w:rsid w:val="00412786"/>
    <w:rsid w:val="004171AB"/>
    <w:rsid w:val="004C7AB0"/>
    <w:rsid w:val="004D373B"/>
    <w:rsid w:val="00527773"/>
    <w:rsid w:val="00532366"/>
    <w:rsid w:val="005B005B"/>
    <w:rsid w:val="0060257E"/>
    <w:rsid w:val="00606095"/>
    <w:rsid w:val="00620CAC"/>
    <w:rsid w:val="00626E65"/>
    <w:rsid w:val="006319B9"/>
    <w:rsid w:val="00652B24"/>
    <w:rsid w:val="006564B6"/>
    <w:rsid w:val="00661EB3"/>
    <w:rsid w:val="0068370C"/>
    <w:rsid w:val="006F521A"/>
    <w:rsid w:val="00731F54"/>
    <w:rsid w:val="007438F9"/>
    <w:rsid w:val="00755C68"/>
    <w:rsid w:val="00761D01"/>
    <w:rsid w:val="00790E41"/>
    <w:rsid w:val="00813CFB"/>
    <w:rsid w:val="00817A85"/>
    <w:rsid w:val="00831C6C"/>
    <w:rsid w:val="008B740B"/>
    <w:rsid w:val="008C07F3"/>
    <w:rsid w:val="008E7CA7"/>
    <w:rsid w:val="00916F2F"/>
    <w:rsid w:val="00941574"/>
    <w:rsid w:val="009578CA"/>
    <w:rsid w:val="00965D46"/>
    <w:rsid w:val="00976C43"/>
    <w:rsid w:val="009772D0"/>
    <w:rsid w:val="009A7AEB"/>
    <w:rsid w:val="009D2080"/>
    <w:rsid w:val="009F6915"/>
    <w:rsid w:val="009F77E1"/>
    <w:rsid w:val="00A11602"/>
    <w:rsid w:val="00A21C16"/>
    <w:rsid w:val="00A350FC"/>
    <w:rsid w:val="00A431AC"/>
    <w:rsid w:val="00A511BA"/>
    <w:rsid w:val="00A65A3E"/>
    <w:rsid w:val="00A85997"/>
    <w:rsid w:val="00AB51BD"/>
    <w:rsid w:val="00AC3304"/>
    <w:rsid w:val="00AC4C4E"/>
    <w:rsid w:val="00AD658B"/>
    <w:rsid w:val="00AD70D5"/>
    <w:rsid w:val="00AE2E59"/>
    <w:rsid w:val="00AE599C"/>
    <w:rsid w:val="00AF5E06"/>
    <w:rsid w:val="00B224B7"/>
    <w:rsid w:val="00B57F49"/>
    <w:rsid w:val="00B62297"/>
    <w:rsid w:val="00B84562"/>
    <w:rsid w:val="00BD7B04"/>
    <w:rsid w:val="00BE7185"/>
    <w:rsid w:val="00C304AC"/>
    <w:rsid w:val="00C60513"/>
    <w:rsid w:val="00C74C12"/>
    <w:rsid w:val="00C7555E"/>
    <w:rsid w:val="00C839CD"/>
    <w:rsid w:val="00C904DB"/>
    <w:rsid w:val="00CA4BE3"/>
    <w:rsid w:val="00CB0A21"/>
    <w:rsid w:val="00CB2726"/>
    <w:rsid w:val="00CE2051"/>
    <w:rsid w:val="00CE72B2"/>
    <w:rsid w:val="00D03E7A"/>
    <w:rsid w:val="00D10E21"/>
    <w:rsid w:val="00D315F0"/>
    <w:rsid w:val="00D46F08"/>
    <w:rsid w:val="00D72C6B"/>
    <w:rsid w:val="00D72F58"/>
    <w:rsid w:val="00D86F1A"/>
    <w:rsid w:val="00D921D4"/>
    <w:rsid w:val="00DA3F33"/>
    <w:rsid w:val="00DA5A05"/>
    <w:rsid w:val="00DB1A27"/>
    <w:rsid w:val="00DB4C89"/>
    <w:rsid w:val="00DC0EF9"/>
    <w:rsid w:val="00DF2387"/>
    <w:rsid w:val="00E232E1"/>
    <w:rsid w:val="00E241B8"/>
    <w:rsid w:val="00E315F3"/>
    <w:rsid w:val="00EC1555"/>
    <w:rsid w:val="00EC6970"/>
    <w:rsid w:val="00ED0441"/>
    <w:rsid w:val="00EE0293"/>
    <w:rsid w:val="00F03222"/>
    <w:rsid w:val="00F10127"/>
    <w:rsid w:val="00F30B07"/>
    <w:rsid w:val="00F640BC"/>
    <w:rsid w:val="00F848DE"/>
    <w:rsid w:val="00F95F86"/>
    <w:rsid w:val="00FB2A12"/>
    <w:rsid w:val="00FB44BB"/>
    <w:rsid w:val="00FC0CAC"/>
    <w:rsid w:val="00FE4F3D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297"/>
    <w:rPr>
      <w:rFonts w:ascii="Times New Roman" w:eastAsia="Times New Roman" w:hAnsi="Times New Roman"/>
      <w:sz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1"/>
    <w:uiPriority w:val="99"/>
    <w:rsid w:val="00B62297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  <w:semiHidden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1">
    <w:name w:val="Header Char1"/>
    <w:aliases w:val="Char Char,Diagrama Char"/>
    <w:link w:val="Header"/>
    <w:uiPriority w:val="99"/>
    <w:locked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B62297"/>
    <w:pPr>
      <w:spacing w:before="120"/>
      <w:ind w:left="4536"/>
      <w:jc w:val="center"/>
    </w:pPr>
  </w:style>
  <w:style w:type="character" w:customStyle="1" w:styleId="BodyTextIndentChar">
    <w:name w:val="Body Text Indent Char"/>
    <w:link w:val="BodyTextIndent"/>
    <w:rsid w:val="00B6229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ListParagraph1">
    <w:name w:val="List Paragraph1"/>
    <w:basedOn w:val="Normal"/>
    <w:qFormat/>
    <w:rsid w:val="00B62297"/>
    <w:pPr>
      <w:ind w:left="1296"/>
    </w:pPr>
    <w:rPr>
      <w:lang w:eastAsia="en-US"/>
    </w:rPr>
  </w:style>
  <w:style w:type="character" w:styleId="Hyperlink">
    <w:name w:val="Hyperlink"/>
    <w:uiPriority w:val="99"/>
    <w:unhideWhenUsed/>
    <w:rsid w:val="002958E9"/>
    <w:rPr>
      <w:color w:val="0000FF"/>
      <w:u w:val="single"/>
    </w:rPr>
  </w:style>
  <w:style w:type="paragraph" w:customStyle="1" w:styleId="WW-BodyTextIndent3">
    <w:name w:val="WW-Body Text Indent 3"/>
    <w:basedOn w:val="Normal"/>
    <w:rsid w:val="00BE7185"/>
    <w:pPr>
      <w:widowControl w:val="0"/>
      <w:suppressAutoHyphens/>
      <w:ind w:firstLine="567"/>
      <w:jc w:val="both"/>
    </w:pPr>
    <w:rPr>
      <w:rFonts w:eastAsia="Andale Sans UI" w:cs="Tahoma"/>
      <w:szCs w:val="24"/>
      <w:lang w:eastAsia="en-US" w:bidi="en-US"/>
    </w:rPr>
  </w:style>
  <w:style w:type="paragraph" w:styleId="PlainText">
    <w:name w:val="Plain Text"/>
    <w:basedOn w:val="Normal"/>
    <w:link w:val="PlainTextChar"/>
    <w:uiPriority w:val="99"/>
    <w:unhideWhenUsed/>
    <w:rsid w:val="00532366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532366"/>
    <w:rPr>
      <w:sz w:val="22"/>
      <w:szCs w:val="21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0A21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B0A21"/>
    <w:rPr>
      <w:rFonts w:ascii="Times New Roman" w:eastAsia="Times New Roman" w:hAnsi="Times New Roman"/>
      <w:sz w:val="24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064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0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l.stumbriene</dc:creator>
  <cp:lastModifiedBy>Valentina Tuskenytė</cp:lastModifiedBy>
  <cp:revision>4</cp:revision>
  <dcterms:created xsi:type="dcterms:W3CDTF">2020-05-04T10:25:00Z</dcterms:created>
  <dcterms:modified xsi:type="dcterms:W3CDTF">2020-07-14T05:35:00Z</dcterms:modified>
</cp:coreProperties>
</file>