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20CB1" w14:textId="77777777" w:rsidR="00E75A57" w:rsidRDefault="00293780" w:rsidP="00293780">
      <w:pPr>
        <w:pStyle w:val="statymopavad0"/>
        <w:spacing w:line="240" w:lineRule="auto"/>
        <w:rPr>
          <w:b/>
          <w:caps w:val="0"/>
        </w:rPr>
      </w:pPr>
      <w:r w:rsidRPr="00293780">
        <w:rPr>
          <w:b/>
          <w:bCs/>
        </w:rPr>
        <w:t xml:space="preserve">DĖL LIETUVOS RESPUBLIKOS VYRIAUSYBĖS NUTARIMO „DĖL VALSTYBINĖS KITOS PASKIRTIES ŽEMĖS SKLYPO PERDAVIMO PATIKĖJIMO TEISE VALSTYBĖS ĮMONEI KLAIPĖDOS VALSTYBINIO JŪRŲ UOSTO DIREKCIJAI“ PROJEKTO IR </w:t>
      </w:r>
      <w:r w:rsidRPr="00293780">
        <w:rPr>
          <w:b/>
        </w:rPr>
        <w:t xml:space="preserve">LIETUVOS RESPUBLIKOS VYRIAUSYBĖS NUTARIMO „DĖL LIETUVOS RESPUBLIKOS VYRIAUSYBĖS 1993 M. LAPKRIČIO 3 D. NUTARIMO NR. 822 „DĖL KLAIPĖDOS VALSTYBINIO JŪRŲ UOSTO AKVATORIJOS IR UOSTO REZERVINIŲ TERITORIJŲ RIBŲ PATVIRTINIMO“ PAKEITIMO“ PROJEKTO </w:t>
      </w:r>
      <w:r w:rsidR="002A10EA" w:rsidRPr="002A10EA">
        <w:rPr>
          <w:b/>
        </w:rPr>
        <w:t>DERINIMO</w:t>
      </w:r>
      <w:r w:rsidR="00E75A57" w:rsidRPr="00E75A57">
        <w:rPr>
          <w:b/>
        </w:rPr>
        <w:t xml:space="preserve"> </w:t>
      </w:r>
      <w:r w:rsidR="00E75A57" w:rsidRPr="00E34AA8">
        <w:rPr>
          <w:b/>
        </w:rPr>
        <w:t>Pažyma</w:t>
      </w:r>
    </w:p>
    <w:p w14:paraId="7F8DCCB2" w14:textId="77777777" w:rsidR="00BF3B19" w:rsidRPr="002A10EA" w:rsidRDefault="00BF3B19" w:rsidP="00EA7949">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53"/>
        <w:gridCol w:w="8646"/>
      </w:tblGrid>
      <w:tr w:rsidR="007C3FE5" w:rsidRPr="003935A3" w14:paraId="00100EC1" w14:textId="77777777" w:rsidTr="008A3FE2">
        <w:trPr>
          <w:trHeight w:val="878"/>
        </w:trPr>
        <w:tc>
          <w:tcPr>
            <w:tcW w:w="2410" w:type="dxa"/>
          </w:tcPr>
          <w:p w14:paraId="7DF2C62A" w14:textId="77777777" w:rsidR="007C3FE5" w:rsidRPr="003935A3" w:rsidRDefault="00D94AF6" w:rsidP="003935A3">
            <w:pPr>
              <w:ind w:right="180"/>
              <w:jc w:val="center"/>
            </w:pPr>
            <w:r w:rsidRPr="003935A3">
              <w:t xml:space="preserve">Institucija, </w:t>
            </w:r>
            <w:r w:rsidR="008A7432" w:rsidRPr="003935A3">
              <w:t>pa</w:t>
            </w:r>
            <w:r w:rsidRPr="003935A3">
              <w:t>teikusi pastabas ir pasiūlymus</w:t>
            </w:r>
          </w:p>
        </w:tc>
        <w:tc>
          <w:tcPr>
            <w:tcW w:w="4253" w:type="dxa"/>
          </w:tcPr>
          <w:p w14:paraId="65A9430D" w14:textId="77777777" w:rsidR="007C3FE5" w:rsidRPr="003935A3" w:rsidRDefault="00D94AF6" w:rsidP="003935A3">
            <w:pPr>
              <w:ind w:right="180"/>
              <w:jc w:val="center"/>
            </w:pPr>
            <w:r w:rsidRPr="003935A3">
              <w:t>Pastabos ir pasiūlymai</w:t>
            </w:r>
          </w:p>
          <w:p w14:paraId="297E2510" w14:textId="77777777" w:rsidR="00F57C2C" w:rsidRPr="003935A3" w:rsidRDefault="00F57C2C" w:rsidP="003935A3">
            <w:pPr>
              <w:ind w:right="180"/>
              <w:jc w:val="center"/>
            </w:pPr>
          </w:p>
        </w:tc>
        <w:tc>
          <w:tcPr>
            <w:tcW w:w="8646" w:type="dxa"/>
          </w:tcPr>
          <w:p w14:paraId="67609A65" w14:textId="77777777" w:rsidR="007C3FE5" w:rsidRPr="003935A3" w:rsidRDefault="00D94AF6" w:rsidP="003935A3">
            <w:pPr>
              <w:jc w:val="center"/>
            </w:pPr>
            <w:r w:rsidRPr="003935A3">
              <w:t xml:space="preserve">Žyma apie </w:t>
            </w:r>
            <w:r w:rsidR="00743400" w:rsidRPr="003935A3">
              <w:t>ne</w:t>
            </w:r>
            <w:r w:rsidRPr="003935A3">
              <w:t>pritarimą pastaboms ir pasiūlymams</w:t>
            </w:r>
          </w:p>
        </w:tc>
      </w:tr>
      <w:tr w:rsidR="00333E80" w:rsidRPr="008A2FB5" w14:paraId="0F8464E3" w14:textId="77777777" w:rsidTr="008A3FE2">
        <w:trPr>
          <w:trHeight w:val="264"/>
        </w:trPr>
        <w:tc>
          <w:tcPr>
            <w:tcW w:w="2410" w:type="dxa"/>
          </w:tcPr>
          <w:p w14:paraId="0312B179" w14:textId="77777777" w:rsidR="00333E80" w:rsidRDefault="00333E80" w:rsidP="00333E80">
            <w:pPr>
              <w:tabs>
                <w:tab w:val="left" w:pos="2052"/>
              </w:tabs>
              <w:jc w:val="center"/>
            </w:pPr>
            <w:r>
              <w:t>1</w:t>
            </w:r>
          </w:p>
        </w:tc>
        <w:tc>
          <w:tcPr>
            <w:tcW w:w="4253" w:type="dxa"/>
          </w:tcPr>
          <w:p w14:paraId="7F2F1AA3" w14:textId="77777777" w:rsidR="00333E80" w:rsidRDefault="00333E80" w:rsidP="00333E80">
            <w:pPr>
              <w:tabs>
                <w:tab w:val="left" w:pos="732"/>
              </w:tabs>
              <w:autoSpaceDE w:val="0"/>
              <w:autoSpaceDN w:val="0"/>
              <w:adjustRightInd w:val="0"/>
              <w:jc w:val="center"/>
            </w:pPr>
            <w:r>
              <w:t>2</w:t>
            </w:r>
          </w:p>
        </w:tc>
        <w:tc>
          <w:tcPr>
            <w:tcW w:w="8646" w:type="dxa"/>
          </w:tcPr>
          <w:p w14:paraId="4D1DE91A" w14:textId="77777777" w:rsidR="00333E80" w:rsidRPr="00333E80" w:rsidRDefault="00333E80" w:rsidP="00333E80">
            <w:pPr>
              <w:shd w:val="clear" w:color="auto" w:fill="FFFFFF"/>
              <w:ind w:firstLine="459"/>
              <w:jc w:val="center"/>
            </w:pPr>
            <w:r w:rsidRPr="00333E80">
              <w:t>3</w:t>
            </w:r>
          </w:p>
        </w:tc>
      </w:tr>
      <w:tr w:rsidR="008A3FE2" w:rsidRPr="008A2FB5" w14:paraId="6C223234" w14:textId="77777777" w:rsidTr="00C53319">
        <w:trPr>
          <w:trHeight w:val="264"/>
        </w:trPr>
        <w:tc>
          <w:tcPr>
            <w:tcW w:w="2410" w:type="dxa"/>
          </w:tcPr>
          <w:p w14:paraId="651F1528" w14:textId="77777777" w:rsidR="008A3FE2" w:rsidRPr="00E7205A" w:rsidRDefault="008A3FE2" w:rsidP="00333E80">
            <w:pPr>
              <w:tabs>
                <w:tab w:val="left" w:pos="2052"/>
              </w:tabs>
              <w:jc w:val="center"/>
            </w:pPr>
            <w:r w:rsidRPr="00E7205A">
              <w:t>Lietuvos Respublikos konkurencijos tarybos 2017-03-16 raštas   Nr. (9.8-35)</w:t>
            </w:r>
            <w:r w:rsidR="0085295A">
              <w:t xml:space="preserve"> </w:t>
            </w:r>
            <w:r w:rsidRPr="00E7205A">
              <w:t>6V-648</w:t>
            </w:r>
          </w:p>
        </w:tc>
        <w:tc>
          <w:tcPr>
            <w:tcW w:w="4253" w:type="dxa"/>
          </w:tcPr>
          <w:p w14:paraId="747B7E50" w14:textId="77777777" w:rsidR="00E7205A" w:rsidRDefault="00E7205A" w:rsidP="00E7205A">
            <w:pPr>
              <w:tabs>
                <w:tab w:val="left" w:pos="732"/>
              </w:tabs>
              <w:autoSpaceDE w:val="0"/>
              <w:autoSpaceDN w:val="0"/>
              <w:adjustRightInd w:val="0"/>
              <w:jc w:val="both"/>
            </w:pPr>
            <w:r>
              <w:t xml:space="preserve">   Konkurencijos taryba atkreipia dėmesį, kad perduodant inžinerinės paskirties žemės sklypą padidėtų valstybės įmonės Klaipėdos valstybinio jūrų uosto direkcijos (toliau – Uosto direkcija) valdoma uosto teritorija su infrastruktūra, kuri yra naudojama ūkinei veiklai, todėl šiuo atveju turto perdavimas gali būti laikomas valstybės pagalba atitinkamai veiklai.</w:t>
            </w:r>
          </w:p>
          <w:p w14:paraId="40A9BAA6" w14:textId="77777777" w:rsidR="00E7205A" w:rsidRDefault="00E7205A" w:rsidP="00E7205A">
            <w:pPr>
              <w:tabs>
                <w:tab w:val="left" w:pos="732"/>
              </w:tabs>
              <w:autoSpaceDE w:val="0"/>
              <w:autoSpaceDN w:val="0"/>
              <w:adjustRightInd w:val="0"/>
              <w:jc w:val="both"/>
            </w:pPr>
            <w:r>
              <w:t xml:space="preserve">   Siekiant nustatyti, ar nekilnojamojo turto perdavimas gali būti laikomas valstybės pagalba, būtina kiekvienu konkrečiu atveju įvertinti, ar tenkinami visi Sutarties dėl Europos Sąjungos veikimo (toliau – Sutartis) 107 straipsnio 1 dalyje apibrėžti kriterijai, tai yra ar parama:</w:t>
            </w:r>
          </w:p>
          <w:p w14:paraId="4A6A483F" w14:textId="77777777" w:rsidR="00E7205A" w:rsidRDefault="00E7205A" w:rsidP="00E7205A">
            <w:pPr>
              <w:tabs>
                <w:tab w:val="left" w:pos="732"/>
              </w:tabs>
              <w:autoSpaceDE w:val="0"/>
              <w:autoSpaceDN w:val="0"/>
              <w:adjustRightInd w:val="0"/>
              <w:jc w:val="both"/>
            </w:pPr>
            <w:r>
              <w:t>(a) yra teikiama valstybės narės iš jos išteklių;</w:t>
            </w:r>
          </w:p>
          <w:p w14:paraId="6A627FD6" w14:textId="77777777" w:rsidR="008A3FE2" w:rsidRDefault="00E7205A" w:rsidP="00BF625D">
            <w:pPr>
              <w:tabs>
                <w:tab w:val="left" w:pos="732"/>
              </w:tabs>
              <w:autoSpaceDE w:val="0"/>
              <w:autoSpaceDN w:val="0"/>
              <w:adjustRightInd w:val="0"/>
              <w:jc w:val="both"/>
            </w:pPr>
            <w:r>
              <w:t>(b) palaiko tam tikrus ūkio subjektus arba tam tikrų prekių gamybą ir suteikia išskirtinę ekonominę naudą</w:t>
            </w:r>
            <w:r w:rsidR="0030492F">
              <w:t>;</w:t>
            </w:r>
          </w:p>
        </w:tc>
        <w:tc>
          <w:tcPr>
            <w:tcW w:w="8646" w:type="dxa"/>
          </w:tcPr>
          <w:p w14:paraId="5FCF249C" w14:textId="77777777" w:rsidR="008A3FE2" w:rsidRPr="00B13D09" w:rsidRDefault="008A3FE2" w:rsidP="008A3FE2">
            <w:pPr>
              <w:shd w:val="clear" w:color="auto" w:fill="FFFFFF"/>
              <w:ind w:firstLine="459"/>
              <w:jc w:val="both"/>
              <w:rPr>
                <w:b/>
              </w:rPr>
            </w:pPr>
            <w:r w:rsidRPr="00B13D09">
              <w:rPr>
                <w:b/>
              </w:rPr>
              <w:t>Neatsižvelgta.</w:t>
            </w:r>
          </w:p>
          <w:p w14:paraId="28BC55C8" w14:textId="77777777" w:rsidR="008A3FE2" w:rsidRDefault="008A3FE2" w:rsidP="008A3FE2">
            <w:pPr>
              <w:shd w:val="clear" w:color="auto" w:fill="FFFFFF"/>
              <w:ind w:firstLine="459"/>
              <w:jc w:val="both"/>
            </w:pPr>
            <w:r>
              <w:t>Susisiekimo ministerijos nuomone, šiuo atveju nėra tenkinami visi Sutarties dėl Europos Sąjungos veikimo (toliau – Sutartis) 107 straipsnio 1 dalyje apibrėžti kriterijai.</w:t>
            </w:r>
          </w:p>
          <w:p w14:paraId="5C339CB7" w14:textId="2B2EAA83" w:rsidR="008A3FE2" w:rsidRDefault="008A3FE2" w:rsidP="008A3FE2">
            <w:pPr>
              <w:shd w:val="clear" w:color="auto" w:fill="FFFFFF"/>
              <w:ind w:firstLine="459"/>
              <w:jc w:val="both"/>
            </w:pPr>
            <w:r>
              <w:t>Šiuo atveju atkreiptinas dėmesys į</w:t>
            </w:r>
            <w:r w:rsidR="000F7F9F">
              <w:t xml:space="preserve"> </w:t>
            </w:r>
            <w:r w:rsidR="00FF152B">
              <w:t>antrą</w:t>
            </w:r>
            <w:r>
              <w:t xml:space="preserve"> kriterijų, t. y. ar bus Uosto direkcijai suteikiamas ekonominis pranašumas.</w:t>
            </w:r>
          </w:p>
          <w:p w14:paraId="43100820" w14:textId="58994719" w:rsidR="008A3FE2" w:rsidRDefault="008A3FE2" w:rsidP="008A3FE2">
            <w:pPr>
              <w:shd w:val="clear" w:color="auto" w:fill="FFFFFF"/>
              <w:ind w:firstLine="459"/>
              <w:jc w:val="both"/>
            </w:pPr>
            <w:r>
              <w:t>Pagal Sutarties 107 straipsnio 1 dalies nuostatas ekonominiu pranašumu pripažįstama bet kokia ekonominė nauda, kurios įmonė nebūtų galėjusi gauti įprastomis rinkos sąlygomis, t. y. be valstybės intervencijos</w:t>
            </w:r>
            <w:r w:rsidR="00BF625D">
              <w:rPr>
                <w:rStyle w:val="Puslapioinaosnuoroda"/>
              </w:rPr>
              <w:footnoteReference w:id="1"/>
            </w:r>
            <w:r w:rsidR="00B13D09">
              <w:t xml:space="preserve">. </w:t>
            </w:r>
            <w:r>
              <w:t xml:space="preserve">Tokiu atveju yra nesvarbi konkreti valstybės taikomos priemonės forma, kadangi </w:t>
            </w:r>
            <w:r w:rsidR="00724D46">
              <w:t>ekonominio pranašumo suteikimas yra vertinamas pagal priemonės poveikį</w:t>
            </w:r>
            <w:r w:rsidR="002635C2">
              <w:t xml:space="preserve">, t. y. ar priemonė suteikė </w:t>
            </w:r>
            <w:r>
              <w:t>ekonominę naudą ją gavusiam subjektui</w:t>
            </w:r>
            <w:r w:rsidR="00B13D09">
              <w:rPr>
                <w:rStyle w:val="Puslapioinaosnuoroda"/>
              </w:rPr>
              <w:footnoteReference w:id="2"/>
            </w:r>
            <w:r>
              <w:t xml:space="preserve">. Pavyzdžiui, atsisakymas pajamų už jai priklausančio žemės sklypo naudojimą, kurias įprastai valstybė gautų jį nuomodama, yra vienas iš netiesioginių </w:t>
            </w:r>
            <w:proofErr w:type="spellStart"/>
            <w:r>
              <w:t>pranašumų</w:t>
            </w:r>
            <w:proofErr w:type="spellEnd"/>
            <w:r>
              <w:t>, kurio efektas yra panašus kaip subsidijų</w:t>
            </w:r>
            <w:r w:rsidR="00B13D09">
              <w:rPr>
                <w:rStyle w:val="Puslapioinaosnuoroda"/>
              </w:rPr>
              <w:footnoteReference w:id="3"/>
            </w:r>
            <w:r>
              <w:t>.</w:t>
            </w:r>
          </w:p>
          <w:p w14:paraId="59147FD3" w14:textId="77777777" w:rsidR="008A3FE2" w:rsidRDefault="008A3FE2" w:rsidP="008A3FE2">
            <w:pPr>
              <w:shd w:val="clear" w:color="auto" w:fill="FFFFFF"/>
              <w:ind w:firstLine="459"/>
              <w:jc w:val="both"/>
            </w:pPr>
            <w:r>
              <w:t>Susisiekimo ministerijos nuomone, vien ta aplinkybė, kad Uosto direkcijai perduodamas žemės sklypas, tiesiogiai nenumatant atlyginimo už perduodamą turtą, savaime neleidžia daryti išvados, kad Uosto direkcijai yra suteikiamas ekonominis pranašumas, kuris sąlygoja valstybės pagalbos taisyklių taikymą. Tokia pozicija grindžiama šiais argumentais:</w:t>
            </w:r>
          </w:p>
          <w:p w14:paraId="0278B772" w14:textId="37C88465" w:rsidR="00137610" w:rsidRPr="00333E80" w:rsidRDefault="008A3FE2" w:rsidP="002635C2">
            <w:pPr>
              <w:shd w:val="clear" w:color="auto" w:fill="FFFFFF"/>
              <w:ind w:firstLine="459"/>
              <w:jc w:val="both"/>
            </w:pPr>
            <w:r>
              <w:t xml:space="preserve">1) Konkurencijos taryba išvadoje teisingai identifikuoja valstybės pagalbos kriterijus. Tačiau Konkurencijos taryba savo išvadoje nepasisakė dėl šių kriterijų taikymo </w:t>
            </w:r>
            <w:r w:rsidR="0085295A">
              <w:t xml:space="preserve">specifikos </w:t>
            </w:r>
            <w:r>
              <w:t>tais</w:t>
            </w:r>
            <w:r w:rsidR="00BF625D">
              <w:t xml:space="preserve"> atvejais, kai valstybė investuoja į savo pačios įmonę. Vertinant valstybės sprendimą perduoti žemės sklypą Uosto direkcijai turi būti įvertinta, ar valstybės, kaip akcininkės / steigėjos, sprendimas investuoti į savo įmonę yra ekonomiškai pagrįstas ir atitinka rinkos sąlygas.</w:t>
            </w:r>
          </w:p>
        </w:tc>
      </w:tr>
      <w:tr w:rsidR="004D1BAE" w:rsidRPr="008A2FB5" w14:paraId="10923307" w14:textId="77777777" w:rsidTr="008A3FE2">
        <w:trPr>
          <w:trHeight w:val="264"/>
        </w:trPr>
        <w:tc>
          <w:tcPr>
            <w:tcW w:w="2410" w:type="dxa"/>
          </w:tcPr>
          <w:p w14:paraId="76ECF205" w14:textId="77777777" w:rsidR="004D1BAE" w:rsidRPr="005C1F70" w:rsidRDefault="004D1BAE" w:rsidP="004D1BAE">
            <w:pPr>
              <w:jc w:val="center"/>
            </w:pPr>
            <w:r>
              <w:lastRenderedPageBreak/>
              <w:t>1</w:t>
            </w:r>
          </w:p>
        </w:tc>
        <w:tc>
          <w:tcPr>
            <w:tcW w:w="4253" w:type="dxa"/>
          </w:tcPr>
          <w:p w14:paraId="7B0DA7C5" w14:textId="77777777" w:rsidR="004D1BAE" w:rsidRDefault="004D1BAE" w:rsidP="004D1BAE">
            <w:pPr>
              <w:tabs>
                <w:tab w:val="left" w:pos="732"/>
              </w:tabs>
              <w:autoSpaceDE w:val="0"/>
              <w:autoSpaceDN w:val="0"/>
              <w:adjustRightInd w:val="0"/>
              <w:jc w:val="center"/>
            </w:pPr>
            <w:r>
              <w:t>2</w:t>
            </w:r>
          </w:p>
        </w:tc>
        <w:tc>
          <w:tcPr>
            <w:tcW w:w="8646" w:type="dxa"/>
          </w:tcPr>
          <w:p w14:paraId="55EA1771" w14:textId="77777777" w:rsidR="004D1BAE" w:rsidRPr="002D09E7" w:rsidDel="00E7205A" w:rsidRDefault="004D1BAE" w:rsidP="004D1BAE">
            <w:pPr>
              <w:shd w:val="clear" w:color="auto" w:fill="FFFFFF"/>
              <w:ind w:firstLine="175"/>
              <w:jc w:val="center"/>
            </w:pPr>
            <w:r w:rsidRPr="002D09E7">
              <w:t>3</w:t>
            </w:r>
          </w:p>
        </w:tc>
      </w:tr>
      <w:tr w:rsidR="006478E9" w:rsidRPr="008A2FB5" w14:paraId="5BEF106B" w14:textId="77777777" w:rsidTr="00B04993">
        <w:trPr>
          <w:trHeight w:val="1135"/>
        </w:trPr>
        <w:tc>
          <w:tcPr>
            <w:tcW w:w="2410" w:type="dxa"/>
          </w:tcPr>
          <w:p w14:paraId="53BC5960" w14:textId="77777777" w:rsidR="006478E9" w:rsidRDefault="006478E9" w:rsidP="004D1BAE">
            <w:pPr>
              <w:jc w:val="center"/>
            </w:pPr>
          </w:p>
        </w:tc>
        <w:tc>
          <w:tcPr>
            <w:tcW w:w="4253" w:type="dxa"/>
          </w:tcPr>
          <w:p w14:paraId="7BBD9CCD" w14:textId="77777777" w:rsidR="006478E9" w:rsidRDefault="006478E9" w:rsidP="006478E9">
            <w:pPr>
              <w:tabs>
                <w:tab w:val="left" w:pos="732"/>
              </w:tabs>
              <w:autoSpaceDE w:val="0"/>
              <w:autoSpaceDN w:val="0"/>
              <w:adjustRightInd w:val="0"/>
              <w:jc w:val="both"/>
            </w:pPr>
            <w:r>
              <w:t>(c) iškraipo arba gali iškraipyti konkurenciją;</w:t>
            </w:r>
          </w:p>
          <w:p w14:paraId="34355803" w14:textId="77777777" w:rsidR="006478E9" w:rsidRDefault="006478E9" w:rsidP="006478E9">
            <w:pPr>
              <w:tabs>
                <w:tab w:val="left" w:pos="732"/>
              </w:tabs>
              <w:autoSpaceDE w:val="0"/>
              <w:autoSpaceDN w:val="0"/>
              <w:adjustRightInd w:val="0"/>
              <w:jc w:val="both"/>
            </w:pPr>
            <w:r>
              <w:t>(d) daro poveikį valstybių narių tarpusavio prekybai.</w:t>
            </w:r>
          </w:p>
          <w:p w14:paraId="7D7E4886" w14:textId="77777777" w:rsidR="006478E9" w:rsidRDefault="006478E9" w:rsidP="006478E9">
            <w:pPr>
              <w:tabs>
                <w:tab w:val="left" w:pos="732"/>
              </w:tabs>
              <w:autoSpaceDE w:val="0"/>
              <w:autoSpaceDN w:val="0"/>
              <w:adjustRightInd w:val="0"/>
              <w:jc w:val="both"/>
            </w:pPr>
            <w:r>
              <w:t xml:space="preserve">   Konkurencijos tarybos nuomone, priėmus sprendimą Uosto direkcijai neatlygintinai patikėjimo teise perduoti valstybei priklausantį žemės sklypą, kuris bus naudojama ūkinei veiklai vykdyti, pirmieji trys valstybės pagalbos kriterijai būtų tenkinami, nes turtas perduodamas    konkrečiam ūkio subjektui (Uosto direkcijai), palankesnėmis nei rinkos sąlygomis, tokiu būdu palengvinant jam tenkančią finansinę naštą ir sustiprinant jo padėtį rinkoje</w:t>
            </w:r>
            <w:r>
              <w:rPr>
                <w:rStyle w:val="Puslapioinaosnuoroda"/>
              </w:rPr>
              <w:footnoteReference w:id="4"/>
            </w:r>
            <w:r>
              <w:t>. Pažymime, kad pajamų, kurios priešingu atveju būtų atitikusios valstybei, atsisakymas yra valstybinių išteklių perdavimas</w:t>
            </w:r>
            <w:r>
              <w:rPr>
                <w:rStyle w:val="Puslapioinaosnuoroda"/>
              </w:rPr>
              <w:footnoteReference w:id="5"/>
            </w:r>
            <w:r>
              <w:t>. Įvertinus nagrinėjamą situaciją, Konkurencijos tarybos nuomone, neatlygintinas žemės sklypo perdavimas Uostos direkcijai reikštų, kad valstybė atsisako lėšų, kurias gautų, pavyzdžiui, nuomodama minėtą sklypą rinkos kaina.</w:t>
            </w:r>
          </w:p>
          <w:p w14:paraId="70B129EC" w14:textId="77777777" w:rsidR="00B04993" w:rsidRDefault="006478E9" w:rsidP="002635C2">
            <w:pPr>
              <w:tabs>
                <w:tab w:val="left" w:pos="732"/>
              </w:tabs>
              <w:autoSpaceDE w:val="0"/>
              <w:autoSpaceDN w:val="0"/>
              <w:adjustRightInd w:val="0"/>
              <w:jc w:val="both"/>
            </w:pPr>
            <w:r>
              <w:t xml:space="preserve">   Pažymėtina, kad poveikis prekybai tarp valstybių narių (ketvirtasis valstybės</w:t>
            </w:r>
            <w:r w:rsidR="00AD4229">
              <w:t xml:space="preserve"> pagalbos kriterijus) konstatuojamas tada, </w:t>
            </w:r>
          </w:p>
          <w:p w14:paraId="57A23CA4" w14:textId="77777777" w:rsidR="002635C2" w:rsidRDefault="002635C2" w:rsidP="002635C2">
            <w:pPr>
              <w:tabs>
                <w:tab w:val="left" w:pos="732"/>
              </w:tabs>
              <w:autoSpaceDE w:val="0"/>
              <w:autoSpaceDN w:val="0"/>
              <w:adjustRightInd w:val="0"/>
              <w:jc w:val="both"/>
            </w:pPr>
            <w:r w:rsidRPr="002635C2">
              <w:t>kai valstybės suteikta parama sustiprina</w:t>
            </w:r>
            <w:r w:rsidR="00FA5660">
              <w:t xml:space="preserve"> </w:t>
            </w:r>
            <w:r w:rsidR="00FA5660" w:rsidRPr="00FA5660">
              <w:t>ūkio subjekto padėtį, palyginti su kitais</w:t>
            </w:r>
          </w:p>
        </w:tc>
        <w:tc>
          <w:tcPr>
            <w:tcW w:w="8646" w:type="dxa"/>
          </w:tcPr>
          <w:p w14:paraId="05FD4DCD" w14:textId="1BE9C220" w:rsidR="006478E9" w:rsidRPr="006478E9" w:rsidRDefault="002635C2" w:rsidP="002635C2">
            <w:pPr>
              <w:shd w:val="clear" w:color="auto" w:fill="FFFFFF"/>
              <w:ind w:firstLine="175"/>
              <w:jc w:val="both"/>
            </w:pPr>
            <w:r w:rsidRPr="002635C2">
              <w:t>2) Jeigu, esant panašioms aplinkybėms, kuriomis valstybė, kaip akcininkė / steigėja</w:t>
            </w:r>
            <w:r w:rsidR="008D3DD1">
              <w:t>,</w:t>
            </w:r>
            <w:r w:rsidRPr="002635C2">
              <w:t xml:space="preserve"> </w:t>
            </w:r>
            <w:r w:rsidR="006478E9" w:rsidRPr="006478E9">
              <w:t>investuoja į savo įmonę suteikdama jai turtą veikl</w:t>
            </w:r>
            <w:r w:rsidR="008D3DD1">
              <w:t>ai</w:t>
            </w:r>
            <w:r w:rsidR="006478E9" w:rsidRPr="006478E9">
              <w:t xml:space="preserve"> vykdy</w:t>
            </w:r>
            <w:r w:rsidR="008D3DD1">
              <w:t>t</w:t>
            </w:r>
            <w:r w:rsidR="006478E9" w:rsidRPr="006478E9">
              <w:t>i, būtų investavęs ir privatus investuotojas, toks valstybės sprendimas nesuteikia valstybės įmonei naudos, kokios ji nebūtų galėjusi gauti įprastomis rinkos sąlygomis. Esant tokiai situacijai, turto perdavimas Uosto direkcijai nebūtų laikomas valstybės pagalba, kurią teikti draudžia Sutarties 107 straipsnio 1 dalies nuostatos.</w:t>
            </w:r>
          </w:p>
          <w:p w14:paraId="619E6C5D" w14:textId="2B47F1C6" w:rsidR="006478E9" w:rsidRPr="006478E9" w:rsidRDefault="006478E9" w:rsidP="006478E9">
            <w:pPr>
              <w:shd w:val="clear" w:color="auto" w:fill="FFFFFF"/>
              <w:ind w:firstLine="175"/>
              <w:jc w:val="both"/>
            </w:pPr>
            <w:r w:rsidRPr="006478E9">
              <w:t xml:space="preserve">3) Turto perdavimas valstybės įmonei patikėjimo teise, reikalaujant grąžos, </w:t>
            </w:r>
            <w:r w:rsidR="008D3DD1">
              <w:t xml:space="preserve">pagal </w:t>
            </w:r>
            <w:r w:rsidRPr="006478E9">
              <w:t>savo esm</w:t>
            </w:r>
            <w:r w:rsidR="008D3DD1">
              <w:t>ę</w:t>
            </w:r>
            <w:r w:rsidRPr="006478E9">
              <w:t xml:space="preserve"> atitinka bendrovės įstatinio kapitalo didinimą Lietuvos Respublikos akcinių bendrovių įstatymo prasme. Valstybės įmonių atvejis yra specifinis, kadangi tokios įmonės neturi įstatinio kapitalo, į kurį galima įnešti turtą (žemės sklypą). Vis</w:t>
            </w:r>
            <w:r w:rsidR="008D3DD1">
              <w:t xml:space="preserve"> dėlto</w:t>
            </w:r>
            <w:r w:rsidRPr="006478E9">
              <w:t xml:space="preserve"> </w:t>
            </w:r>
            <w:r w:rsidR="008D3DD1">
              <w:t xml:space="preserve">pagal </w:t>
            </w:r>
            <w:r w:rsidRPr="006478E9">
              <w:t>rezultat</w:t>
            </w:r>
            <w:r w:rsidR="008D3DD1">
              <w:t>ą</w:t>
            </w:r>
            <w:r w:rsidRPr="006478E9">
              <w:t xml:space="preserve"> šios situacijos yra panašios. Todėl vertin</w:t>
            </w:r>
            <w:r w:rsidR="008D3DD1">
              <w:t>ant</w:t>
            </w:r>
            <w:r w:rsidRPr="006478E9">
              <w:t xml:space="preserve"> žemės sklypo perdavimą valstybės įmonei patikėjimo teise galima daryti analogiją su akcininko sprendimu įnešti turtą į akcinės bendrovės įstatinį kapitalą.</w:t>
            </w:r>
          </w:p>
          <w:p w14:paraId="15B02326" w14:textId="77777777" w:rsidR="006478E9" w:rsidRDefault="006478E9" w:rsidP="006478E9">
            <w:pPr>
              <w:shd w:val="clear" w:color="auto" w:fill="FFFFFF"/>
              <w:ind w:firstLine="175"/>
              <w:jc w:val="both"/>
            </w:pPr>
            <w:r w:rsidRPr="006478E9">
              <w:t>4) Šios analogijos pagrindu galima teigti, kad valstybės įmonei nebus suteikiamas ekonominis pranašumas tuomet, jeigu perduodama žemės sklypą Uosto direkcijai valstybė elgsis taip, kaip panašiomis sąlygomis būtų pasielgęs racionalus privatus</w:t>
            </w:r>
            <w:r>
              <w:t xml:space="preserve"> subjektas priimdamas sprendimą įnešti turtą į bendrovės įstatinį kapitalą. Jeigu valstybės sprendimas nesuteikia ekonominio pranašumo, tokiam sprendimui nėra taikomas Sutarties 107 straipsnio 1 dalyje nustatytas draudimas teikti valstybės pagalbą. Pažymėtina, kad valstybė turi įsivertinti, kokią grąžą ji gaus iš žemės sklypo perdavimo ir ar ta grąža atitinka rinkos sąlygas. </w:t>
            </w:r>
          </w:p>
          <w:p w14:paraId="214129D8" w14:textId="3437070C" w:rsidR="00A460CA" w:rsidRPr="00A460CA" w:rsidRDefault="006478E9" w:rsidP="000111CD">
            <w:pPr>
              <w:shd w:val="clear" w:color="auto" w:fill="FFFFFF"/>
              <w:tabs>
                <w:tab w:val="left" w:pos="6578"/>
              </w:tabs>
              <w:ind w:firstLine="317"/>
              <w:jc w:val="both"/>
            </w:pPr>
            <w:r>
              <w:t xml:space="preserve">Būtina atkreipti dėmesį, kad valstybės įmonė neturi įstatinio kapitalo, todėl valstybės turto perdavimas valdyti valstybės įmonei patikėjimo teise iš esmės atitinka akcininko sprendimą įnešti turtą į akcinės bendrovės įstatinį kapitalą. Valstybės įmonių teisinis reguliavimas yra specifinis, kadangi nėra įstatinio kapitalo, į kurį galima įnešti turtą kaip bendrovių atveju. Tačiau </w:t>
            </w:r>
            <w:r w:rsidR="004343D3">
              <w:t xml:space="preserve">pagal </w:t>
            </w:r>
            <w:r>
              <w:t>savo esm</w:t>
            </w:r>
            <w:r w:rsidR="004343D3">
              <w:t>ę</w:t>
            </w:r>
            <w:r>
              <w:t xml:space="preserve"> ir rezultat</w:t>
            </w:r>
            <w:r w:rsidR="004343D3">
              <w:t>ą</w:t>
            </w:r>
            <w:r>
              <w:t xml:space="preserve"> turto perdavimas valstybės įmonei patikėjimo teise, nustatant įpareigojimą valstybės įmonei užtikrinti grąžą, yra</w:t>
            </w:r>
            <w:r w:rsidR="00192CC5">
              <w:t xml:space="preserve"> </w:t>
            </w:r>
            <w:r w:rsidR="00192CC5" w:rsidRPr="00192CC5">
              <w:t xml:space="preserve">tas pats, kas turto įnešimas į bendrovės įstatinį kapitalą. </w:t>
            </w:r>
            <w:r w:rsidR="00192CC5">
              <w:t>Tiek privataus</w:t>
            </w:r>
            <w:r w:rsidR="002635C2">
              <w:t xml:space="preserve"> </w:t>
            </w:r>
            <w:r w:rsidR="002635C2" w:rsidRPr="002635C2">
              <w:t>investuotojo sprendimą įnešti turtą didinant įstatinį kapitalą, tiek valstybės sprendimą</w:t>
            </w:r>
            <w:r w:rsidR="00192CC5">
              <w:t xml:space="preserve"> </w:t>
            </w:r>
            <w:r w:rsidR="00192CC5" w:rsidRPr="00192CC5">
              <w:t>didinti savo</w:t>
            </w:r>
            <w:r w:rsidR="00192CC5">
              <w:t xml:space="preserve"> </w:t>
            </w:r>
            <w:r w:rsidR="00137610">
              <w:t xml:space="preserve">įmonės nuosavą </w:t>
            </w:r>
            <w:r w:rsidR="000111CD">
              <w:t xml:space="preserve"> </w:t>
            </w:r>
            <w:r w:rsidR="00137610" w:rsidRPr="00137610">
              <w:t>kapitalą</w:t>
            </w:r>
            <w:r w:rsidR="00FA5660">
              <w:rPr>
                <w:rStyle w:val="Puslapioinaosnuoroda"/>
              </w:rPr>
              <w:footnoteReference w:id="6"/>
            </w:r>
            <w:r w:rsidR="00137610" w:rsidRPr="00137610">
              <w:t xml:space="preserve"> </w:t>
            </w:r>
            <w:r w:rsidR="000111CD">
              <w:t xml:space="preserve"> </w:t>
            </w:r>
            <w:r w:rsidR="00137610" w:rsidRPr="00137610">
              <w:t xml:space="preserve">gali </w:t>
            </w:r>
            <w:r w:rsidR="000111CD">
              <w:t xml:space="preserve"> </w:t>
            </w:r>
            <w:r w:rsidR="00137610" w:rsidRPr="00137610">
              <w:t xml:space="preserve">lemti </w:t>
            </w:r>
            <w:r w:rsidR="000111CD">
              <w:t xml:space="preserve"> </w:t>
            </w:r>
            <w:r w:rsidR="00137610" w:rsidRPr="00137610">
              <w:t xml:space="preserve">tie </w:t>
            </w:r>
            <w:r w:rsidR="000111CD">
              <w:t xml:space="preserve"> </w:t>
            </w:r>
            <w:r w:rsidR="00137610" w:rsidRPr="00137610">
              <w:t xml:space="preserve">patys </w:t>
            </w:r>
            <w:r w:rsidR="000111CD">
              <w:t xml:space="preserve"> </w:t>
            </w:r>
            <w:r w:rsidR="00137610" w:rsidRPr="00137610">
              <w:t xml:space="preserve">motyvai </w:t>
            </w:r>
            <w:r w:rsidR="000111CD">
              <w:t xml:space="preserve"> </w:t>
            </w:r>
            <w:r w:rsidR="00137610" w:rsidRPr="00137610">
              <w:t xml:space="preserve">gauti </w:t>
            </w:r>
            <w:r w:rsidR="000111CD">
              <w:t xml:space="preserve"> </w:t>
            </w:r>
            <w:r w:rsidR="00137610" w:rsidRPr="00137610">
              <w:t xml:space="preserve">grąžą </w:t>
            </w:r>
            <w:r w:rsidR="000111CD">
              <w:t xml:space="preserve"> </w:t>
            </w:r>
            <w:r w:rsidR="00137610" w:rsidRPr="00137610">
              <w:t>ilguoju</w:t>
            </w:r>
            <w:r w:rsidR="000111CD">
              <w:t xml:space="preserve">  ar  trumpuoju</w:t>
            </w:r>
            <w:r w:rsidR="00137610" w:rsidRPr="00137610">
              <w:t xml:space="preserve"> </w:t>
            </w:r>
          </w:p>
        </w:tc>
      </w:tr>
      <w:tr w:rsidR="00CA5B82" w:rsidRPr="008A2FB5" w14:paraId="28A83199" w14:textId="77777777" w:rsidTr="008A3FE2">
        <w:trPr>
          <w:trHeight w:val="264"/>
        </w:trPr>
        <w:tc>
          <w:tcPr>
            <w:tcW w:w="2410" w:type="dxa"/>
          </w:tcPr>
          <w:p w14:paraId="7D55C79D" w14:textId="77777777" w:rsidR="00CA5B82" w:rsidRDefault="00CA5B82" w:rsidP="008C7CD3">
            <w:pPr>
              <w:tabs>
                <w:tab w:val="left" w:pos="2052"/>
              </w:tabs>
              <w:jc w:val="center"/>
            </w:pPr>
            <w:r>
              <w:lastRenderedPageBreak/>
              <w:t>1</w:t>
            </w:r>
          </w:p>
        </w:tc>
        <w:tc>
          <w:tcPr>
            <w:tcW w:w="4253" w:type="dxa"/>
          </w:tcPr>
          <w:p w14:paraId="5ED7BDB5" w14:textId="77777777" w:rsidR="00CA5B82" w:rsidRPr="00DE65FD" w:rsidRDefault="00CA5B82" w:rsidP="008C7CD3">
            <w:pPr>
              <w:tabs>
                <w:tab w:val="left" w:pos="732"/>
              </w:tabs>
              <w:autoSpaceDE w:val="0"/>
              <w:autoSpaceDN w:val="0"/>
              <w:adjustRightInd w:val="0"/>
              <w:jc w:val="center"/>
            </w:pPr>
            <w:r>
              <w:t>2</w:t>
            </w:r>
          </w:p>
        </w:tc>
        <w:tc>
          <w:tcPr>
            <w:tcW w:w="8646" w:type="dxa"/>
          </w:tcPr>
          <w:p w14:paraId="1595A358" w14:textId="77777777" w:rsidR="00CA5B82" w:rsidRPr="00CA5B82" w:rsidRDefault="00CA5B82" w:rsidP="008C7CD3">
            <w:pPr>
              <w:pStyle w:val="Sraopastraipa"/>
              <w:shd w:val="clear" w:color="auto" w:fill="FFFFFF"/>
              <w:ind w:left="0" w:firstLine="459"/>
              <w:jc w:val="center"/>
            </w:pPr>
            <w:r>
              <w:t>3</w:t>
            </w:r>
          </w:p>
        </w:tc>
      </w:tr>
      <w:tr w:rsidR="00722FF3" w:rsidRPr="008A2FB5" w14:paraId="186F88A6" w14:textId="77777777" w:rsidTr="008A3FE2">
        <w:trPr>
          <w:trHeight w:val="264"/>
        </w:trPr>
        <w:tc>
          <w:tcPr>
            <w:tcW w:w="2410" w:type="dxa"/>
          </w:tcPr>
          <w:p w14:paraId="57839120" w14:textId="77777777" w:rsidR="00722FF3" w:rsidRDefault="00722FF3" w:rsidP="008C7CD3">
            <w:pPr>
              <w:tabs>
                <w:tab w:val="left" w:pos="2052"/>
              </w:tabs>
              <w:jc w:val="center"/>
            </w:pPr>
          </w:p>
        </w:tc>
        <w:tc>
          <w:tcPr>
            <w:tcW w:w="4253" w:type="dxa"/>
          </w:tcPr>
          <w:p w14:paraId="6D634A98" w14:textId="77777777" w:rsidR="00722FF3" w:rsidRDefault="00722FF3" w:rsidP="00722FF3">
            <w:pPr>
              <w:tabs>
                <w:tab w:val="left" w:pos="732"/>
              </w:tabs>
              <w:autoSpaceDE w:val="0"/>
              <w:autoSpaceDN w:val="0"/>
              <w:adjustRightInd w:val="0"/>
              <w:jc w:val="both"/>
            </w:pPr>
            <w:r>
              <w:t>Europos Sąjungos vidaus rinkoje konkuruojančiais ūkio subjektais. Valstybės parama gali daryti poveikį Europos Sąjungos vidaus prekybai net ir tuo atveju, kai jos gavėjas tarpvalstybinėje prekyboje tiesiogiai nedalyvauja</w:t>
            </w:r>
            <w:r>
              <w:rPr>
                <w:rStyle w:val="Puslapioinaosnuoroda"/>
              </w:rPr>
              <w:footnoteReference w:id="7"/>
            </w:r>
            <w:r>
              <w:t xml:space="preserve"> . </w:t>
            </w:r>
          </w:p>
          <w:p w14:paraId="15319E7C" w14:textId="77777777" w:rsidR="00722FF3" w:rsidRDefault="00722FF3" w:rsidP="00722FF3">
            <w:pPr>
              <w:tabs>
                <w:tab w:val="left" w:pos="732"/>
              </w:tabs>
              <w:autoSpaceDE w:val="0"/>
              <w:autoSpaceDN w:val="0"/>
              <w:adjustRightInd w:val="0"/>
              <w:jc w:val="both"/>
            </w:pPr>
            <w:r>
              <w:t xml:space="preserve">   Įvertinus tai, kad Klaipėdos uostas konkuruoja su kitose Europos Sąjungos valstybėse narėse veikiančiais uostais, o perdavus žemės sklypą būtų išplėsta uosto teritorija ir pagerintas sausumos susisiekimas su uostu, ši priemonė galėtų turėti poveikį valstybių narių tarpusavio prekybai (tokiu atveju būtų tenkinamas ir ketvirtasis valstybės pagalbos kriterijus).</w:t>
            </w:r>
          </w:p>
          <w:p w14:paraId="2B99B8DD" w14:textId="77777777" w:rsidR="00722FF3" w:rsidRDefault="00722FF3" w:rsidP="00722FF3">
            <w:pPr>
              <w:tabs>
                <w:tab w:val="left" w:pos="732"/>
              </w:tabs>
              <w:autoSpaceDE w:val="0"/>
              <w:autoSpaceDN w:val="0"/>
              <w:adjustRightInd w:val="0"/>
              <w:ind w:firstLine="317"/>
              <w:jc w:val="both"/>
            </w:pPr>
            <w:r>
              <w:t>Atsižvelgiant į tai, manoma, kad pagal Nutarimo projektą Nr. 1 numatytas turto perdavimas gali atitikti visus Sutarties 107 straipsnio 1 dalies kriterijus.</w:t>
            </w:r>
          </w:p>
          <w:p w14:paraId="4355CA81" w14:textId="77777777" w:rsidR="00722FF3" w:rsidRDefault="00722FF3" w:rsidP="00722FF3">
            <w:pPr>
              <w:tabs>
                <w:tab w:val="left" w:pos="732"/>
              </w:tabs>
              <w:autoSpaceDE w:val="0"/>
              <w:autoSpaceDN w:val="0"/>
              <w:adjustRightInd w:val="0"/>
              <w:ind w:firstLine="317"/>
              <w:jc w:val="both"/>
            </w:pPr>
          </w:p>
        </w:tc>
        <w:tc>
          <w:tcPr>
            <w:tcW w:w="8646" w:type="dxa"/>
          </w:tcPr>
          <w:p w14:paraId="4D4696FF" w14:textId="1BA0F2AD" w:rsidR="00722FF3" w:rsidRDefault="002635C2" w:rsidP="00722FF3">
            <w:pPr>
              <w:pStyle w:val="Sraopastraipa"/>
              <w:shd w:val="clear" w:color="auto" w:fill="FFFFFF"/>
              <w:ind w:left="0"/>
              <w:jc w:val="both"/>
            </w:pPr>
            <w:r w:rsidRPr="002635C2">
              <w:t xml:space="preserve">laikotarpiu. Formalūs turto įnešimo skirtumai šiuo atveju atsiranda dėl Uosto direkcijos </w:t>
            </w:r>
            <w:r w:rsidR="00722FF3">
              <w:t xml:space="preserve">kaip valstybės įmonės teisinės formos ir jai taikomų skirtingų teisės aktų reikalavimų. Tačiau formalūs </w:t>
            </w:r>
            <w:bookmarkStart w:id="0" w:name="_GoBack"/>
            <w:r w:rsidR="0066523B">
              <w:t xml:space="preserve">turto įnešimo </w:t>
            </w:r>
            <w:bookmarkEnd w:id="0"/>
            <w:r w:rsidR="00722FF3">
              <w:t xml:space="preserve">skirtumai savaime nėra priežastis žemės sklypo perdavimo patikėjimo teise vertinti kaip suteikiančio ekonominį pranašumą. </w:t>
            </w:r>
          </w:p>
          <w:p w14:paraId="281B9033" w14:textId="611CE191" w:rsidR="00722FF3" w:rsidRDefault="00722FF3" w:rsidP="00722FF3">
            <w:pPr>
              <w:pStyle w:val="Sraopastraipa"/>
              <w:shd w:val="clear" w:color="auto" w:fill="FFFFFF"/>
              <w:ind w:left="33" w:firstLine="284"/>
              <w:jc w:val="both"/>
            </w:pPr>
            <w:r>
              <w:t>Ekonominis pranašumas Uosto direkcijai būtų suteikiamas tik tuo atveju, jei perduodama valstybinę žemę patikėjimo teise Vyriausybė elgtųsi taip, kaip panašiomis aplinkybėmis nesielgtų racionalus privatus investuotojas, t. y. Vyriausybė suteiktų Uosto direkcijai tokią ekonominę naudą (suteiktų kapitalą), kurios Uosto direkcija nebūtų galėjusi gauti įprastomis rinkos sąlygomis. Privataus investuotojo sprendimas gali būti siejamas su grąža tiek trumpuoju, tiek ilguoju laikotarpiu. Tokį požiūr</w:t>
            </w:r>
            <w:r w:rsidR="00714EB2">
              <w:t>į</w:t>
            </w:r>
            <w:r>
              <w:t xml:space="preserve"> patvirtina ir Teisingumo Teismas, pažymėdamas, kad privataus investuotojo elgesio vertinimas nereiškia, kad valstybės intervencija turi būti lyginama su įprasto investuotojo elgesiu, kai investuodamas kapitalą privatus investuotojas tikisi gauti pelną per pakankamai trumpą laiką. Valstybės elgesys  atitinka privataus investuotojo elgesį ir tada, kai valstybės intervencija yra bent jau palyginama su privataus subjekto bendra ar struktūrine politika, kuria pelningumo siekiama ilguoju laikotarpiu</w:t>
            </w:r>
            <w:r w:rsidR="00544697">
              <w:rPr>
                <w:rStyle w:val="Puslapioinaosnuoroda"/>
              </w:rPr>
              <w:footnoteReference w:id="8"/>
            </w:r>
            <w:r>
              <w:t xml:space="preserve">. </w:t>
            </w:r>
          </w:p>
          <w:p w14:paraId="4477CD05" w14:textId="2C066AB1" w:rsidR="00722FF3" w:rsidRDefault="00722FF3" w:rsidP="00722FF3">
            <w:pPr>
              <w:pStyle w:val="Sraopastraipa"/>
              <w:shd w:val="clear" w:color="auto" w:fill="FFFFFF"/>
              <w:ind w:left="0" w:firstLine="317"/>
              <w:jc w:val="both"/>
            </w:pPr>
            <w:r>
              <w:t>Pagal Sutarties 107 straipsnio 1 dalies nuostatas ekonominiu pranašumu pripažįstama bet kokia ekonominė nauda, kurios įmonė nebūtų galėjusi gauti įprastomis rinkos sąlygomis</w:t>
            </w:r>
            <w:r w:rsidR="00544697">
              <w:rPr>
                <w:rStyle w:val="Puslapioinaosnuoroda"/>
              </w:rPr>
              <w:footnoteReference w:id="9"/>
            </w:r>
            <w:r>
              <w:t>. Jeigu įmonė rinkoje galėjo gauti tą pačią naudą kaip ir ta, kuri jai suteikiama valstybės ištekliais, įmonei nėra suteikiamas ekonominis pranašumas Sutarties 107 straipsnio 1 dalies prasme</w:t>
            </w:r>
            <w:r w:rsidR="00544697">
              <w:rPr>
                <w:rStyle w:val="Puslapioinaosnuoroda"/>
              </w:rPr>
              <w:footnoteReference w:id="10"/>
            </w:r>
            <w:r>
              <w:t>.</w:t>
            </w:r>
          </w:p>
          <w:p w14:paraId="43010026" w14:textId="77777777" w:rsidR="00722FF3" w:rsidRDefault="003C75B8" w:rsidP="00AE1ABB">
            <w:pPr>
              <w:pStyle w:val="Sraopastraipa"/>
              <w:shd w:val="clear" w:color="auto" w:fill="FFFFFF"/>
              <w:ind w:left="0" w:firstLine="317"/>
              <w:jc w:val="both"/>
            </w:pPr>
            <w:r w:rsidRPr="003C75B8">
              <w:t>Ar priemonė atitinka įprastas rinkos sąlygas, turi būti nustatoma bendrai įvertinant priemonės poveikį atitinkamai įmonei, neatsižvelgiant į tai, ar rinkos ekonomiko</w:t>
            </w:r>
            <w:r w:rsidR="00FD16EB">
              <w:t xml:space="preserve">s </w:t>
            </w:r>
            <w:r w:rsidR="00FD16EB" w:rsidRPr="00FD16EB">
              <w:t>veiklos vykdytojai būtų turėję galimybę pasinaudoti identiškomis priemonėmis, t. y.</w:t>
            </w:r>
            <w:r w:rsidR="00FA5660">
              <w:t xml:space="preserve"> </w:t>
            </w:r>
            <w:r w:rsidR="00AE1ABB" w:rsidRPr="00AE1ABB">
              <w:t>rinkos ekonomikos sąlygų taikymo negalima atmesti vien tuo pagrindu, kad</w:t>
            </w:r>
            <w:r w:rsidR="00AE1ABB">
              <w:t xml:space="preserve"> </w:t>
            </w:r>
            <w:r w:rsidR="00AE1ABB" w:rsidRPr="00AE1ABB">
              <w:t xml:space="preserve">ekonomikos sąlygų taikymo negalima atmesti vien tuo pagrindu, kad nagrinėjama  </w:t>
            </w:r>
            <w:r w:rsidR="00DD0445">
              <w:t>priemonė susijusi su valstybinės žemės perdavimu patikėjimo teise</w:t>
            </w:r>
            <w:r w:rsidR="00AE1ABB">
              <w:rPr>
                <w:rStyle w:val="Puslapioinaosnuoroda"/>
              </w:rPr>
              <w:footnoteReference w:id="11"/>
            </w:r>
            <w:r w:rsidR="00DD0445">
              <w:t>.</w:t>
            </w:r>
          </w:p>
        </w:tc>
      </w:tr>
      <w:tr w:rsidR="00D51BF6" w:rsidRPr="008A2FB5" w14:paraId="2A930CA6" w14:textId="77777777" w:rsidTr="008A3FE2">
        <w:trPr>
          <w:trHeight w:val="264"/>
        </w:trPr>
        <w:tc>
          <w:tcPr>
            <w:tcW w:w="2410" w:type="dxa"/>
          </w:tcPr>
          <w:p w14:paraId="09DA0FCA" w14:textId="77777777" w:rsidR="00D51BF6" w:rsidRDefault="000A05AB" w:rsidP="00945A6C">
            <w:pPr>
              <w:tabs>
                <w:tab w:val="left" w:pos="2052"/>
              </w:tabs>
              <w:jc w:val="center"/>
            </w:pPr>
            <w:r>
              <w:lastRenderedPageBreak/>
              <w:t>1</w:t>
            </w:r>
          </w:p>
        </w:tc>
        <w:tc>
          <w:tcPr>
            <w:tcW w:w="4253" w:type="dxa"/>
          </w:tcPr>
          <w:p w14:paraId="0D9C76CD" w14:textId="77777777" w:rsidR="00D51BF6" w:rsidRDefault="000A05AB" w:rsidP="00945A6C">
            <w:pPr>
              <w:tabs>
                <w:tab w:val="left" w:pos="732"/>
              </w:tabs>
              <w:autoSpaceDE w:val="0"/>
              <w:autoSpaceDN w:val="0"/>
              <w:adjustRightInd w:val="0"/>
              <w:ind w:firstLine="459"/>
              <w:jc w:val="center"/>
            </w:pPr>
            <w:r>
              <w:t>2</w:t>
            </w:r>
          </w:p>
        </w:tc>
        <w:tc>
          <w:tcPr>
            <w:tcW w:w="8646" w:type="dxa"/>
          </w:tcPr>
          <w:p w14:paraId="468655B6" w14:textId="77777777" w:rsidR="00D51BF6" w:rsidRDefault="000A05AB" w:rsidP="00945A6C">
            <w:pPr>
              <w:pStyle w:val="Sraopastraipa"/>
              <w:shd w:val="clear" w:color="auto" w:fill="FFFFFF"/>
              <w:ind w:left="0" w:firstLine="459"/>
              <w:jc w:val="center"/>
            </w:pPr>
            <w:r>
              <w:t>3</w:t>
            </w:r>
          </w:p>
        </w:tc>
      </w:tr>
      <w:tr w:rsidR="005C1F70" w:rsidRPr="008A2FB5" w14:paraId="2A583C82" w14:textId="77777777" w:rsidTr="008A3FE2">
        <w:trPr>
          <w:trHeight w:val="264"/>
        </w:trPr>
        <w:tc>
          <w:tcPr>
            <w:tcW w:w="2410" w:type="dxa"/>
          </w:tcPr>
          <w:p w14:paraId="6658F480" w14:textId="77777777" w:rsidR="005C1F70" w:rsidRDefault="005C1F70" w:rsidP="005C1F70">
            <w:pPr>
              <w:tabs>
                <w:tab w:val="left" w:pos="2052"/>
              </w:tabs>
              <w:jc w:val="both"/>
            </w:pPr>
          </w:p>
        </w:tc>
        <w:tc>
          <w:tcPr>
            <w:tcW w:w="4253" w:type="dxa"/>
          </w:tcPr>
          <w:p w14:paraId="7DA8B52D" w14:textId="77777777" w:rsidR="005C1F70" w:rsidRDefault="005C1F70" w:rsidP="00351162">
            <w:pPr>
              <w:tabs>
                <w:tab w:val="left" w:pos="732"/>
              </w:tabs>
              <w:autoSpaceDE w:val="0"/>
              <w:autoSpaceDN w:val="0"/>
              <w:adjustRightInd w:val="0"/>
              <w:ind w:firstLine="459"/>
              <w:jc w:val="both"/>
            </w:pPr>
          </w:p>
        </w:tc>
        <w:tc>
          <w:tcPr>
            <w:tcW w:w="8646" w:type="dxa"/>
          </w:tcPr>
          <w:p w14:paraId="4C3B8804" w14:textId="77777777" w:rsidR="00420F81" w:rsidRDefault="00420F81" w:rsidP="006824A9">
            <w:pPr>
              <w:pStyle w:val="Sraopastraipa"/>
              <w:shd w:val="clear" w:color="auto" w:fill="FFFFFF"/>
              <w:ind w:left="0"/>
              <w:jc w:val="both"/>
            </w:pPr>
            <w:r>
              <w:t>Ekonominio pranašumo suteikimą l</w:t>
            </w:r>
            <w:r w:rsidR="006824A9">
              <w:t>e</w:t>
            </w:r>
            <w:r>
              <w:t>mia ne priemonės forma, o jos rezultatas, todėl turėtų būti vertinama, ar Uosto direkcija atsidūrė palankesnėje situacijoje</w:t>
            </w:r>
            <w:r w:rsidR="00991419">
              <w:t>,</w:t>
            </w:r>
            <w:r>
              <w:t xml:space="preserve"> nei būtų buvusi rinkos ekonomikos </w:t>
            </w:r>
            <w:r w:rsidR="00541221" w:rsidRPr="00541221">
              <w:t>sąlygomis</w:t>
            </w:r>
            <w:r w:rsidR="00541221">
              <w:rPr>
                <w:rStyle w:val="Puslapioinaosnuoroda"/>
              </w:rPr>
              <w:footnoteReference w:id="12"/>
            </w:r>
            <w:r>
              <w:t>.</w:t>
            </w:r>
          </w:p>
          <w:p w14:paraId="22DDE748" w14:textId="77777777" w:rsidR="00406CD7" w:rsidRDefault="00406CD7" w:rsidP="007E65FF">
            <w:pPr>
              <w:pStyle w:val="Sraopastraipa"/>
              <w:shd w:val="clear" w:color="auto" w:fill="FFFFFF"/>
              <w:ind w:left="0" w:firstLine="459"/>
              <w:jc w:val="both"/>
            </w:pPr>
            <w:r>
              <w:t xml:space="preserve">Ar įmonė būtų galėjusi atitinkamą naudą gauti rinkos ekonomikos sąlygomis, vertinama vadovaujantis Rinkos ekonomikos veiklos vykdytojo (toliau </w:t>
            </w:r>
            <w:r w:rsidRPr="006478E9">
              <w:t>–</w:t>
            </w:r>
            <w:r>
              <w:t xml:space="preserve"> REVV) kriterijumi. REVV kriterijus apima vertinimą, ar, esant panašioms aplinkybėms, privatus investuotojas įprastomis rinkos ekonomikos sąlygomis būtų investavęs ar suteikęs kapitalą Uosto direkcijai</w:t>
            </w:r>
            <w:r w:rsidR="00BF46CA">
              <w:rPr>
                <w:rStyle w:val="Puslapioinaosnuoroda"/>
              </w:rPr>
              <w:footnoteReference w:id="13"/>
            </w:r>
            <w:r>
              <w:t>. Taikant REVV kriterijų, valstybės elgesį reikia vertinti ne kaip viešosios valdžio</w:t>
            </w:r>
            <w:r w:rsidR="009B7B3C">
              <w:t>s</w:t>
            </w:r>
            <w:r>
              <w:t xml:space="preserve"> subjekto, o kaip akcininkės, kuri suteikia ekonominę naudą jai priklausančiai įmonei</w:t>
            </w:r>
            <w:r w:rsidR="009B7B3C">
              <w:rPr>
                <w:rStyle w:val="Puslapioinaosnuoroda"/>
              </w:rPr>
              <w:footnoteReference w:id="14"/>
            </w:r>
            <w:r>
              <w:t xml:space="preserve">. Tai yra, vertinant, ar priemonė įprastomis rinkos sąlygomis būtų įgyvendinama privataus investuotojo, esančio kaip galima panašesnėje į valstybės situacijoje, reikia atsižvelgti tik į naudą ir pareigas, susijusias su valstybės, </w:t>
            </w:r>
            <w:r w:rsidR="002B3083">
              <w:t>kaip akcininkės, padėtimi, o ne su valstybės viešosios valdžios įgaliojimais</w:t>
            </w:r>
            <w:r w:rsidR="00E82176">
              <w:rPr>
                <w:rStyle w:val="Puslapioinaosnuoroda"/>
              </w:rPr>
              <w:footnoteReference w:id="15"/>
            </w:r>
            <w:r w:rsidR="002B3083">
              <w:t xml:space="preserve"> (pvz.</w:t>
            </w:r>
            <w:r w:rsidR="00991419">
              <w:t>,</w:t>
            </w:r>
            <w:r w:rsidR="002B3083">
              <w:t xml:space="preserve"> akcininkui nėra svarbu, kad įgyvendinus investicijas bus sukurta daugiau darbo vietų ar bus surinkta daugiau mokestinių pajamų).</w:t>
            </w:r>
          </w:p>
          <w:p w14:paraId="35FE893A" w14:textId="77777777" w:rsidR="002B3083" w:rsidRDefault="002B3083" w:rsidP="007E65FF">
            <w:pPr>
              <w:pStyle w:val="Sraopastraipa"/>
              <w:shd w:val="clear" w:color="auto" w:fill="FFFFFF"/>
              <w:ind w:left="0" w:firstLine="459"/>
              <w:jc w:val="both"/>
            </w:pPr>
            <w:r>
              <w:t>Taikant REVV kriterijų siekiama įvertinti, ar priemonė atitinka rinkos ekonomikos sąlygas ir ar valstybė elgiasi kaip racionalus investuotojas, siekdama gauti investicijų grąžą, o ne sukurti palankesnes sąlygas savo kontroliuojančiai įmonei, suteikdama jai ekonominį pranašumą.</w:t>
            </w:r>
          </w:p>
          <w:p w14:paraId="00E34845" w14:textId="77777777" w:rsidR="00F64CE2" w:rsidRPr="00333E80" w:rsidRDefault="002B3083" w:rsidP="004E67F8">
            <w:pPr>
              <w:pStyle w:val="Sraopastraipa"/>
              <w:shd w:val="clear" w:color="auto" w:fill="FFFFFF"/>
              <w:ind w:left="0" w:firstLine="459"/>
              <w:jc w:val="both"/>
            </w:pPr>
            <w:r>
              <w:t>Kaip ir privataus investuotojo atveju, taip ir valstybės atveju, grąža nebūtinai reiškia</w:t>
            </w:r>
            <w:r w:rsidR="002D2E18">
              <w:t xml:space="preserve"> tiesioginę grąžą iš  įnešto turto, ta</w:t>
            </w:r>
            <w:r w:rsidR="009B7B3C">
              <w:t>č</w:t>
            </w:r>
            <w:r w:rsidR="002D2E18">
              <w:t xml:space="preserve">iau bendrą bendrovės sukuriamą grąžą. Todėl ir nagrinėjamu atveju turi būti kompleksiškai vertinama patikėjimo teisė bei Uosto direkcijos sukuriama grąža. Valstybės įmonėms nustatytas reikalavimas į valstybės biudžetą įmokėti nuo 60 proc. iki 85 proc. </w:t>
            </w:r>
            <w:proofErr w:type="spellStart"/>
            <w:r w:rsidR="002D2E18">
              <w:t>paskirstytinojo</w:t>
            </w:r>
            <w:proofErr w:type="spellEnd"/>
            <w:r w:rsidR="002D2E18">
              <w:t xml:space="preserve"> pelno</w:t>
            </w:r>
            <w:r w:rsidR="004E67F8">
              <w:rPr>
                <w:rStyle w:val="Puslapioinaosnuoroda"/>
              </w:rPr>
              <w:footnoteReference w:id="16"/>
            </w:r>
            <w:r w:rsidR="002D2E18">
              <w:t xml:space="preserve"> gali būti viena iš aplinkybių, pagrindžiančių, kad suteikdama žemės sklypą Uosto direkcijai valstybė elgiasi kaip privatus investuotojas. Papildomai, įgyvendindama Valstybės turtinių ir neturtinių teisių įgyvendinimo valstybės valdomose įmonėse tvarkos aprašo, patvirtinto Lietuvos Respublikos Vyriausybės 2012 m. birželio 6 d. nutarimu Nr. 665 „Dėl  Valstybės </w:t>
            </w:r>
            <w:r w:rsidR="004E67F8">
              <w:t xml:space="preserve"> </w:t>
            </w:r>
            <w:r w:rsidR="002D2E18">
              <w:t xml:space="preserve">turtinių </w:t>
            </w:r>
            <w:r w:rsidR="004E67F8">
              <w:t xml:space="preserve"> </w:t>
            </w:r>
            <w:r w:rsidR="002D2E18">
              <w:t xml:space="preserve">ir </w:t>
            </w:r>
            <w:r w:rsidR="004E67F8">
              <w:t xml:space="preserve"> </w:t>
            </w:r>
            <w:r w:rsidR="002D2E18">
              <w:t xml:space="preserve">neturtinių </w:t>
            </w:r>
            <w:r w:rsidR="004E67F8">
              <w:t xml:space="preserve"> </w:t>
            </w:r>
            <w:r w:rsidR="002D2E18">
              <w:t xml:space="preserve">teisių </w:t>
            </w:r>
            <w:r w:rsidR="004E67F8">
              <w:t xml:space="preserve"> </w:t>
            </w:r>
            <w:r w:rsidR="002D2E18">
              <w:t xml:space="preserve">įgyvendinimo </w:t>
            </w:r>
            <w:r w:rsidR="004E67F8">
              <w:t xml:space="preserve"> </w:t>
            </w:r>
            <w:r w:rsidR="002D2E18">
              <w:t xml:space="preserve">valstybės </w:t>
            </w:r>
            <w:r w:rsidR="004E67F8">
              <w:t xml:space="preserve"> </w:t>
            </w:r>
            <w:r w:rsidR="002D2E18">
              <w:t xml:space="preserve">valdomose </w:t>
            </w:r>
            <w:r w:rsidR="004E67F8">
              <w:t xml:space="preserve"> </w:t>
            </w:r>
            <w:r w:rsidR="002D2E18">
              <w:t xml:space="preserve">įmonėse </w:t>
            </w:r>
          </w:p>
        </w:tc>
      </w:tr>
      <w:tr w:rsidR="004E67F8" w:rsidRPr="008A2FB5" w14:paraId="5E53E182" w14:textId="77777777" w:rsidTr="008A3FE2">
        <w:trPr>
          <w:trHeight w:val="264"/>
        </w:trPr>
        <w:tc>
          <w:tcPr>
            <w:tcW w:w="2410" w:type="dxa"/>
          </w:tcPr>
          <w:p w14:paraId="16161EF9" w14:textId="77777777" w:rsidR="004E67F8" w:rsidRDefault="004E67F8" w:rsidP="004E67F8">
            <w:pPr>
              <w:tabs>
                <w:tab w:val="left" w:pos="2052"/>
              </w:tabs>
              <w:jc w:val="center"/>
            </w:pPr>
            <w:r>
              <w:lastRenderedPageBreak/>
              <w:t>1</w:t>
            </w:r>
          </w:p>
        </w:tc>
        <w:tc>
          <w:tcPr>
            <w:tcW w:w="4253" w:type="dxa"/>
          </w:tcPr>
          <w:p w14:paraId="69AEE9F8" w14:textId="77777777" w:rsidR="004E67F8" w:rsidRPr="00DE65FD" w:rsidRDefault="004E67F8" w:rsidP="004E67F8">
            <w:pPr>
              <w:tabs>
                <w:tab w:val="left" w:pos="0"/>
              </w:tabs>
              <w:autoSpaceDE w:val="0"/>
              <w:autoSpaceDN w:val="0"/>
              <w:adjustRightInd w:val="0"/>
              <w:jc w:val="center"/>
            </w:pPr>
            <w:r>
              <w:t>2</w:t>
            </w:r>
          </w:p>
        </w:tc>
        <w:tc>
          <w:tcPr>
            <w:tcW w:w="8646" w:type="dxa"/>
          </w:tcPr>
          <w:p w14:paraId="7652B76E" w14:textId="77777777" w:rsidR="004E67F8" w:rsidRDefault="004E67F8" w:rsidP="004E67F8">
            <w:pPr>
              <w:pStyle w:val="Sraopastraipa"/>
              <w:shd w:val="clear" w:color="auto" w:fill="FFFFFF"/>
              <w:jc w:val="center"/>
            </w:pPr>
            <w:r>
              <w:t>3</w:t>
            </w:r>
          </w:p>
        </w:tc>
      </w:tr>
      <w:tr w:rsidR="00722FF3" w:rsidRPr="008A2FB5" w14:paraId="1A09E486" w14:textId="77777777" w:rsidTr="008A3FE2">
        <w:trPr>
          <w:trHeight w:val="264"/>
        </w:trPr>
        <w:tc>
          <w:tcPr>
            <w:tcW w:w="2410" w:type="dxa"/>
          </w:tcPr>
          <w:p w14:paraId="52FF1D74" w14:textId="77777777" w:rsidR="00722FF3" w:rsidRDefault="00722FF3" w:rsidP="005C1F70">
            <w:pPr>
              <w:tabs>
                <w:tab w:val="left" w:pos="2052"/>
              </w:tabs>
              <w:jc w:val="both"/>
            </w:pPr>
          </w:p>
        </w:tc>
        <w:tc>
          <w:tcPr>
            <w:tcW w:w="4253" w:type="dxa"/>
          </w:tcPr>
          <w:p w14:paraId="2019D431" w14:textId="77777777" w:rsidR="00722FF3" w:rsidRPr="00DE65FD" w:rsidRDefault="00722FF3" w:rsidP="00351162">
            <w:pPr>
              <w:tabs>
                <w:tab w:val="left" w:pos="0"/>
              </w:tabs>
              <w:autoSpaceDE w:val="0"/>
              <w:autoSpaceDN w:val="0"/>
              <w:adjustRightInd w:val="0"/>
              <w:jc w:val="both"/>
            </w:pPr>
          </w:p>
        </w:tc>
        <w:tc>
          <w:tcPr>
            <w:tcW w:w="8646" w:type="dxa"/>
          </w:tcPr>
          <w:p w14:paraId="19EE289B" w14:textId="00079C9D" w:rsidR="004E67F8" w:rsidRDefault="004E67F8" w:rsidP="004E67F8">
            <w:pPr>
              <w:pStyle w:val="Sraopastraipa"/>
              <w:shd w:val="clear" w:color="auto" w:fill="FFFFFF"/>
              <w:ind w:left="0" w:firstLine="33"/>
            </w:pPr>
            <w:r>
              <w:t xml:space="preserve">tvarkos aprašo patvirtinimo“, 16 punktą, Lietuvos Respublikos Vyriausybės 2016 m. gegužės 25 d. nutarimu Nr. 529 nustatė valstybės valdomų įmonių nuosavo kapitalo kainas. Uosto direkcijai yra nustatytas vienas iš aukštesnių </w:t>
            </w:r>
            <w:r w:rsidR="00490801">
              <w:t xml:space="preserve">nuosavo kapitalo kainos </w:t>
            </w:r>
            <w:r>
              <w:t>rodiklių – 7,5 proc.</w:t>
            </w:r>
          </w:p>
          <w:p w14:paraId="60987CC0" w14:textId="77777777" w:rsidR="004E67F8" w:rsidRDefault="004E67F8" w:rsidP="004E67F8">
            <w:pPr>
              <w:pStyle w:val="Sraopastraipa"/>
              <w:shd w:val="clear" w:color="auto" w:fill="FFFFFF"/>
              <w:ind w:left="0" w:firstLine="317"/>
              <w:jc w:val="both"/>
            </w:pPr>
            <w:r>
              <w:t>Be nurodytų aplinkybių, privatus investuotojas, tikėtina</w:t>
            </w:r>
            <w:r w:rsidR="00991419">
              <w:t>,</w:t>
            </w:r>
            <w:r>
              <w:t xml:space="preserve"> įvertintų ir Uosto direkcijos, kaip įmonės</w:t>
            </w:r>
            <w:r w:rsidR="00991419">
              <w:t>,</w:t>
            </w:r>
            <w:r>
              <w:t xml:space="preserve"> finansinę padėtį. Remiantis Uosto direkcijos 2017 m. finansine ataskaita, 2017 m., kaip ir 2016 m., Uosto direkcija veikė pelningai. Be to, paskutinius ke</w:t>
            </w:r>
            <w:r w:rsidR="002D09E7">
              <w:t>lerius metus nuolat augo krova uoste ir u</w:t>
            </w:r>
            <w:r>
              <w:t>ost</w:t>
            </w:r>
            <w:r w:rsidR="002D09E7">
              <w:t>o rinkos dalis Baltijos jūroje</w:t>
            </w:r>
            <w:r>
              <w:t>. Privatus investuotojas taip pat gali atsižvelgti į kitas objektyvias aplinkybes, susijusias su įmone ar situacija rinkoje.</w:t>
            </w:r>
          </w:p>
          <w:p w14:paraId="54F6C5AA" w14:textId="27E7CC4E" w:rsidR="00722FF3" w:rsidRPr="00CA5B82" w:rsidRDefault="004E67F8" w:rsidP="002D09E7">
            <w:pPr>
              <w:pStyle w:val="Sraopastraipa"/>
              <w:shd w:val="clear" w:color="auto" w:fill="FFFFFF"/>
              <w:ind w:left="0"/>
              <w:jc w:val="both"/>
            </w:pPr>
            <w:r>
              <w:t xml:space="preserve"> </w:t>
            </w:r>
            <w:r w:rsidR="002D09E7" w:rsidRPr="002D09E7">
              <w:t xml:space="preserve">   Apibendrinant </w:t>
            </w:r>
            <w:proofErr w:type="spellStart"/>
            <w:r w:rsidR="002D09E7" w:rsidRPr="002D09E7">
              <w:t>tei</w:t>
            </w:r>
            <w:r w:rsidR="0048143A">
              <w:t>g</w:t>
            </w:r>
            <w:r w:rsidR="002D09E7" w:rsidRPr="002D09E7">
              <w:t>tina</w:t>
            </w:r>
            <w:proofErr w:type="spellEnd"/>
            <w:r w:rsidR="002D09E7" w:rsidRPr="002D09E7">
              <w:t xml:space="preserve">, kad turto perdavimas neatlygintinai valstybės įmonei savaime nereiškia, kad tokiai įmonei teikiama valstybės pagalba, nes iš esmės toks įnešimas į kapitalą reikalauja grąžos, yra nustatyta </w:t>
            </w:r>
            <w:r w:rsidR="00991419" w:rsidRPr="002D09E7">
              <w:t>kapital</w:t>
            </w:r>
            <w:r w:rsidR="00991419">
              <w:t>o</w:t>
            </w:r>
            <w:r w:rsidR="00991419" w:rsidRPr="002D09E7">
              <w:t xml:space="preserve"> </w:t>
            </w:r>
            <w:r w:rsidR="002D09E7" w:rsidRPr="002D09E7">
              <w:t xml:space="preserve">kaina, o </w:t>
            </w:r>
            <w:r w:rsidR="00991419" w:rsidRPr="002D09E7">
              <w:t>įsivertinti</w:t>
            </w:r>
            <w:r w:rsidR="00991419">
              <w:t>,</w:t>
            </w:r>
            <w:r w:rsidR="00991419" w:rsidRPr="002D09E7">
              <w:t xml:space="preserve"> </w:t>
            </w:r>
            <w:r w:rsidR="002D09E7" w:rsidRPr="002D09E7">
              <w:t xml:space="preserve">kiek tokia grąža pakankama, yra Vyriausybės prerogatyva. Vertinant valstybės pagalbos buvimą svarbu tai, ar perduodama </w:t>
            </w:r>
            <w:r w:rsidR="00FF4733" w:rsidRPr="002D09E7">
              <w:t xml:space="preserve">Uosto direkcijai </w:t>
            </w:r>
            <w:r w:rsidR="002D09E7" w:rsidRPr="002D09E7">
              <w:t xml:space="preserve">patikėjimo teise valdyti </w:t>
            </w:r>
            <w:r w:rsidR="00FF4733" w:rsidRPr="002D09E7">
              <w:t xml:space="preserve">žemės sklypą </w:t>
            </w:r>
            <w:r w:rsidR="002D09E7" w:rsidRPr="002D09E7">
              <w:t>valstybė priima sprendimus, kuriuos panašioje situacijoje priimtų privatus investuotojas  dėl turto įnešimo į kapitalą, siekdamas grąžos</w:t>
            </w:r>
            <w:r w:rsidR="00FF4733">
              <w:t>.</w:t>
            </w:r>
          </w:p>
        </w:tc>
      </w:tr>
    </w:tbl>
    <w:p w14:paraId="0890B363" w14:textId="77777777" w:rsidR="0055347E" w:rsidRDefault="00D87E19" w:rsidP="00D87E19">
      <w:pPr>
        <w:jc w:val="center"/>
      </w:pPr>
      <w:r>
        <w:t>______________________________________</w:t>
      </w:r>
    </w:p>
    <w:sectPr w:rsidR="0055347E" w:rsidSect="00351162">
      <w:headerReference w:type="default" r:id="rId8"/>
      <w:pgSz w:w="16838" w:h="11906" w:orient="landscape"/>
      <w:pgMar w:top="709" w:right="816" w:bottom="567"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48B0C" w16cid:durableId="1F266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5979" w14:textId="77777777" w:rsidR="005E68D4" w:rsidRDefault="005E68D4" w:rsidP="006031DC">
      <w:r>
        <w:separator/>
      </w:r>
    </w:p>
  </w:endnote>
  <w:endnote w:type="continuationSeparator" w:id="0">
    <w:p w14:paraId="6CF78CB9" w14:textId="77777777" w:rsidR="005E68D4" w:rsidRDefault="005E68D4" w:rsidP="0060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EB08" w14:textId="77777777" w:rsidR="005E68D4" w:rsidRDefault="005E68D4" w:rsidP="006031DC">
      <w:r>
        <w:separator/>
      </w:r>
    </w:p>
  </w:footnote>
  <w:footnote w:type="continuationSeparator" w:id="0">
    <w:p w14:paraId="0EF8BAED" w14:textId="77777777" w:rsidR="005E68D4" w:rsidRDefault="005E68D4" w:rsidP="006031DC">
      <w:r>
        <w:continuationSeparator/>
      </w:r>
    </w:p>
  </w:footnote>
  <w:footnote w:id="1">
    <w:p w14:paraId="07C3E891" w14:textId="77777777" w:rsidR="00BF625D" w:rsidRDefault="00BF625D">
      <w:pPr>
        <w:pStyle w:val="Puslapioinaostekstas"/>
      </w:pPr>
      <w:r>
        <w:rPr>
          <w:rStyle w:val="Puslapioinaosnuoroda"/>
        </w:rPr>
        <w:footnoteRef/>
      </w:r>
      <w:r>
        <w:t xml:space="preserve"> </w:t>
      </w:r>
      <w:r w:rsidR="009C4F1C" w:rsidRPr="009C4F1C">
        <w:t xml:space="preserve">  Teisingumo Teismo 1996 m. liepos 11 d. sprendimas C-39/94, SFEI ir kiti, 60 p., Teisingumo Teismo 1999 m. balandžio 29 d. sprendimas C-342/96, Ispanija prieš Komisiją, 41 p.</w:t>
      </w:r>
    </w:p>
  </w:footnote>
  <w:footnote w:id="2">
    <w:p w14:paraId="01BDC5D1" w14:textId="77777777" w:rsidR="00B13D09" w:rsidRDefault="00B13D09" w:rsidP="0030492F">
      <w:pPr>
        <w:pStyle w:val="Puslapioinaostekstas"/>
      </w:pPr>
      <w:r>
        <w:rPr>
          <w:rStyle w:val="Puslapioinaosnuoroda"/>
        </w:rPr>
        <w:footnoteRef/>
      </w:r>
      <w:r>
        <w:t xml:space="preserve"> </w:t>
      </w:r>
      <w:r w:rsidR="0030492F">
        <w:t xml:space="preserve">  </w:t>
      </w:r>
      <w:r w:rsidR="0030492F">
        <w:t xml:space="preserve">Teisingumo Teismo 2003 m. liepos 24 d. sprendimas C-280/00, </w:t>
      </w:r>
      <w:proofErr w:type="spellStart"/>
      <w:r w:rsidR="0030492F" w:rsidRPr="000F7F9F">
        <w:rPr>
          <w:i/>
        </w:rPr>
        <w:t>Altmark</w:t>
      </w:r>
      <w:proofErr w:type="spellEnd"/>
      <w:r w:rsidR="0030492F" w:rsidRPr="000F7F9F">
        <w:rPr>
          <w:i/>
        </w:rPr>
        <w:t xml:space="preserve"> </w:t>
      </w:r>
      <w:proofErr w:type="spellStart"/>
      <w:r w:rsidR="0030492F" w:rsidRPr="000F7F9F">
        <w:rPr>
          <w:i/>
        </w:rPr>
        <w:t>Trans</w:t>
      </w:r>
      <w:proofErr w:type="spellEnd"/>
      <w:r w:rsidR="0030492F" w:rsidRPr="000F7F9F">
        <w:rPr>
          <w:i/>
        </w:rPr>
        <w:t xml:space="preserve"> </w:t>
      </w:r>
      <w:proofErr w:type="spellStart"/>
      <w:r w:rsidR="0030492F" w:rsidRPr="000F7F9F">
        <w:rPr>
          <w:i/>
        </w:rPr>
        <w:t>GmbH</w:t>
      </w:r>
      <w:proofErr w:type="spellEnd"/>
      <w:r w:rsidR="0030492F">
        <w:t xml:space="preserve"> ir </w:t>
      </w:r>
      <w:proofErr w:type="spellStart"/>
      <w:r w:rsidR="0030492F" w:rsidRPr="000F7F9F">
        <w:rPr>
          <w:i/>
        </w:rPr>
        <w:t>Regierungsprảsidium</w:t>
      </w:r>
      <w:proofErr w:type="spellEnd"/>
      <w:r w:rsidR="0030492F" w:rsidRPr="000F7F9F">
        <w:rPr>
          <w:i/>
        </w:rPr>
        <w:t xml:space="preserve"> </w:t>
      </w:r>
      <w:proofErr w:type="spellStart"/>
      <w:r w:rsidR="0030492F" w:rsidRPr="000F7F9F">
        <w:rPr>
          <w:i/>
        </w:rPr>
        <w:t>Magdeburg</w:t>
      </w:r>
      <w:proofErr w:type="spellEnd"/>
      <w:r w:rsidR="0030492F">
        <w:t xml:space="preserve"> prieš </w:t>
      </w:r>
      <w:proofErr w:type="spellStart"/>
      <w:r w:rsidR="0030492F" w:rsidRPr="000F7F9F">
        <w:rPr>
          <w:i/>
        </w:rPr>
        <w:t>Nahverkehrsgesellschaft</w:t>
      </w:r>
      <w:proofErr w:type="spellEnd"/>
      <w:r w:rsidR="0030492F" w:rsidRPr="000F7F9F">
        <w:rPr>
          <w:i/>
        </w:rPr>
        <w:t xml:space="preserve"> </w:t>
      </w:r>
      <w:proofErr w:type="spellStart"/>
      <w:r w:rsidR="0030492F" w:rsidRPr="000F7F9F">
        <w:rPr>
          <w:i/>
        </w:rPr>
        <w:t>Altmark</w:t>
      </w:r>
      <w:proofErr w:type="spellEnd"/>
      <w:r w:rsidR="0030492F" w:rsidRPr="000F7F9F">
        <w:rPr>
          <w:i/>
        </w:rPr>
        <w:t xml:space="preserve"> </w:t>
      </w:r>
      <w:proofErr w:type="spellStart"/>
      <w:r w:rsidR="0030492F" w:rsidRPr="000F7F9F">
        <w:rPr>
          <w:i/>
        </w:rPr>
        <w:t>GmbH</w:t>
      </w:r>
      <w:proofErr w:type="spellEnd"/>
      <w:r w:rsidR="0030492F">
        <w:t>.</w:t>
      </w:r>
    </w:p>
  </w:footnote>
  <w:footnote w:id="3">
    <w:p w14:paraId="685A8CCF" w14:textId="77777777" w:rsidR="00B13D09" w:rsidRDefault="00B13D09">
      <w:pPr>
        <w:pStyle w:val="Puslapioinaostekstas"/>
      </w:pPr>
      <w:r>
        <w:rPr>
          <w:rStyle w:val="Puslapioinaosnuoroda"/>
        </w:rPr>
        <w:footnoteRef/>
      </w:r>
      <w:r>
        <w:t xml:space="preserve"> </w:t>
      </w:r>
      <w:r w:rsidR="0030492F" w:rsidRPr="0030492F">
        <w:t xml:space="preserve">Teisingumo Teismo 2003 m. lapkričio 20 d. sprendimas C-126/01, </w:t>
      </w:r>
      <w:proofErr w:type="spellStart"/>
      <w:r w:rsidR="0030492F" w:rsidRPr="000F7F9F">
        <w:rPr>
          <w:i/>
        </w:rPr>
        <w:t>Ministẻre</w:t>
      </w:r>
      <w:proofErr w:type="spellEnd"/>
      <w:r w:rsidR="0030492F" w:rsidRPr="000F7F9F">
        <w:rPr>
          <w:i/>
        </w:rPr>
        <w:t xml:space="preserve"> de </w:t>
      </w:r>
      <w:proofErr w:type="spellStart"/>
      <w:r w:rsidR="0030492F" w:rsidRPr="000F7F9F">
        <w:rPr>
          <w:i/>
        </w:rPr>
        <w:t>I‘Ẻconomie</w:t>
      </w:r>
      <w:proofErr w:type="spellEnd"/>
      <w:r w:rsidR="0030492F" w:rsidRPr="000F7F9F">
        <w:rPr>
          <w:i/>
        </w:rPr>
        <w:t xml:space="preserve">, </w:t>
      </w:r>
      <w:proofErr w:type="spellStart"/>
      <w:r w:rsidR="0030492F" w:rsidRPr="000F7F9F">
        <w:rPr>
          <w:i/>
        </w:rPr>
        <w:t>des</w:t>
      </w:r>
      <w:proofErr w:type="spellEnd"/>
      <w:r w:rsidR="0030492F" w:rsidRPr="000F7F9F">
        <w:rPr>
          <w:i/>
        </w:rPr>
        <w:t xml:space="preserve"> </w:t>
      </w:r>
      <w:proofErr w:type="spellStart"/>
      <w:r w:rsidR="0030492F" w:rsidRPr="000F7F9F">
        <w:rPr>
          <w:i/>
        </w:rPr>
        <w:t>Finances</w:t>
      </w:r>
      <w:proofErr w:type="spellEnd"/>
      <w:r w:rsidR="0030492F" w:rsidRPr="000F7F9F">
        <w:rPr>
          <w:i/>
        </w:rPr>
        <w:t xml:space="preserve"> et de </w:t>
      </w:r>
      <w:proofErr w:type="spellStart"/>
      <w:r w:rsidR="0030492F" w:rsidRPr="000F7F9F">
        <w:rPr>
          <w:i/>
        </w:rPr>
        <w:t>I‘dustrie</w:t>
      </w:r>
      <w:proofErr w:type="spellEnd"/>
      <w:r w:rsidR="0030492F" w:rsidRPr="0030492F">
        <w:t xml:space="preserve"> prieš GEMO SA, 28-29 p.</w:t>
      </w:r>
    </w:p>
  </w:footnote>
  <w:footnote w:id="4">
    <w:p w14:paraId="74D8CFA5" w14:textId="77777777" w:rsidR="006478E9" w:rsidRDefault="006478E9">
      <w:pPr>
        <w:pStyle w:val="Puslapioinaostekstas"/>
      </w:pPr>
      <w:r>
        <w:rPr>
          <w:rStyle w:val="Puslapioinaosnuoroda"/>
        </w:rPr>
        <w:footnoteRef/>
      </w:r>
      <w:r>
        <w:t xml:space="preserve"> </w:t>
      </w:r>
      <w:r w:rsidR="008C7CD3" w:rsidRPr="008C7CD3">
        <w:t xml:space="preserve">Teisingumo Teismo 2006 m. birželio 22 d. sprendimo bylose C-182/03 ir C-217/03 Belgijos Karalystė ir </w:t>
      </w:r>
      <w:proofErr w:type="spellStart"/>
      <w:r w:rsidR="008C7CD3" w:rsidRPr="002627C3">
        <w:rPr>
          <w:i/>
        </w:rPr>
        <w:t>Forum</w:t>
      </w:r>
      <w:proofErr w:type="spellEnd"/>
      <w:r w:rsidR="008C7CD3" w:rsidRPr="008C7CD3">
        <w:t xml:space="preserve"> 187 ASBL prieš Europos Bendrijų Komisiją (Rink. 2006, p. I-5479) 132 pastraipa.</w:t>
      </w:r>
    </w:p>
  </w:footnote>
  <w:footnote w:id="5">
    <w:p w14:paraId="3CA2D3BE" w14:textId="77777777" w:rsidR="006478E9" w:rsidRDefault="006478E9">
      <w:pPr>
        <w:pStyle w:val="Puslapioinaostekstas"/>
      </w:pPr>
      <w:r>
        <w:rPr>
          <w:rStyle w:val="Puslapioinaosnuoroda"/>
        </w:rPr>
        <w:footnoteRef/>
      </w:r>
      <w:r>
        <w:t xml:space="preserve"> </w:t>
      </w:r>
      <w:r w:rsidR="008C7CD3" w:rsidRPr="008C7CD3">
        <w:t>Teisingumo Teismo sprendimo 2000 m. gegužės 16 d</w:t>
      </w:r>
      <w:r w:rsidR="00714EB2">
        <w:t>.</w:t>
      </w:r>
      <w:r w:rsidR="008C7CD3" w:rsidRPr="008C7CD3">
        <w:t xml:space="preserve">  sprendimas byloje Prancūzija prieš </w:t>
      </w:r>
      <w:proofErr w:type="spellStart"/>
      <w:r w:rsidR="008C7CD3" w:rsidRPr="002627C3">
        <w:rPr>
          <w:i/>
        </w:rPr>
        <w:t>Ladbroke</w:t>
      </w:r>
      <w:proofErr w:type="spellEnd"/>
      <w:r w:rsidR="008C7CD3" w:rsidRPr="002627C3">
        <w:rPr>
          <w:i/>
        </w:rPr>
        <w:t xml:space="preserve"> </w:t>
      </w:r>
      <w:proofErr w:type="spellStart"/>
      <w:r w:rsidR="008C7CD3" w:rsidRPr="002627C3">
        <w:rPr>
          <w:i/>
        </w:rPr>
        <w:t>Racing</w:t>
      </w:r>
      <w:proofErr w:type="spellEnd"/>
      <w:r w:rsidR="008C7CD3" w:rsidRPr="002627C3">
        <w:rPr>
          <w:i/>
        </w:rPr>
        <w:t xml:space="preserve"> </w:t>
      </w:r>
      <w:proofErr w:type="spellStart"/>
      <w:r w:rsidR="008C7CD3" w:rsidRPr="002627C3">
        <w:rPr>
          <w:i/>
        </w:rPr>
        <w:t>Ltd</w:t>
      </w:r>
      <w:proofErr w:type="spellEnd"/>
      <w:r w:rsidR="008C7CD3" w:rsidRPr="008C7CD3">
        <w:t xml:space="preserve"> ir Komisiją, 48–51 punktai</w:t>
      </w:r>
      <w:r w:rsidR="00FA5660">
        <w:t>.</w:t>
      </w:r>
    </w:p>
  </w:footnote>
  <w:footnote w:id="6">
    <w:p w14:paraId="4DA201F4" w14:textId="05C2E1DF" w:rsidR="00FA5660" w:rsidRDefault="00FA5660">
      <w:pPr>
        <w:pStyle w:val="Puslapioinaostekstas"/>
      </w:pPr>
      <w:r>
        <w:rPr>
          <w:rStyle w:val="Puslapioinaosnuoroda"/>
        </w:rPr>
        <w:footnoteRef/>
      </w:r>
      <w:r>
        <w:t xml:space="preserve"> </w:t>
      </w:r>
      <w:r>
        <w:t xml:space="preserve">Teisės aktų nustatyta tvarka perduodama valstybės nuosavybę valdyti, naudoti ir </w:t>
      </w:r>
      <w:r w:rsidR="00714EB2">
        <w:t xml:space="preserve">ja </w:t>
      </w:r>
      <w:r>
        <w:t>disponuoti patikėjimo teise valstybės įmonei, valstybė did</w:t>
      </w:r>
      <w:r w:rsidR="0012300C">
        <w:t>i</w:t>
      </w:r>
      <w:r>
        <w:t>na įmonės nuosavą kapitalą to turto verte (Lietuvos Respublikos valstybės ir savivaldybės įmonių įstatymo 12 str. 1 d. 2 p.)</w:t>
      </w:r>
    </w:p>
  </w:footnote>
  <w:footnote w:id="7">
    <w:p w14:paraId="5B31D6FD" w14:textId="205FD80B" w:rsidR="00722FF3" w:rsidRDefault="00722FF3">
      <w:pPr>
        <w:pStyle w:val="Puslapioinaostekstas"/>
      </w:pPr>
      <w:r>
        <w:rPr>
          <w:rStyle w:val="Puslapioinaosnuoroda"/>
        </w:rPr>
        <w:footnoteRef/>
      </w:r>
      <w:r>
        <w:t xml:space="preserve"> </w:t>
      </w:r>
      <w:r w:rsidR="003D15FA">
        <w:t xml:space="preserve">Teisingumo Teismo 2006 m. birželio 15 d. sprendimas bylose C-393/04 ir C-41/05 </w:t>
      </w:r>
      <w:proofErr w:type="spellStart"/>
      <w:r w:rsidR="003D15FA" w:rsidRPr="002627C3">
        <w:rPr>
          <w:i/>
        </w:rPr>
        <w:t>Air</w:t>
      </w:r>
      <w:proofErr w:type="spellEnd"/>
      <w:r w:rsidR="003D15FA" w:rsidRPr="002627C3">
        <w:rPr>
          <w:i/>
        </w:rPr>
        <w:t xml:space="preserve"> </w:t>
      </w:r>
      <w:proofErr w:type="spellStart"/>
      <w:r w:rsidR="003D15FA" w:rsidRPr="002627C3">
        <w:rPr>
          <w:i/>
        </w:rPr>
        <w:t>Liquide</w:t>
      </w:r>
      <w:proofErr w:type="spellEnd"/>
      <w:r w:rsidR="003D15FA" w:rsidRPr="002627C3">
        <w:rPr>
          <w:i/>
        </w:rPr>
        <w:t xml:space="preserve"> </w:t>
      </w:r>
      <w:proofErr w:type="spellStart"/>
      <w:r w:rsidR="003D15FA" w:rsidRPr="002627C3">
        <w:rPr>
          <w:i/>
        </w:rPr>
        <w:t>Industries</w:t>
      </w:r>
      <w:proofErr w:type="spellEnd"/>
      <w:r w:rsidR="003D15FA" w:rsidRPr="002627C3">
        <w:rPr>
          <w:i/>
        </w:rPr>
        <w:t xml:space="preserve"> </w:t>
      </w:r>
      <w:proofErr w:type="spellStart"/>
      <w:r w:rsidR="003D15FA" w:rsidRPr="002627C3">
        <w:rPr>
          <w:i/>
        </w:rPr>
        <w:t>Belgium</w:t>
      </w:r>
      <w:proofErr w:type="spellEnd"/>
      <w:r w:rsidR="003D15FA">
        <w:t xml:space="preserve"> SA prieš </w:t>
      </w:r>
      <w:proofErr w:type="spellStart"/>
      <w:r w:rsidR="003D15FA" w:rsidRPr="002627C3">
        <w:rPr>
          <w:i/>
        </w:rPr>
        <w:t>Ville</w:t>
      </w:r>
      <w:proofErr w:type="spellEnd"/>
      <w:r w:rsidR="003D15FA" w:rsidRPr="002627C3">
        <w:rPr>
          <w:i/>
        </w:rPr>
        <w:t xml:space="preserve"> de </w:t>
      </w:r>
      <w:proofErr w:type="spellStart"/>
      <w:r w:rsidR="003D15FA" w:rsidRPr="002627C3">
        <w:rPr>
          <w:i/>
        </w:rPr>
        <w:t>Seraing</w:t>
      </w:r>
      <w:proofErr w:type="spellEnd"/>
      <w:r w:rsidR="003D15FA">
        <w:t xml:space="preserve"> ir </w:t>
      </w:r>
      <w:proofErr w:type="spellStart"/>
      <w:r w:rsidR="003D15FA" w:rsidRPr="002627C3">
        <w:rPr>
          <w:i/>
        </w:rPr>
        <w:t>Province</w:t>
      </w:r>
      <w:proofErr w:type="spellEnd"/>
      <w:r w:rsidR="003D15FA" w:rsidRPr="002627C3">
        <w:rPr>
          <w:i/>
        </w:rPr>
        <w:t xml:space="preserve"> de </w:t>
      </w:r>
      <w:proofErr w:type="spellStart"/>
      <w:r w:rsidR="003D15FA" w:rsidRPr="002627C3">
        <w:rPr>
          <w:i/>
        </w:rPr>
        <w:t>Liege</w:t>
      </w:r>
      <w:proofErr w:type="spellEnd"/>
      <w:r w:rsidR="003D15FA">
        <w:t xml:space="preserve"> (Rink</w:t>
      </w:r>
      <w:r w:rsidR="0012300C">
        <w:t>.</w:t>
      </w:r>
      <w:r w:rsidR="003D15FA">
        <w:t xml:space="preserve"> 2006, p. I-5293</w:t>
      </w:r>
      <w:r w:rsidR="0012300C">
        <w:t>,</w:t>
      </w:r>
      <w:r w:rsidR="003D15FA">
        <w:t xml:space="preserve"> 53 pastraipa</w:t>
      </w:r>
      <w:r w:rsidR="0012300C">
        <w:t>)</w:t>
      </w:r>
      <w:r w:rsidR="003D15FA">
        <w:t>.</w:t>
      </w:r>
    </w:p>
  </w:footnote>
  <w:footnote w:id="8">
    <w:p w14:paraId="22119096" w14:textId="77777777" w:rsidR="00544697" w:rsidRDefault="00544697" w:rsidP="00544697">
      <w:pPr>
        <w:pStyle w:val="Puslapioinaostekstas"/>
      </w:pPr>
      <w:r>
        <w:rPr>
          <w:rStyle w:val="Puslapioinaosnuoroda"/>
        </w:rPr>
        <w:footnoteRef/>
      </w:r>
      <w:r>
        <w:t xml:space="preserve"> </w:t>
      </w:r>
      <w:r w:rsidRPr="00544697">
        <w:t>Teisingumo Teismo 1991 m. kovo 21 d. sprendimas C-305/89, Italijos Respublika prieš Europos Bendrijų Komisiją, 20 p</w:t>
      </w:r>
      <w:r w:rsidR="000A05AB">
        <w:t>.</w:t>
      </w:r>
    </w:p>
  </w:footnote>
  <w:footnote w:id="9">
    <w:p w14:paraId="16E49AD1" w14:textId="77777777" w:rsidR="00544697" w:rsidRDefault="00544697" w:rsidP="00544697">
      <w:pPr>
        <w:pStyle w:val="Puslapioinaostekstas"/>
      </w:pPr>
      <w:r>
        <w:rPr>
          <w:rStyle w:val="Puslapioinaosnuoroda"/>
        </w:rPr>
        <w:footnoteRef/>
      </w:r>
      <w:r>
        <w:t xml:space="preserve"> </w:t>
      </w:r>
      <w:r>
        <w:t>Teisingumo Teismo 1996 m. liepos 11 d. sprendimas C-39/94, SFEI ir kiti, 60 p., Teisingumo Teismo 1999 m. balandžio 29 d. sprendimas C-342/96, Ispanija prieš Komisiją.</w:t>
      </w:r>
    </w:p>
  </w:footnote>
  <w:footnote w:id="10">
    <w:p w14:paraId="5B1412F9" w14:textId="68BF240C" w:rsidR="00544697" w:rsidRDefault="00544697">
      <w:pPr>
        <w:pStyle w:val="Puslapioinaostekstas"/>
      </w:pPr>
      <w:r>
        <w:rPr>
          <w:rStyle w:val="Puslapioinaosnuoroda"/>
        </w:rPr>
        <w:footnoteRef/>
      </w:r>
      <w:r>
        <w:t xml:space="preserve"> </w:t>
      </w:r>
      <w:r w:rsidR="003C75B8" w:rsidRPr="003C75B8">
        <w:t>Teisingumo Teismo 1991 m. kovo 21 d. sprendimas C-303/88, Italija prieš Komisiją, 20 p. Teisingumo Teismo 2002 m. gegužės 16 d.  sprendimas C-482/99, Prancūzija prieš Komisiją, 68-70 p.; Pirmosios instancijos teismo (penktoji išplėstin</w:t>
      </w:r>
      <w:r w:rsidR="0012300C">
        <w:t>ė</w:t>
      </w:r>
      <w:r w:rsidR="003C75B8" w:rsidRPr="003C75B8">
        <w:t xml:space="preserve"> kolegija) sprendimas T-129/95, T-2/96 ir T-97/96, </w:t>
      </w:r>
      <w:proofErr w:type="spellStart"/>
      <w:r w:rsidR="003C75B8" w:rsidRPr="002627C3">
        <w:rPr>
          <w:i/>
        </w:rPr>
        <w:t>Neue</w:t>
      </w:r>
      <w:proofErr w:type="spellEnd"/>
      <w:r w:rsidR="003C75B8" w:rsidRPr="002627C3">
        <w:rPr>
          <w:i/>
        </w:rPr>
        <w:t xml:space="preserve"> </w:t>
      </w:r>
      <w:proofErr w:type="spellStart"/>
      <w:r w:rsidR="003C75B8" w:rsidRPr="002627C3">
        <w:rPr>
          <w:i/>
        </w:rPr>
        <w:t>Maxhütte</w:t>
      </w:r>
      <w:proofErr w:type="spellEnd"/>
      <w:r w:rsidR="003C75B8" w:rsidRPr="002627C3">
        <w:rPr>
          <w:i/>
        </w:rPr>
        <w:t xml:space="preserve"> </w:t>
      </w:r>
      <w:proofErr w:type="spellStart"/>
      <w:r w:rsidR="003C75B8" w:rsidRPr="002627C3">
        <w:rPr>
          <w:i/>
        </w:rPr>
        <w:t>Stahlwerke</w:t>
      </w:r>
      <w:proofErr w:type="spellEnd"/>
      <w:r w:rsidR="003C75B8" w:rsidRPr="002627C3">
        <w:rPr>
          <w:i/>
        </w:rPr>
        <w:t xml:space="preserve"> </w:t>
      </w:r>
      <w:proofErr w:type="spellStart"/>
      <w:r w:rsidR="003C75B8" w:rsidRPr="002627C3">
        <w:rPr>
          <w:i/>
        </w:rPr>
        <w:t>GmbH</w:t>
      </w:r>
      <w:proofErr w:type="spellEnd"/>
      <w:r w:rsidR="003C75B8" w:rsidRPr="003C75B8">
        <w:t xml:space="preserve"> ir </w:t>
      </w:r>
      <w:proofErr w:type="spellStart"/>
      <w:r w:rsidR="003C75B8" w:rsidRPr="002627C3">
        <w:rPr>
          <w:i/>
        </w:rPr>
        <w:t>Lech-Stahlwerke</w:t>
      </w:r>
      <w:proofErr w:type="spellEnd"/>
      <w:r w:rsidR="003C75B8" w:rsidRPr="002627C3">
        <w:rPr>
          <w:i/>
        </w:rPr>
        <w:t xml:space="preserve"> </w:t>
      </w:r>
      <w:proofErr w:type="spellStart"/>
      <w:r w:rsidR="003C75B8" w:rsidRPr="002627C3">
        <w:rPr>
          <w:i/>
        </w:rPr>
        <w:t>GmbH</w:t>
      </w:r>
      <w:proofErr w:type="spellEnd"/>
      <w:r w:rsidR="003C75B8" w:rsidRPr="003C75B8">
        <w:t xml:space="preserve"> prieš Europos Bendrijų Komisiją</w:t>
      </w:r>
      <w:r w:rsidR="0012300C">
        <w:t>.</w:t>
      </w:r>
    </w:p>
  </w:footnote>
  <w:footnote w:id="11">
    <w:p w14:paraId="2C28CC80" w14:textId="07D6C3B8" w:rsidR="00AE1ABB" w:rsidRDefault="00AE1ABB">
      <w:pPr>
        <w:pStyle w:val="Puslapioinaostekstas"/>
      </w:pPr>
      <w:r>
        <w:rPr>
          <w:rStyle w:val="Puslapioinaosnuoroda"/>
        </w:rPr>
        <w:footnoteRef/>
      </w:r>
      <w:r>
        <w:t xml:space="preserve"> </w:t>
      </w:r>
      <w:r w:rsidR="004E6CB2">
        <w:t xml:space="preserve">Teisingumo  Teismo 2012 m. birželio 5 d. sprendimas C-124/10P, Komisija prieš EDF, 75 p.  Šioje byloje buvo vertinamas mokestinių priemonių taikymas, kuris yra išimtinė valstybės prerogatyva.  Teisingumo </w:t>
      </w:r>
      <w:r w:rsidR="0012300C">
        <w:t>T</w:t>
      </w:r>
      <w:r w:rsidR="004E6CB2">
        <w:t>eismas ekonominio pranašumo suteikimą vertino vadovaudamasis bendru REVV kriterijumi.</w:t>
      </w:r>
    </w:p>
  </w:footnote>
  <w:footnote w:id="12">
    <w:p w14:paraId="343A0F83" w14:textId="77777777" w:rsidR="00541221" w:rsidRDefault="00541221">
      <w:pPr>
        <w:pStyle w:val="Puslapioinaostekstas"/>
      </w:pPr>
      <w:r>
        <w:rPr>
          <w:rStyle w:val="Puslapioinaosnuoroda"/>
        </w:rPr>
        <w:footnoteRef/>
      </w:r>
      <w:r>
        <w:t xml:space="preserve"> </w:t>
      </w:r>
      <w:r w:rsidR="004E67F8" w:rsidRPr="004E67F8">
        <w:t>Teisingumo Teismo 2012 m. birželio 5 d. sprendimas C</w:t>
      </w:r>
      <w:r w:rsidR="004E67F8">
        <w:t>-124/10P, Komisija prieš EDF, 79</w:t>
      </w:r>
      <w:r w:rsidR="004E67F8" w:rsidRPr="004E67F8">
        <w:t xml:space="preserve"> p</w:t>
      </w:r>
      <w:r w:rsidR="004E67F8">
        <w:t>.</w:t>
      </w:r>
    </w:p>
  </w:footnote>
  <w:footnote w:id="13">
    <w:p w14:paraId="3271D33B" w14:textId="77777777" w:rsidR="00BF46CA" w:rsidRDefault="00BF46CA">
      <w:pPr>
        <w:pStyle w:val="Puslapioinaostekstas"/>
      </w:pPr>
      <w:r>
        <w:rPr>
          <w:rStyle w:val="Puslapioinaosnuoroda"/>
        </w:rPr>
        <w:footnoteRef/>
      </w:r>
      <w:r>
        <w:t xml:space="preserve"> </w:t>
      </w:r>
      <w:r>
        <w:t>Teisingumo Teismo 1990 m. kovo 21 d. sprendimas C-142/87</w:t>
      </w:r>
      <w:r w:rsidRPr="00BF46CA">
        <w:t xml:space="preserve">, </w:t>
      </w:r>
      <w:r>
        <w:t>Belgijos Karalystė prieš Europos Bendrijų Komisiją;</w:t>
      </w:r>
      <w:r w:rsidRPr="00BF46CA">
        <w:t xml:space="preserve"> </w:t>
      </w:r>
      <w:r>
        <w:t>Teisingumo Teismo 1991 m. kovo 21 d. sprendimas C-305/89</w:t>
      </w:r>
      <w:r w:rsidRPr="00BF46CA">
        <w:t xml:space="preserve">, </w:t>
      </w:r>
      <w:r>
        <w:t xml:space="preserve">Italijos Respublika prieš </w:t>
      </w:r>
      <w:r w:rsidRPr="00BF46CA">
        <w:t>Europos Bendrijų Komisiją</w:t>
      </w:r>
      <w:r>
        <w:t>.</w:t>
      </w:r>
    </w:p>
  </w:footnote>
  <w:footnote w:id="14">
    <w:p w14:paraId="53C15294" w14:textId="77777777" w:rsidR="009B7B3C" w:rsidRDefault="009B7B3C">
      <w:pPr>
        <w:pStyle w:val="Puslapioinaostekstas"/>
      </w:pPr>
      <w:r>
        <w:rPr>
          <w:rStyle w:val="Puslapioinaosnuoroda"/>
        </w:rPr>
        <w:footnoteRef/>
      </w:r>
      <w:r>
        <w:t xml:space="preserve"> </w:t>
      </w:r>
      <w:r w:rsidRPr="009B7B3C">
        <w:t>Teisingumo Teismo 2012 m. birželio 5 d. sprendimas C-1</w:t>
      </w:r>
      <w:r>
        <w:t>24/10P, Komisija prieš EDF, 81</w:t>
      </w:r>
      <w:r w:rsidRPr="009B7B3C">
        <w:t xml:space="preserve"> p</w:t>
      </w:r>
      <w:r w:rsidR="00FF4733">
        <w:t>.</w:t>
      </w:r>
    </w:p>
  </w:footnote>
  <w:footnote w:id="15">
    <w:p w14:paraId="3A89D0EE" w14:textId="77777777" w:rsidR="00E82176" w:rsidRDefault="00E82176">
      <w:pPr>
        <w:pStyle w:val="Puslapioinaostekstas"/>
      </w:pPr>
      <w:r>
        <w:rPr>
          <w:rStyle w:val="Puslapioinaosnuoroda"/>
        </w:rPr>
        <w:footnoteRef/>
      </w:r>
      <w:r>
        <w:t xml:space="preserve"> </w:t>
      </w:r>
      <w:r>
        <w:t xml:space="preserve">Teisingumo Teismo 1986 m. liepos </w:t>
      </w:r>
      <w:r w:rsidRPr="00E82176">
        <w:t>1</w:t>
      </w:r>
      <w:r>
        <w:t>0 d. sprendimas C-234/84, Belgija prieš Komisiją, 14 p. Teisingumo Teismo 1994 m. rugsėjo 14 d. sprendimas C-278/92 – C- 280/92, Ispanija prieš</w:t>
      </w:r>
      <w:r w:rsidRPr="00E82176">
        <w:t xml:space="preserve"> Komisiją</w:t>
      </w:r>
      <w:r>
        <w:t>, 22 p.</w:t>
      </w:r>
    </w:p>
  </w:footnote>
  <w:footnote w:id="16">
    <w:p w14:paraId="54211A25" w14:textId="77777777" w:rsidR="004E67F8" w:rsidRDefault="004E67F8">
      <w:pPr>
        <w:pStyle w:val="Puslapioinaostekstas"/>
      </w:pPr>
      <w:r>
        <w:rPr>
          <w:rStyle w:val="Puslapioinaosnuoroda"/>
        </w:rPr>
        <w:footnoteRef/>
      </w:r>
      <w:r>
        <w:t xml:space="preserve"> </w:t>
      </w:r>
      <w:r>
        <w:t>Lietuvos Respublikos valstybės ir savivaldybės įmonių įstatymo 15 str. 6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BCCE5" w14:textId="77777777" w:rsidR="006031DC" w:rsidRDefault="006031DC">
    <w:pPr>
      <w:pStyle w:val="Antrats"/>
      <w:jc w:val="center"/>
    </w:pPr>
    <w:r>
      <w:fldChar w:fldCharType="begin"/>
    </w:r>
    <w:r>
      <w:instrText xml:space="preserve"> PAGE   \* MERGEFORMAT </w:instrText>
    </w:r>
    <w:r>
      <w:fldChar w:fldCharType="separate"/>
    </w:r>
    <w:r w:rsidR="0066523B">
      <w:rPr>
        <w:noProof/>
      </w:rPr>
      <w:t>5</w:t>
    </w:r>
    <w:r>
      <w:fldChar w:fldCharType="end"/>
    </w:r>
  </w:p>
  <w:p w14:paraId="16704AA1" w14:textId="77777777" w:rsidR="006031DC" w:rsidRDefault="006031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BE"/>
    <w:multiLevelType w:val="hybridMultilevel"/>
    <w:tmpl w:val="4488995A"/>
    <w:lvl w:ilvl="0" w:tplc="ABDA5A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95F91"/>
    <w:multiLevelType w:val="hybridMultilevel"/>
    <w:tmpl w:val="A4584F92"/>
    <w:lvl w:ilvl="0" w:tplc="60562242">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 w15:restartNumberingAfterBreak="0">
    <w:nsid w:val="033236B3"/>
    <w:multiLevelType w:val="hybridMultilevel"/>
    <w:tmpl w:val="F82C6B4A"/>
    <w:lvl w:ilvl="0" w:tplc="4738A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5E5195"/>
    <w:multiLevelType w:val="hybridMultilevel"/>
    <w:tmpl w:val="CF1AD016"/>
    <w:lvl w:ilvl="0" w:tplc="B58435FC">
      <w:start w:val="1"/>
      <w:numFmt w:val="decimal"/>
      <w:lvlText w:val="(%1)"/>
      <w:lvlJc w:val="left"/>
      <w:pPr>
        <w:ind w:left="720" w:hanging="360"/>
      </w:pPr>
      <w:rPr>
        <w:rFonts w:hint="default"/>
        <w:b w:val="0"/>
      </w:rPr>
    </w:lvl>
    <w:lvl w:ilvl="1" w:tplc="CD8C09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B216E"/>
    <w:multiLevelType w:val="hybridMultilevel"/>
    <w:tmpl w:val="A52AEEE0"/>
    <w:lvl w:ilvl="0" w:tplc="BD224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E8339A5"/>
    <w:multiLevelType w:val="hybridMultilevel"/>
    <w:tmpl w:val="05B8B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68634B"/>
    <w:multiLevelType w:val="hybridMultilevel"/>
    <w:tmpl w:val="1B46D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C96C6C"/>
    <w:multiLevelType w:val="hybridMultilevel"/>
    <w:tmpl w:val="5CD266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4454978"/>
    <w:multiLevelType w:val="hybridMultilevel"/>
    <w:tmpl w:val="0D828DC0"/>
    <w:lvl w:ilvl="0" w:tplc="ED14AF14">
      <w:start w:val="1"/>
      <w:numFmt w:val="decimal"/>
      <w:lvlText w:val="%1."/>
      <w:lvlJc w:val="left"/>
      <w:pPr>
        <w:ind w:left="383" w:hanging="360"/>
      </w:pPr>
      <w:rPr>
        <w:rFonts w:hint="default"/>
      </w:rPr>
    </w:lvl>
    <w:lvl w:ilvl="1" w:tplc="04270019" w:tentative="1">
      <w:start w:val="1"/>
      <w:numFmt w:val="lowerLetter"/>
      <w:lvlText w:val="%2."/>
      <w:lvlJc w:val="left"/>
      <w:pPr>
        <w:ind w:left="1103" w:hanging="360"/>
      </w:pPr>
    </w:lvl>
    <w:lvl w:ilvl="2" w:tplc="0427001B" w:tentative="1">
      <w:start w:val="1"/>
      <w:numFmt w:val="lowerRoman"/>
      <w:lvlText w:val="%3."/>
      <w:lvlJc w:val="right"/>
      <w:pPr>
        <w:ind w:left="1823" w:hanging="180"/>
      </w:pPr>
    </w:lvl>
    <w:lvl w:ilvl="3" w:tplc="0427000F" w:tentative="1">
      <w:start w:val="1"/>
      <w:numFmt w:val="decimal"/>
      <w:lvlText w:val="%4."/>
      <w:lvlJc w:val="left"/>
      <w:pPr>
        <w:ind w:left="2543" w:hanging="360"/>
      </w:pPr>
    </w:lvl>
    <w:lvl w:ilvl="4" w:tplc="04270019" w:tentative="1">
      <w:start w:val="1"/>
      <w:numFmt w:val="lowerLetter"/>
      <w:lvlText w:val="%5."/>
      <w:lvlJc w:val="left"/>
      <w:pPr>
        <w:ind w:left="3263" w:hanging="360"/>
      </w:pPr>
    </w:lvl>
    <w:lvl w:ilvl="5" w:tplc="0427001B" w:tentative="1">
      <w:start w:val="1"/>
      <w:numFmt w:val="lowerRoman"/>
      <w:lvlText w:val="%6."/>
      <w:lvlJc w:val="right"/>
      <w:pPr>
        <w:ind w:left="3983" w:hanging="180"/>
      </w:pPr>
    </w:lvl>
    <w:lvl w:ilvl="6" w:tplc="0427000F" w:tentative="1">
      <w:start w:val="1"/>
      <w:numFmt w:val="decimal"/>
      <w:lvlText w:val="%7."/>
      <w:lvlJc w:val="left"/>
      <w:pPr>
        <w:ind w:left="4703" w:hanging="360"/>
      </w:pPr>
    </w:lvl>
    <w:lvl w:ilvl="7" w:tplc="04270019" w:tentative="1">
      <w:start w:val="1"/>
      <w:numFmt w:val="lowerLetter"/>
      <w:lvlText w:val="%8."/>
      <w:lvlJc w:val="left"/>
      <w:pPr>
        <w:ind w:left="5423" w:hanging="360"/>
      </w:pPr>
    </w:lvl>
    <w:lvl w:ilvl="8" w:tplc="0427001B" w:tentative="1">
      <w:start w:val="1"/>
      <w:numFmt w:val="lowerRoman"/>
      <w:lvlText w:val="%9."/>
      <w:lvlJc w:val="right"/>
      <w:pPr>
        <w:ind w:left="6143" w:hanging="180"/>
      </w:pPr>
    </w:lvl>
  </w:abstractNum>
  <w:abstractNum w:abstractNumId="9" w15:restartNumberingAfterBreak="0">
    <w:nsid w:val="4DA61034"/>
    <w:multiLevelType w:val="hybridMultilevel"/>
    <w:tmpl w:val="D5C0E868"/>
    <w:lvl w:ilvl="0" w:tplc="971A6FE2">
      <w:start w:val="1"/>
      <w:numFmt w:val="decimal"/>
      <w:lvlText w:val="%1."/>
      <w:lvlJc w:val="left"/>
      <w:pPr>
        <w:tabs>
          <w:tab w:val="num" w:pos="1101"/>
        </w:tabs>
        <w:ind w:left="1101" w:hanging="360"/>
      </w:pPr>
      <w:rPr>
        <w:rFonts w:hint="default"/>
      </w:rPr>
    </w:lvl>
    <w:lvl w:ilvl="1" w:tplc="92A42FEC">
      <w:start w:val="1"/>
      <w:numFmt w:val="decimal"/>
      <w:isLgl/>
      <w:lvlText w:val="%2."/>
      <w:lvlJc w:val="left"/>
      <w:pPr>
        <w:tabs>
          <w:tab w:val="num" w:pos="1911"/>
        </w:tabs>
        <w:ind w:left="1911" w:hanging="1170"/>
      </w:pPr>
      <w:rPr>
        <w:rFonts w:ascii="Times New Roman" w:eastAsia="Times New Roman" w:hAnsi="Times New Roman" w:cs="Times New Roman"/>
      </w:rPr>
    </w:lvl>
    <w:lvl w:ilvl="2" w:tplc="D71272F4">
      <w:numFmt w:val="none"/>
      <w:lvlText w:val=""/>
      <w:lvlJc w:val="left"/>
      <w:pPr>
        <w:tabs>
          <w:tab w:val="num" w:pos="360"/>
        </w:tabs>
      </w:pPr>
    </w:lvl>
    <w:lvl w:ilvl="3" w:tplc="8BEEB274">
      <w:numFmt w:val="none"/>
      <w:lvlText w:val=""/>
      <w:lvlJc w:val="left"/>
      <w:pPr>
        <w:tabs>
          <w:tab w:val="num" w:pos="360"/>
        </w:tabs>
      </w:pPr>
    </w:lvl>
    <w:lvl w:ilvl="4" w:tplc="89A61A68">
      <w:numFmt w:val="none"/>
      <w:lvlText w:val=""/>
      <w:lvlJc w:val="left"/>
      <w:pPr>
        <w:tabs>
          <w:tab w:val="num" w:pos="360"/>
        </w:tabs>
      </w:pPr>
    </w:lvl>
    <w:lvl w:ilvl="5" w:tplc="589CD870">
      <w:numFmt w:val="none"/>
      <w:lvlText w:val=""/>
      <w:lvlJc w:val="left"/>
      <w:pPr>
        <w:tabs>
          <w:tab w:val="num" w:pos="360"/>
        </w:tabs>
      </w:pPr>
    </w:lvl>
    <w:lvl w:ilvl="6" w:tplc="02DAA8E4">
      <w:numFmt w:val="none"/>
      <w:lvlText w:val=""/>
      <w:lvlJc w:val="left"/>
      <w:pPr>
        <w:tabs>
          <w:tab w:val="num" w:pos="360"/>
        </w:tabs>
      </w:pPr>
    </w:lvl>
    <w:lvl w:ilvl="7" w:tplc="AEFCA6F0">
      <w:numFmt w:val="none"/>
      <w:lvlText w:val=""/>
      <w:lvlJc w:val="left"/>
      <w:pPr>
        <w:tabs>
          <w:tab w:val="num" w:pos="360"/>
        </w:tabs>
      </w:pPr>
    </w:lvl>
    <w:lvl w:ilvl="8" w:tplc="E2C8B702">
      <w:numFmt w:val="none"/>
      <w:lvlText w:val=""/>
      <w:lvlJc w:val="left"/>
      <w:pPr>
        <w:tabs>
          <w:tab w:val="num" w:pos="360"/>
        </w:tabs>
      </w:pPr>
    </w:lvl>
  </w:abstractNum>
  <w:abstractNum w:abstractNumId="10" w15:restartNumberingAfterBreak="0">
    <w:nsid w:val="58F4592F"/>
    <w:multiLevelType w:val="hybridMultilevel"/>
    <w:tmpl w:val="30F0C49E"/>
    <w:lvl w:ilvl="0" w:tplc="92A42FEC">
      <w:start w:val="1"/>
      <w:numFmt w:val="decimal"/>
      <w:isLgl/>
      <w:lvlText w:val="%1."/>
      <w:lvlJc w:val="left"/>
      <w:pPr>
        <w:tabs>
          <w:tab w:val="num" w:pos="1911"/>
        </w:tabs>
        <w:ind w:left="1911" w:hanging="117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742C39"/>
    <w:multiLevelType w:val="hybridMultilevel"/>
    <w:tmpl w:val="6256F7DE"/>
    <w:lvl w:ilvl="0" w:tplc="B58435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80D0C"/>
    <w:multiLevelType w:val="hybridMultilevel"/>
    <w:tmpl w:val="806C2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6A6E0A"/>
    <w:multiLevelType w:val="hybridMultilevel"/>
    <w:tmpl w:val="7D64D9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13"/>
  </w:num>
  <w:num w:numId="3">
    <w:abstractNumId w:val="5"/>
  </w:num>
  <w:num w:numId="4">
    <w:abstractNumId w:val="8"/>
  </w:num>
  <w:num w:numId="5">
    <w:abstractNumId w:val="9"/>
  </w:num>
  <w:num w:numId="6">
    <w:abstractNumId w:val="10"/>
  </w:num>
  <w:num w:numId="7">
    <w:abstractNumId w:val="12"/>
  </w:num>
  <w:num w:numId="8">
    <w:abstractNumId w:val="2"/>
  </w:num>
  <w:num w:numId="9">
    <w:abstractNumId w:val="6"/>
  </w:num>
  <w:num w:numId="10">
    <w:abstractNumId w:val="4"/>
  </w:num>
  <w:num w:numId="11">
    <w:abstractNumId w:val="0"/>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DE"/>
    <w:rsid w:val="00001801"/>
    <w:rsid w:val="0000357F"/>
    <w:rsid w:val="000067FC"/>
    <w:rsid w:val="000111CD"/>
    <w:rsid w:val="00015ABA"/>
    <w:rsid w:val="00021319"/>
    <w:rsid w:val="00022C7B"/>
    <w:rsid w:val="00026806"/>
    <w:rsid w:val="0002713E"/>
    <w:rsid w:val="00027A25"/>
    <w:rsid w:val="00044568"/>
    <w:rsid w:val="000465B4"/>
    <w:rsid w:val="00050885"/>
    <w:rsid w:val="00053377"/>
    <w:rsid w:val="00054B6B"/>
    <w:rsid w:val="00056C5B"/>
    <w:rsid w:val="00057F70"/>
    <w:rsid w:val="00060BA6"/>
    <w:rsid w:val="00060DDA"/>
    <w:rsid w:val="00064CCB"/>
    <w:rsid w:val="00065476"/>
    <w:rsid w:val="00070DE8"/>
    <w:rsid w:val="00073DE2"/>
    <w:rsid w:val="00075E9E"/>
    <w:rsid w:val="000837A6"/>
    <w:rsid w:val="000A05AB"/>
    <w:rsid w:val="000A3FC0"/>
    <w:rsid w:val="000A46A1"/>
    <w:rsid w:val="000A4A14"/>
    <w:rsid w:val="000B0BD6"/>
    <w:rsid w:val="000B2720"/>
    <w:rsid w:val="000B4BDB"/>
    <w:rsid w:val="000B5138"/>
    <w:rsid w:val="000B6192"/>
    <w:rsid w:val="000C4EC3"/>
    <w:rsid w:val="000C5EAB"/>
    <w:rsid w:val="000D362B"/>
    <w:rsid w:val="000D4993"/>
    <w:rsid w:val="000D5DF1"/>
    <w:rsid w:val="000E2260"/>
    <w:rsid w:val="000E2B9B"/>
    <w:rsid w:val="000E2D65"/>
    <w:rsid w:val="000E5166"/>
    <w:rsid w:val="000E51CB"/>
    <w:rsid w:val="000E74DF"/>
    <w:rsid w:val="000F0F1C"/>
    <w:rsid w:val="000F30FE"/>
    <w:rsid w:val="000F7F9F"/>
    <w:rsid w:val="0010424C"/>
    <w:rsid w:val="00104766"/>
    <w:rsid w:val="00104AC9"/>
    <w:rsid w:val="00104FCC"/>
    <w:rsid w:val="00107B37"/>
    <w:rsid w:val="00117D5D"/>
    <w:rsid w:val="001214AA"/>
    <w:rsid w:val="00121DE9"/>
    <w:rsid w:val="0012300C"/>
    <w:rsid w:val="001241CE"/>
    <w:rsid w:val="00124A49"/>
    <w:rsid w:val="0013173B"/>
    <w:rsid w:val="0013258B"/>
    <w:rsid w:val="00134294"/>
    <w:rsid w:val="0013576C"/>
    <w:rsid w:val="00137506"/>
    <w:rsid w:val="00137610"/>
    <w:rsid w:val="00141105"/>
    <w:rsid w:val="00143ADF"/>
    <w:rsid w:val="00147FA2"/>
    <w:rsid w:val="00147FDA"/>
    <w:rsid w:val="00155439"/>
    <w:rsid w:val="001556EA"/>
    <w:rsid w:val="00163348"/>
    <w:rsid w:val="0016443B"/>
    <w:rsid w:val="001708DF"/>
    <w:rsid w:val="001732BD"/>
    <w:rsid w:val="001748F5"/>
    <w:rsid w:val="001838FC"/>
    <w:rsid w:val="001848B8"/>
    <w:rsid w:val="001868F6"/>
    <w:rsid w:val="001913BE"/>
    <w:rsid w:val="00192CC5"/>
    <w:rsid w:val="00195C0D"/>
    <w:rsid w:val="001A021C"/>
    <w:rsid w:val="001A0BC4"/>
    <w:rsid w:val="001A282C"/>
    <w:rsid w:val="001B6E55"/>
    <w:rsid w:val="001B7504"/>
    <w:rsid w:val="001C081A"/>
    <w:rsid w:val="001C1187"/>
    <w:rsid w:val="001C2925"/>
    <w:rsid w:val="001D4CBA"/>
    <w:rsid w:val="001D62BC"/>
    <w:rsid w:val="001E0709"/>
    <w:rsid w:val="001E1B31"/>
    <w:rsid w:val="001E7872"/>
    <w:rsid w:val="001F2A42"/>
    <w:rsid w:val="001F49AF"/>
    <w:rsid w:val="001F6C27"/>
    <w:rsid w:val="00200AF7"/>
    <w:rsid w:val="00204A01"/>
    <w:rsid w:val="00204C03"/>
    <w:rsid w:val="002053B3"/>
    <w:rsid w:val="00205621"/>
    <w:rsid w:val="002062C1"/>
    <w:rsid w:val="002115E3"/>
    <w:rsid w:val="00213230"/>
    <w:rsid w:val="002147A8"/>
    <w:rsid w:val="0021588A"/>
    <w:rsid w:val="00220C7D"/>
    <w:rsid w:val="002232B5"/>
    <w:rsid w:val="002275D6"/>
    <w:rsid w:val="00230439"/>
    <w:rsid w:val="00231978"/>
    <w:rsid w:val="002323D7"/>
    <w:rsid w:val="00233D77"/>
    <w:rsid w:val="00235168"/>
    <w:rsid w:val="0023590D"/>
    <w:rsid w:val="00236323"/>
    <w:rsid w:val="00236613"/>
    <w:rsid w:val="00236FCF"/>
    <w:rsid w:val="002379F4"/>
    <w:rsid w:val="00237E1A"/>
    <w:rsid w:val="0024267D"/>
    <w:rsid w:val="00243290"/>
    <w:rsid w:val="00243B70"/>
    <w:rsid w:val="00246F0B"/>
    <w:rsid w:val="002506EA"/>
    <w:rsid w:val="00256701"/>
    <w:rsid w:val="00260096"/>
    <w:rsid w:val="00261876"/>
    <w:rsid w:val="002627C3"/>
    <w:rsid w:val="002635C2"/>
    <w:rsid w:val="002664A6"/>
    <w:rsid w:val="00275619"/>
    <w:rsid w:val="00275EC7"/>
    <w:rsid w:val="00283DD4"/>
    <w:rsid w:val="00283DFF"/>
    <w:rsid w:val="00284A6B"/>
    <w:rsid w:val="00286BAA"/>
    <w:rsid w:val="0028758D"/>
    <w:rsid w:val="00287DD1"/>
    <w:rsid w:val="00291CC8"/>
    <w:rsid w:val="002926F3"/>
    <w:rsid w:val="00293780"/>
    <w:rsid w:val="002A10EA"/>
    <w:rsid w:val="002A2564"/>
    <w:rsid w:val="002A4AF3"/>
    <w:rsid w:val="002B088E"/>
    <w:rsid w:val="002B3083"/>
    <w:rsid w:val="002B6159"/>
    <w:rsid w:val="002B795B"/>
    <w:rsid w:val="002C26A3"/>
    <w:rsid w:val="002C395C"/>
    <w:rsid w:val="002C5E0B"/>
    <w:rsid w:val="002C64C4"/>
    <w:rsid w:val="002C7C2B"/>
    <w:rsid w:val="002D09E7"/>
    <w:rsid w:val="002D2E18"/>
    <w:rsid w:val="002D51D7"/>
    <w:rsid w:val="002D5295"/>
    <w:rsid w:val="002D7D85"/>
    <w:rsid w:val="002E1E17"/>
    <w:rsid w:val="002E1E52"/>
    <w:rsid w:val="002E3F87"/>
    <w:rsid w:val="002E50D8"/>
    <w:rsid w:val="002E6A8A"/>
    <w:rsid w:val="002F5142"/>
    <w:rsid w:val="002F7BAD"/>
    <w:rsid w:val="00300F3F"/>
    <w:rsid w:val="0030141A"/>
    <w:rsid w:val="0030492F"/>
    <w:rsid w:val="0030584C"/>
    <w:rsid w:val="0030682B"/>
    <w:rsid w:val="00312568"/>
    <w:rsid w:val="00320F43"/>
    <w:rsid w:val="00325EA0"/>
    <w:rsid w:val="00326B13"/>
    <w:rsid w:val="0033188D"/>
    <w:rsid w:val="00333E80"/>
    <w:rsid w:val="003410EA"/>
    <w:rsid w:val="003420AE"/>
    <w:rsid w:val="0034353E"/>
    <w:rsid w:val="00351162"/>
    <w:rsid w:val="00351908"/>
    <w:rsid w:val="00355914"/>
    <w:rsid w:val="00364998"/>
    <w:rsid w:val="00366ECB"/>
    <w:rsid w:val="003670E5"/>
    <w:rsid w:val="0037156F"/>
    <w:rsid w:val="0037433C"/>
    <w:rsid w:val="00377B40"/>
    <w:rsid w:val="003812E2"/>
    <w:rsid w:val="00387734"/>
    <w:rsid w:val="00387EE0"/>
    <w:rsid w:val="00392D5A"/>
    <w:rsid w:val="003931AB"/>
    <w:rsid w:val="003935A3"/>
    <w:rsid w:val="0039735A"/>
    <w:rsid w:val="00397E07"/>
    <w:rsid w:val="003A3CAB"/>
    <w:rsid w:val="003A5B7B"/>
    <w:rsid w:val="003B34B8"/>
    <w:rsid w:val="003C2C21"/>
    <w:rsid w:val="003C6851"/>
    <w:rsid w:val="003C729D"/>
    <w:rsid w:val="003C75B8"/>
    <w:rsid w:val="003D04B0"/>
    <w:rsid w:val="003D04E3"/>
    <w:rsid w:val="003D0747"/>
    <w:rsid w:val="003D15FA"/>
    <w:rsid w:val="003D69A3"/>
    <w:rsid w:val="003D782F"/>
    <w:rsid w:val="003E3612"/>
    <w:rsid w:val="003F598B"/>
    <w:rsid w:val="0040075E"/>
    <w:rsid w:val="00401338"/>
    <w:rsid w:val="00402BD7"/>
    <w:rsid w:val="00406BF5"/>
    <w:rsid w:val="00406CD7"/>
    <w:rsid w:val="00416195"/>
    <w:rsid w:val="004170EA"/>
    <w:rsid w:val="00420F81"/>
    <w:rsid w:val="00422203"/>
    <w:rsid w:val="00423337"/>
    <w:rsid w:val="0042546C"/>
    <w:rsid w:val="00426D3E"/>
    <w:rsid w:val="00430CE1"/>
    <w:rsid w:val="00431F0E"/>
    <w:rsid w:val="004343D3"/>
    <w:rsid w:val="0043520A"/>
    <w:rsid w:val="00437350"/>
    <w:rsid w:val="0043754C"/>
    <w:rsid w:val="00444070"/>
    <w:rsid w:val="004458C5"/>
    <w:rsid w:val="00446066"/>
    <w:rsid w:val="00450938"/>
    <w:rsid w:val="0045336C"/>
    <w:rsid w:val="00455CD4"/>
    <w:rsid w:val="00456397"/>
    <w:rsid w:val="004603F5"/>
    <w:rsid w:val="00463BF8"/>
    <w:rsid w:val="004673AB"/>
    <w:rsid w:val="00472A43"/>
    <w:rsid w:val="004730FF"/>
    <w:rsid w:val="00477296"/>
    <w:rsid w:val="00481185"/>
    <w:rsid w:val="0048143A"/>
    <w:rsid w:val="00481473"/>
    <w:rsid w:val="004823AA"/>
    <w:rsid w:val="004859FE"/>
    <w:rsid w:val="0048764D"/>
    <w:rsid w:val="00490801"/>
    <w:rsid w:val="00490A56"/>
    <w:rsid w:val="00496C84"/>
    <w:rsid w:val="00496EB1"/>
    <w:rsid w:val="004A58A5"/>
    <w:rsid w:val="004A799E"/>
    <w:rsid w:val="004C033E"/>
    <w:rsid w:val="004C219B"/>
    <w:rsid w:val="004C47CC"/>
    <w:rsid w:val="004D1BAE"/>
    <w:rsid w:val="004E0E9A"/>
    <w:rsid w:val="004E4861"/>
    <w:rsid w:val="004E67F8"/>
    <w:rsid w:val="004E6CB2"/>
    <w:rsid w:val="004F0789"/>
    <w:rsid w:val="004F3BF8"/>
    <w:rsid w:val="00502ABA"/>
    <w:rsid w:val="00510F06"/>
    <w:rsid w:val="005118B8"/>
    <w:rsid w:val="00516949"/>
    <w:rsid w:val="00520574"/>
    <w:rsid w:val="005207FB"/>
    <w:rsid w:val="00523221"/>
    <w:rsid w:val="005246F3"/>
    <w:rsid w:val="0053082A"/>
    <w:rsid w:val="00531400"/>
    <w:rsid w:val="0053240F"/>
    <w:rsid w:val="0053351B"/>
    <w:rsid w:val="0053511D"/>
    <w:rsid w:val="00541221"/>
    <w:rsid w:val="00542767"/>
    <w:rsid w:val="00543672"/>
    <w:rsid w:val="00544697"/>
    <w:rsid w:val="0054469A"/>
    <w:rsid w:val="00547141"/>
    <w:rsid w:val="005510A0"/>
    <w:rsid w:val="0055152F"/>
    <w:rsid w:val="005521A6"/>
    <w:rsid w:val="0055347E"/>
    <w:rsid w:val="0055640A"/>
    <w:rsid w:val="00564B45"/>
    <w:rsid w:val="00565495"/>
    <w:rsid w:val="005674E0"/>
    <w:rsid w:val="005723A4"/>
    <w:rsid w:val="00575137"/>
    <w:rsid w:val="00577614"/>
    <w:rsid w:val="005916B1"/>
    <w:rsid w:val="0059283C"/>
    <w:rsid w:val="00592AF8"/>
    <w:rsid w:val="00593011"/>
    <w:rsid w:val="005939A2"/>
    <w:rsid w:val="005A1D7A"/>
    <w:rsid w:val="005A3DFE"/>
    <w:rsid w:val="005A511C"/>
    <w:rsid w:val="005B1597"/>
    <w:rsid w:val="005B335D"/>
    <w:rsid w:val="005B34F1"/>
    <w:rsid w:val="005B56CC"/>
    <w:rsid w:val="005B7081"/>
    <w:rsid w:val="005C1F70"/>
    <w:rsid w:val="005C349C"/>
    <w:rsid w:val="005C5DE0"/>
    <w:rsid w:val="005C651E"/>
    <w:rsid w:val="005D262F"/>
    <w:rsid w:val="005D7E5B"/>
    <w:rsid w:val="005E5433"/>
    <w:rsid w:val="005E5D2E"/>
    <w:rsid w:val="005E68D4"/>
    <w:rsid w:val="005E68F8"/>
    <w:rsid w:val="005F44A9"/>
    <w:rsid w:val="005F4DF3"/>
    <w:rsid w:val="005F7D9F"/>
    <w:rsid w:val="00601247"/>
    <w:rsid w:val="006020AD"/>
    <w:rsid w:val="006031DC"/>
    <w:rsid w:val="00606C8C"/>
    <w:rsid w:val="006204EC"/>
    <w:rsid w:val="0062079B"/>
    <w:rsid w:val="00624B19"/>
    <w:rsid w:val="00625175"/>
    <w:rsid w:val="00625EBD"/>
    <w:rsid w:val="006340A7"/>
    <w:rsid w:val="00637D7C"/>
    <w:rsid w:val="006405B8"/>
    <w:rsid w:val="0064131C"/>
    <w:rsid w:val="006478E9"/>
    <w:rsid w:val="0065583E"/>
    <w:rsid w:val="00661A23"/>
    <w:rsid w:val="0066523B"/>
    <w:rsid w:val="006705E4"/>
    <w:rsid w:val="006735FE"/>
    <w:rsid w:val="00673EB4"/>
    <w:rsid w:val="006749BB"/>
    <w:rsid w:val="00675319"/>
    <w:rsid w:val="0068173E"/>
    <w:rsid w:val="00681B8E"/>
    <w:rsid w:val="00681D97"/>
    <w:rsid w:val="00682391"/>
    <w:rsid w:val="006824A9"/>
    <w:rsid w:val="00684AE3"/>
    <w:rsid w:val="00692EE3"/>
    <w:rsid w:val="00693D2A"/>
    <w:rsid w:val="00696253"/>
    <w:rsid w:val="006A0C45"/>
    <w:rsid w:val="006A3B4F"/>
    <w:rsid w:val="006A61F5"/>
    <w:rsid w:val="006A6398"/>
    <w:rsid w:val="006C00E2"/>
    <w:rsid w:val="006C3D1F"/>
    <w:rsid w:val="006C5C49"/>
    <w:rsid w:val="006C657E"/>
    <w:rsid w:val="006C7A3F"/>
    <w:rsid w:val="006D07DE"/>
    <w:rsid w:val="006D15FA"/>
    <w:rsid w:val="006D1947"/>
    <w:rsid w:val="006D3EF8"/>
    <w:rsid w:val="006D51BE"/>
    <w:rsid w:val="006E0F2F"/>
    <w:rsid w:val="006E216D"/>
    <w:rsid w:val="006E3A49"/>
    <w:rsid w:val="006F11F2"/>
    <w:rsid w:val="006F3050"/>
    <w:rsid w:val="006F442A"/>
    <w:rsid w:val="006F4954"/>
    <w:rsid w:val="006F6283"/>
    <w:rsid w:val="006F68E0"/>
    <w:rsid w:val="0071154E"/>
    <w:rsid w:val="00712713"/>
    <w:rsid w:val="00714EB2"/>
    <w:rsid w:val="00716DDB"/>
    <w:rsid w:val="00717190"/>
    <w:rsid w:val="007215BD"/>
    <w:rsid w:val="00721FF5"/>
    <w:rsid w:val="00722FF3"/>
    <w:rsid w:val="00724D46"/>
    <w:rsid w:val="00733689"/>
    <w:rsid w:val="00735378"/>
    <w:rsid w:val="00736320"/>
    <w:rsid w:val="00740643"/>
    <w:rsid w:val="00742C2F"/>
    <w:rsid w:val="00743400"/>
    <w:rsid w:val="00751C32"/>
    <w:rsid w:val="007537DE"/>
    <w:rsid w:val="00757EAC"/>
    <w:rsid w:val="007600B9"/>
    <w:rsid w:val="00765B02"/>
    <w:rsid w:val="00770190"/>
    <w:rsid w:val="00770214"/>
    <w:rsid w:val="00770F80"/>
    <w:rsid w:val="00771945"/>
    <w:rsid w:val="00772405"/>
    <w:rsid w:val="00774EA1"/>
    <w:rsid w:val="00776ED6"/>
    <w:rsid w:val="007770D4"/>
    <w:rsid w:val="007803C4"/>
    <w:rsid w:val="007829E0"/>
    <w:rsid w:val="007875DB"/>
    <w:rsid w:val="0079136D"/>
    <w:rsid w:val="007918A4"/>
    <w:rsid w:val="0079283B"/>
    <w:rsid w:val="0079396C"/>
    <w:rsid w:val="007940BA"/>
    <w:rsid w:val="00794194"/>
    <w:rsid w:val="007969E8"/>
    <w:rsid w:val="007A191F"/>
    <w:rsid w:val="007A1997"/>
    <w:rsid w:val="007A1CAD"/>
    <w:rsid w:val="007A62B2"/>
    <w:rsid w:val="007B3AEA"/>
    <w:rsid w:val="007B3CB1"/>
    <w:rsid w:val="007B484D"/>
    <w:rsid w:val="007B4F97"/>
    <w:rsid w:val="007B6A98"/>
    <w:rsid w:val="007C0FE4"/>
    <w:rsid w:val="007C3FE5"/>
    <w:rsid w:val="007C55BA"/>
    <w:rsid w:val="007C6E6B"/>
    <w:rsid w:val="007C710D"/>
    <w:rsid w:val="007E1350"/>
    <w:rsid w:val="007E17F2"/>
    <w:rsid w:val="007E57EF"/>
    <w:rsid w:val="007E65FF"/>
    <w:rsid w:val="007F11A5"/>
    <w:rsid w:val="007F1280"/>
    <w:rsid w:val="007F22B2"/>
    <w:rsid w:val="007F3763"/>
    <w:rsid w:val="007F7024"/>
    <w:rsid w:val="00802BDC"/>
    <w:rsid w:val="00806329"/>
    <w:rsid w:val="0081717C"/>
    <w:rsid w:val="00817782"/>
    <w:rsid w:val="00821269"/>
    <w:rsid w:val="00827C42"/>
    <w:rsid w:val="00832891"/>
    <w:rsid w:val="00834153"/>
    <w:rsid w:val="008404B3"/>
    <w:rsid w:val="00844977"/>
    <w:rsid w:val="0084609A"/>
    <w:rsid w:val="00846B34"/>
    <w:rsid w:val="00850FCE"/>
    <w:rsid w:val="008512A2"/>
    <w:rsid w:val="0085295A"/>
    <w:rsid w:val="008574EA"/>
    <w:rsid w:val="00857F42"/>
    <w:rsid w:val="008607BB"/>
    <w:rsid w:val="008626ED"/>
    <w:rsid w:val="00865358"/>
    <w:rsid w:val="00865DFB"/>
    <w:rsid w:val="00867480"/>
    <w:rsid w:val="008705F7"/>
    <w:rsid w:val="0088270E"/>
    <w:rsid w:val="008835CD"/>
    <w:rsid w:val="008848D1"/>
    <w:rsid w:val="00887946"/>
    <w:rsid w:val="0089098F"/>
    <w:rsid w:val="00892549"/>
    <w:rsid w:val="00894FF1"/>
    <w:rsid w:val="00896A16"/>
    <w:rsid w:val="008A0C29"/>
    <w:rsid w:val="008A1B14"/>
    <w:rsid w:val="008A2186"/>
    <w:rsid w:val="008A2FB5"/>
    <w:rsid w:val="008A3FE2"/>
    <w:rsid w:val="008A593E"/>
    <w:rsid w:val="008A6472"/>
    <w:rsid w:val="008A7432"/>
    <w:rsid w:val="008C0B69"/>
    <w:rsid w:val="008C3090"/>
    <w:rsid w:val="008C500E"/>
    <w:rsid w:val="008C6561"/>
    <w:rsid w:val="008C7CD3"/>
    <w:rsid w:val="008D12D0"/>
    <w:rsid w:val="008D1911"/>
    <w:rsid w:val="008D1FEA"/>
    <w:rsid w:val="008D29B9"/>
    <w:rsid w:val="008D3DD1"/>
    <w:rsid w:val="008E0578"/>
    <w:rsid w:val="008E461B"/>
    <w:rsid w:val="008E6C95"/>
    <w:rsid w:val="008F183C"/>
    <w:rsid w:val="008F31D2"/>
    <w:rsid w:val="00900E39"/>
    <w:rsid w:val="009062CF"/>
    <w:rsid w:val="0090650A"/>
    <w:rsid w:val="00906CDA"/>
    <w:rsid w:val="00907FCF"/>
    <w:rsid w:val="00910388"/>
    <w:rsid w:val="00910454"/>
    <w:rsid w:val="00911AF2"/>
    <w:rsid w:val="009143DE"/>
    <w:rsid w:val="0091454B"/>
    <w:rsid w:val="00915A15"/>
    <w:rsid w:val="00917E0B"/>
    <w:rsid w:val="009213E9"/>
    <w:rsid w:val="00924423"/>
    <w:rsid w:val="009308DF"/>
    <w:rsid w:val="0093353C"/>
    <w:rsid w:val="009352AE"/>
    <w:rsid w:val="00940AE0"/>
    <w:rsid w:val="00940E2B"/>
    <w:rsid w:val="00945439"/>
    <w:rsid w:val="00945A6C"/>
    <w:rsid w:val="00946950"/>
    <w:rsid w:val="0094752D"/>
    <w:rsid w:val="009518D6"/>
    <w:rsid w:val="009558F2"/>
    <w:rsid w:val="00957B57"/>
    <w:rsid w:val="00961060"/>
    <w:rsid w:val="009644B9"/>
    <w:rsid w:val="00971CC2"/>
    <w:rsid w:val="00971D31"/>
    <w:rsid w:val="00975A09"/>
    <w:rsid w:val="009778E0"/>
    <w:rsid w:val="0098736C"/>
    <w:rsid w:val="00987614"/>
    <w:rsid w:val="009902C1"/>
    <w:rsid w:val="009905A6"/>
    <w:rsid w:val="00990E54"/>
    <w:rsid w:val="00991419"/>
    <w:rsid w:val="009930DD"/>
    <w:rsid w:val="0099329B"/>
    <w:rsid w:val="009969F0"/>
    <w:rsid w:val="009A3B23"/>
    <w:rsid w:val="009A76B9"/>
    <w:rsid w:val="009B04E1"/>
    <w:rsid w:val="009B5D0A"/>
    <w:rsid w:val="009B7B3C"/>
    <w:rsid w:val="009C12E4"/>
    <w:rsid w:val="009C2D11"/>
    <w:rsid w:val="009C2EEB"/>
    <w:rsid w:val="009C4F1C"/>
    <w:rsid w:val="009C7D77"/>
    <w:rsid w:val="009D08CC"/>
    <w:rsid w:val="009D0AD7"/>
    <w:rsid w:val="009D0BB4"/>
    <w:rsid w:val="009E1ECE"/>
    <w:rsid w:val="009E26CF"/>
    <w:rsid w:val="009E7A77"/>
    <w:rsid w:val="009F0975"/>
    <w:rsid w:val="009F12E0"/>
    <w:rsid w:val="009F7084"/>
    <w:rsid w:val="00A00B85"/>
    <w:rsid w:val="00A0396C"/>
    <w:rsid w:val="00A049E0"/>
    <w:rsid w:val="00A053E3"/>
    <w:rsid w:val="00A111A8"/>
    <w:rsid w:val="00A14435"/>
    <w:rsid w:val="00A16D3D"/>
    <w:rsid w:val="00A20074"/>
    <w:rsid w:val="00A2708D"/>
    <w:rsid w:val="00A27E55"/>
    <w:rsid w:val="00A30EB3"/>
    <w:rsid w:val="00A33DFA"/>
    <w:rsid w:val="00A423D6"/>
    <w:rsid w:val="00A429E7"/>
    <w:rsid w:val="00A43121"/>
    <w:rsid w:val="00A43182"/>
    <w:rsid w:val="00A460CA"/>
    <w:rsid w:val="00A46C85"/>
    <w:rsid w:val="00A514D7"/>
    <w:rsid w:val="00A5291F"/>
    <w:rsid w:val="00A63F98"/>
    <w:rsid w:val="00A659DF"/>
    <w:rsid w:val="00A72513"/>
    <w:rsid w:val="00A765D0"/>
    <w:rsid w:val="00A7718C"/>
    <w:rsid w:val="00A771EA"/>
    <w:rsid w:val="00A77E07"/>
    <w:rsid w:val="00A84E8F"/>
    <w:rsid w:val="00A852DD"/>
    <w:rsid w:val="00A877C3"/>
    <w:rsid w:val="00A95763"/>
    <w:rsid w:val="00A96917"/>
    <w:rsid w:val="00AA149A"/>
    <w:rsid w:val="00AA14FE"/>
    <w:rsid w:val="00AA1F4A"/>
    <w:rsid w:val="00AA7B2B"/>
    <w:rsid w:val="00AB36F4"/>
    <w:rsid w:val="00AC24FD"/>
    <w:rsid w:val="00AC3299"/>
    <w:rsid w:val="00AD28CA"/>
    <w:rsid w:val="00AD4069"/>
    <w:rsid w:val="00AD4229"/>
    <w:rsid w:val="00AE1ABB"/>
    <w:rsid w:val="00AE31AA"/>
    <w:rsid w:val="00AE4645"/>
    <w:rsid w:val="00AE4A44"/>
    <w:rsid w:val="00AE7210"/>
    <w:rsid w:val="00AF078C"/>
    <w:rsid w:val="00B0004F"/>
    <w:rsid w:val="00B020E6"/>
    <w:rsid w:val="00B04110"/>
    <w:rsid w:val="00B04993"/>
    <w:rsid w:val="00B058D1"/>
    <w:rsid w:val="00B10E55"/>
    <w:rsid w:val="00B13078"/>
    <w:rsid w:val="00B13D09"/>
    <w:rsid w:val="00B14F8F"/>
    <w:rsid w:val="00B22B88"/>
    <w:rsid w:val="00B24450"/>
    <w:rsid w:val="00B30724"/>
    <w:rsid w:val="00B40AD4"/>
    <w:rsid w:val="00B60243"/>
    <w:rsid w:val="00B7161E"/>
    <w:rsid w:val="00B72DA5"/>
    <w:rsid w:val="00B7621A"/>
    <w:rsid w:val="00B8014C"/>
    <w:rsid w:val="00B82C98"/>
    <w:rsid w:val="00B83813"/>
    <w:rsid w:val="00B91925"/>
    <w:rsid w:val="00B91B2E"/>
    <w:rsid w:val="00B9228A"/>
    <w:rsid w:val="00BA442F"/>
    <w:rsid w:val="00BA5030"/>
    <w:rsid w:val="00BA6548"/>
    <w:rsid w:val="00BA67EB"/>
    <w:rsid w:val="00BB2066"/>
    <w:rsid w:val="00BB3EC8"/>
    <w:rsid w:val="00BC29FA"/>
    <w:rsid w:val="00BC3C9D"/>
    <w:rsid w:val="00BC5F36"/>
    <w:rsid w:val="00BC7F35"/>
    <w:rsid w:val="00BC7F6C"/>
    <w:rsid w:val="00BD0D74"/>
    <w:rsid w:val="00BD0E23"/>
    <w:rsid w:val="00BD1E7B"/>
    <w:rsid w:val="00BD401E"/>
    <w:rsid w:val="00BD4778"/>
    <w:rsid w:val="00BD47A4"/>
    <w:rsid w:val="00BD51A6"/>
    <w:rsid w:val="00BD661C"/>
    <w:rsid w:val="00BF3B19"/>
    <w:rsid w:val="00BF4017"/>
    <w:rsid w:val="00BF46CA"/>
    <w:rsid w:val="00BF5BC7"/>
    <w:rsid w:val="00BF5DE2"/>
    <w:rsid w:val="00BF625D"/>
    <w:rsid w:val="00C03C3D"/>
    <w:rsid w:val="00C14C88"/>
    <w:rsid w:val="00C15A3C"/>
    <w:rsid w:val="00C257F2"/>
    <w:rsid w:val="00C2580C"/>
    <w:rsid w:val="00C31758"/>
    <w:rsid w:val="00C31F37"/>
    <w:rsid w:val="00C331A0"/>
    <w:rsid w:val="00C3410F"/>
    <w:rsid w:val="00C34FC4"/>
    <w:rsid w:val="00C378CE"/>
    <w:rsid w:val="00C40BB6"/>
    <w:rsid w:val="00C53319"/>
    <w:rsid w:val="00C544BC"/>
    <w:rsid w:val="00C62C35"/>
    <w:rsid w:val="00C62F84"/>
    <w:rsid w:val="00C649BD"/>
    <w:rsid w:val="00C66BC0"/>
    <w:rsid w:val="00C70AF5"/>
    <w:rsid w:val="00C70B47"/>
    <w:rsid w:val="00C734AB"/>
    <w:rsid w:val="00C7769E"/>
    <w:rsid w:val="00C87AB5"/>
    <w:rsid w:val="00C95F69"/>
    <w:rsid w:val="00C978E6"/>
    <w:rsid w:val="00CA24EE"/>
    <w:rsid w:val="00CA2E6D"/>
    <w:rsid w:val="00CA5B82"/>
    <w:rsid w:val="00CA615A"/>
    <w:rsid w:val="00CB3755"/>
    <w:rsid w:val="00CB797B"/>
    <w:rsid w:val="00CB7A9B"/>
    <w:rsid w:val="00CC2E4F"/>
    <w:rsid w:val="00CC3341"/>
    <w:rsid w:val="00CD4EDC"/>
    <w:rsid w:val="00CD605E"/>
    <w:rsid w:val="00CD7804"/>
    <w:rsid w:val="00CE1A5A"/>
    <w:rsid w:val="00CE392A"/>
    <w:rsid w:val="00CF32F5"/>
    <w:rsid w:val="00CF34FE"/>
    <w:rsid w:val="00CF64FF"/>
    <w:rsid w:val="00D20570"/>
    <w:rsid w:val="00D215E3"/>
    <w:rsid w:val="00D21B8E"/>
    <w:rsid w:val="00D21D24"/>
    <w:rsid w:val="00D24130"/>
    <w:rsid w:val="00D25CDF"/>
    <w:rsid w:val="00D32190"/>
    <w:rsid w:val="00D3712D"/>
    <w:rsid w:val="00D42663"/>
    <w:rsid w:val="00D4694C"/>
    <w:rsid w:val="00D50AAA"/>
    <w:rsid w:val="00D51800"/>
    <w:rsid w:val="00D5183A"/>
    <w:rsid w:val="00D51BF6"/>
    <w:rsid w:val="00D611FC"/>
    <w:rsid w:val="00D616D8"/>
    <w:rsid w:val="00D63392"/>
    <w:rsid w:val="00D66E47"/>
    <w:rsid w:val="00D74861"/>
    <w:rsid w:val="00D87E19"/>
    <w:rsid w:val="00D9157A"/>
    <w:rsid w:val="00D946BC"/>
    <w:rsid w:val="00D94AF6"/>
    <w:rsid w:val="00D956C6"/>
    <w:rsid w:val="00D962FC"/>
    <w:rsid w:val="00D96DD1"/>
    <w:rsid w:val="00D976FD"/>
    <w:rsid w:val="00DA419E"/>
    <w:rsid w:val="00DA4A87"/>
    <w:rsid w:val="00DB418C"/>
    <w:rsid w:val="00DB448E"/>
    <w:rsid w:val="00DB6573"/>
    <w:rsid w:val="00DD0445"/>
    <w:rsid w:val="00DD1137"/>
    <w:rsid w:val="00DD415A"/>
    <w:rsid w:val="00DE1789"/>
    <w:rsid w:val="00DE25DA"/>
    <w:rsid w:val="00DE65FD"/>
    <w:rsid w:val="00DE7EF7"/>
    <w:rsid w:val="00DF01EF"/>
    <w:rsid w:val="00DF1160"/>
    <w:rsid w:val="00DF395D"/>
    <w:rsid w:val="00DF4509"/>
    <w:rsid w:val="00DF737E"/>
    <w:rsid w:val="00DF74DA"/>
    <w:rsid w:val="00E01AAF"/>
    <w:rsid w:val="00E02DBA"/>
    <w:rsid w:val="00E04EF8"/>
    <w:rsid w:val="00E10429"/>
    <w:rsid w:val="00E12631"/>
    <w:rsid w:val="00E13250"/>
    <w:rsid w:val="00E15AE2"/>
    <w:rsid w:val="00E16072"/>
    <w:rsid w:val="00E2268F"/>
    <w:rsid w:val="00E25FDD"/>
    <w:rsid w:val="00E273D7"/>
    <w:rsid w:val="00E27C51"/>
    <w:rsid w:val="00E34AA8"/>
    <w:rsid w:val="00E40B0E"/>
    <w:rsid w:val="00E439EA"/>
    <w:rsid w:val="00E443D0"/>
    <w:rsid w:val="00E444D5"/>
    <w:rsid w:val="00E522E2"/>
    <w:rsid w:val="00E56550"/>
    <w:rsid w:val="00E62B04"/>
    <w:rsid w:val="00E632BF"/>
    <w:rsid w:val="00E66078"/>
    <w:rsid w:val="00E66901"/>
    <w:rsid w:val="00E7205A"/>
    <w:rsid w:val="00E75818"/>
    <w:rsid w:val="00E75A57"/>
    <w:rsid w:val="00E77409"/>
    <w:rsid w:val="00E779CA"/>
    <w:rsid w:val="00E82176"/>
    <w:rsid w:val="00E831AE"/>
    <w:rsid w:val="00E909B0"/>
    <w:rsid w:val="00E90A2D"/>
    <w:rsid w:val="00E92903"/>
    <w:rsid w:val="00E949E5"/>
    <w:rsid w:val="00E95694"/>
    <w:rsid w:val="00EA3EC7"/>
    <w:rsid w:val="00EA554D"/>
    <w:rsid w:val="00EA7949"/>
    <w:rsid w:val="00EB031D"/>
    <w:rsid w:val="00EB1024"/>
    <w:rsid w:val="00EB31F9"/>
    <w:rsid w:val="00EC0427"/>
    <w:rsid w:val="00EC450E"/>
    <w:rsid w:val="00ED17F4"/>
    <w:rsid w:val="00ED700C"/>
    <w:rsid w:val="00EE21ED"/>
    <w:rsid w:val="00EE4217"/>
    <w:rsid w:val="00EE673D"/>
    <w:rsid w:val="00EE7A00"/>
    <w:rsid w:val="00EF38CC"/>
    <w:rsid w:val="00F001DE"/>
    <w:rsid w:val="00F0541E"/>
    <w:rsid w:val="00F05D7B"/>
    <w:rsid w:val="00F06934"/>
    <w:rsid w:val="00F14371"/>
    <w:rsid w:val="00F15206"/>
    <w:rsid w:val="00F172AB"/>
    <w:rsid w:val="00F20DBC"/>
    <w:rsid w:val="00F21CD8"/>
    <w:rsid w:val="00F23A3A"/>
    <w:rsid w:val="00F2489F"/>
    <w:rsid w:val="00F27FBE"/>
    <w:rsid w:val="00F3002A"/>
    <w:rsid w:val="00F305C7"/>
    <w:rsid w:val="00F3195D"/>
    <w:rsid w:val="00F34EC5"/>
    <w:rsid w:val="00F3508A"/>
    <w:rsid w:val="00F42326"/>
    <w:rsid w:val="00F44767"/>
    <w:rsid w:val="00F5354F"/>
    <w:rsid w:val="00F535D4"/>
    <w:rsid w:val="00F53767"/>
    <w:rsid w:val="00F53D5D"/>
    <w:rsid w:val="00F53F6E"/>
    <w:rsid w:val="00F54ACE"/>
    <w:rsid w:val="00F55A7C"/>
    <w:rsid w:val="00F57A7A"/>
    <w:rsid w:val="00F57C2C"/>
    <w:rsid w:val="00F57EAC"/>
    <w:rsid w:val="00F633CE"/>
    <w:rsid w:val="00F64CE2"/>
    <w:rsid w:val="00F658B5"/>
    <w:rsid w:val="00F665D8"/>
    <w:rsid w:val="00F71E22"/>
    <w:rsid w:val="00F724C1"/>
    <w:rsid w:val="00F7431B"/>
    <w:rsid w:val="00F76062"/>
    <w:rsid w:val="00F76171"/>
    <w:rsid w:val="00F83BE8"/>
    <w:rsid w:val="00F9200B"/>
    <w:rsid w:val="00F94306"/>
    <w:rsid w:val="00F9673C"/>
    <w:rsid w:val="00F977FC"/>
    <w:rsid w:val="00FA08E3"/>
    <w:rsid w:val="00FA0BD3"/>
    <w:rsid w:val="00FA1745"/>
    <w:rsid w:val="00FA1CA7"/>
    <w:rsid w:val="00FA5660"/>
    <w:rsid w:val="00FB318F"/>
    <w:rsid w:val="00FB3D5B"/>
    <w:rsid w:val="00FB4C09"/>
    <w:rsid w:val="00FB56D7"/>
    <w:rsid w:val="00FB5FE5"/>
    <w:rsid w:val="00FB6C76"/>
    <w:rsid w:val="00FC2DE8"/>
    <w:rsid w:val="00FD053D"/>
    <w:rsid w:val="00FD16EB"/>
    <w:rsid w:val="00FD2F46"/>
    <w:rsid w:val="00FD34A1"/>
    <w:rsid w:val="00FE12F3"/>
    <w:rsid w:val="00FE178B"/>
    <w:rsid w:val="00FE3929"/>
    <w:rsid w:val="00FF051D"/>
    <w:rsid w:val="00FF152B"/>
    <w:rsid w:val="00FF22A7"/>
    <w:rsid w:val="00FF4506"/>
    <w:rsid w:val="00FF4733"/>
    <w:rsid w:val="00FF599D"/>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638EC"/>
  <w15:docId w15:val="{7EA1C308-3B54-47C5-BFFD-2572574A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4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54469A"/>
    <w:pPr>
      <w:spacing w:line="360" w:lineRule="auto"/>
      <w:jc w:val="both"/>
    </w:pPr>
    <w:rPr>
      <w:szCs w:val="20"/>
      <w:lang w:eastAsia="en-US"/>
    </w:rPr>
  </w:style>
  <w:style w:type="paragraph" w:styleId="Debesliotekstas">
    <w:name w:val="Balloon Text"/>
    <w:basedOn w:val="prastasis"/>
    <w:link w:val="DebesliotekstasDiagrama"/>
    <w:uiPriority w:val="99"/>
    <w:semiHidden/>
    <w:rsid w:val="007E17F2"/>
    <w:rPr>
      <w:rFonts w:ascii="Tahoma" w:hAnsi="Tahoma" w:cs="Tahoma"/>
      <w:sz w:val="16"/>
      <w:szCs w:val="16"/>
    </w:rPr>
  </w:style>
  <w:style w:type="paragraph" w:styleId="Pagrindiniotekstotrauka">
    <w:name w:val="Body Text Indent"/>
    <w:basedOn w:val="prastasis"/>
    <w:rsid w:val="00050885"/>
    <w:pPr>
      <w:spacing w:after="120"/>
      <w:ind w:left="283"/>
    </w:pPr>
  </w:style>
  <w:style w:type="paragraph" w:styleId="Porat">
    <w:name w:val="footer"/>
    <w:basedOn w:val="prastasis"/>
    <w:link w:val="PoratDiagrama"/>
    <w:uiPriority w:val="99"/>
    <w:rsid w:val="00FA1745"/>
    <w:pPr>
      <w:tabs>
        <w:tab w:val="center" w:pos="4153"/>
        <w:tab w:val="right" w:pos="8306"/>
      </w:tabs>
    </w:pPr>
    <w:rPr>
      <w:sz w:val="20"/>
      <w:szCs w:val="20"/>
      <w:lang w:eastAsia="en-US"/>
    </w:rPr>
  </w:style>
  <w:style w:type="character" w:customStyle="1" w:styleId="PoratDiagrama">
    <w:name w:val="Poraštė Diagrama"/>
    <w:link w:val="Porat"/>
    <w:uiPriority w:val="99"/>
    <w:rsid w:val="00FA1745"/>
    <w:rPr>
      <w:lang w:eastAsia="en-US"/>
    </w:rPr>
  </w:style>
  <w:style w:type="paragraph" w:customStyle="1" w:styleId="Pagrindinistekstas1">
    <w:name w:val="Pagrindinis tekstas1"/>
    <w:rsid w:val="00D42663"/>
    <w:pPr>
      <w:ind w:firstLine="312"/>
      <w:jc w:val="both"/>
    </w:pPr>
    <w:rPr>
      <w:rFonts w:ascii="TimesLT" w:hAnsi="TimesLT"/>
      <w:snapToGrid w:val="0"/>
      <w:lang w:val="en-US" w:eastAsia="en-US"/>
    </w:rPr>
  </w:style>
  <w:style w:type="paragraph" w:styleId="Antrats">
    <w:name w:val="header"/>
    <w:basedOn w:val="prastasis"/>
    <w:link w:val="AntratsDiagrama"/>
    <w:uiPriority w:val="99"/>
    <w:rsid w:val="00027A25"/>
    <w:pPr>
      <w:tabs>
        <w:tab w:val="center" w:pos="4153"/>
        <w:tab w:val="right" w:pos="8306"/>
      </w:tabs>
    </w:pPr>
    <w:rPr>
      <w:szCs w:val="20"/>
      <w:lang w:eastAsia="en-US"/>
    </w:rPr>
  </w:style>
  <w:style w:type="character" w:customStyle="1" w:styleId="AntratsDiagrama">
    <w:name w:val="Antraštės Diagrama"/>
    <w:link w:val="Antrats"/>
    <w:uiPriority w:val="99"/>
    <w:rsid w:val="00027A25"/>
    <w:rPr>
      <w:sz w:val="24"/>
      <w:lang w:eastAsia="en-US"/>
    </w:rPr>
  </w:style>
  <w:style w:type="character" w:styleId="Hipersaitas">
    <w:name w:val="Hyperlink"/>
    <w:rsid w:val="00477296"/>
    <w:rPr>
      <w:color w:val="0000FF"/>
      <w:u w:val="single"/>
    </w:rPr>
  </w:style>
  <w:style w:type="character" w:customStyle="1" w:styleId="DebesliotekstasDiagrama">
    <w:name w:val="Debesėlio tekstas Diagrama"/>
    <w:link w:val="Debesliotekstas"/>
    <w:uiPriority w:val="99"/>
    <w:semiHidden/>
    <w:rsid w:val="005246F3"/>
    <w:rPr>
      <w:rFonts w:ascii="Tahoma" w:hAnsi="Tahoma" w:cs="Tahoma"/>
      <w:sz w:val="16"/>
      <w:szCs w:val="16"/>
    </w:rPr>
  </w:style>
  <w:style w:type="character" w:customStyle="1" w:styleId="CharStyle12">
    <w:name w:val="Char Style 12"/>
    <w:link w:val="Style11"/>
    <w:uiPriority w:val="99"/>
    <w:rsid w:val="00E12631"/>
    <w:rPr>
      <w:sz w:val="21"/>
      <w:szCs w:val="21"/>
      <w:shd w:val="clear" w:color="auto" w:fill="FFFFFF"/>
    </w:rPr>
  </w:style>
  <w:style w:type="paragraph" w:customStyle="1" w:styleId="Style11">
    <w:name w:val="Style 11"/>
    <w:basedOn w:val="prastasis"/>
    <w:link w:val="CharStyle12"/>
    <w:uiPriority w:val="99"/>
    <w:rsid w:val="00E12631"/>
    <w:pPr>
      <w:widowControl w:val="0"/>
      <w:shd w:val="clear" w:color="auto" w:fill="FFFFFF"/>
      <w:spacing w:line="240" w:lineRule="atLeast"/>
    </w:pPr>
    <w:rPr>
      <w:sz w:val="21"/>
      <w:szCs w:val="21"/>
    </w:rPr>
  </w:style>
  <w:style w:type="paragraph" w:customStyle="1" w:styleId="statymopavad">
    <w:name w:val="statymopavad"/>
    <w:basedOn w:val="prastasis"/>
    <w:rsid w:val="003A3CAB"/>
    <w:pPr>
      <w:spacing w:before="100" w:beforeAutospacing="1" w:after="100" w:afterAutospacing="1"/>
    </w:pPr>
  </w:style>
  <w:style w:type="character" w:customStyle="1" w:styleId="LLCTekstas">
    <w:name w:val="LLCTekstas"/>
    <w:basedOn w:val="Numatytasispastraiposriftas"/>
    <w:rsid w:val="00910454"/>
  </w:style>
  <w:style w:type="paragraph" w:styleId="Sraopastraipa">
    <w:name w:val="List Paragraph"/>
    <w:basedOn w:val="prastasis"/>
    <w:uiPriority w:val="34"/>
    <w:qFormat/>
    <w:rsid w:val="00496EB1"/>
    <w:pPr>
      <w:ind w:left="720"/>
      <w:contextualSpacing/>
    </w:pPr>
    <w:rPr>
      <w:szCs w:val="20"/>
      <w:lang w:eastAsia="en-US"/>
    </w:rPr>
  </w:style>
  <w:style w:type="paragraph" w:customStyle="1" w:styleId="statymopavad0">
    <w:name w:val="Įstatymo pavad."/>
    <w:basedOn w:val="prastasis"/>
    <w:rsid w:val="00E75A57"/>
    <w:pPr>
      <w:spacing w:line="360" w:lineRule="auto"/>
      <w:ind w:firstLine="720"/>
      <w:jc w:val="center"/>
    </w:pPr>
    <w:rPr>
      <w:rFonts w:ascii="TimesLT" w:hAnsi="TimesLT"/>
      <w:caps/>
      <w:szCs w:val="20"/>
      <w:lang w:eastAsia="en-US"/>
    </w:rPr>
  </w:style>
  <w:style w:type="character" w:styleId="Perirtashipersaitas">
    <w:name w:val="FollowedHyperlink"/>
    <w:uiPriority w:val="99"/>
    <w:semiHidden/>
    <w:unhideWhenUsed/>
    <w:rsid w:val="0010424C"/>
    <w:rPr>
      <w:color w:val="800080"/>
      <w:u w:val="single"/>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rsid w:val="00DE65FD"/>
    <w:pPr>
      <w:jc w:val="both"/>
    </w:pPr>
    <w:rPr>
      <w:rFonts w:eastAsia="Calibri"/>
      <w:sz w:val="20"/>
      <w:szCs w:val="20"/>
      <w:lang w:eastAsia="en-US"/>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rsid w:val="00DE65FD"/>
    <w:rPr>
      <w:rFonts w:eastAsia="Calibri"/>
      <w:lang w:eastAsia="en-US"/>
    </w:rPr>
  </w:style>
  <w:style w:type="character" w:styleId="Puslapioinaosnuoroda">
    <w:name w:val="footnote reference"/>
    <w:aliases w:val="Ref,de nota al pie"/>
    <w:basedOn w:val="Numatytasispastraiposriftas"/>
    <w:rsid w:val="00DE65FD"/>
    <w:rPr>
      <w:rFonts w:cs="Times New Roman"/>
      <w:vertAlign w:val="superscript"/>
    </w:rPr>
  </w:style>
  <w:style w:type="character" w:styleId="Komentaronuoroda">
    <w:name w:val="annotation reference"/>
    <w:basedOn w:val="Numatytasispastraiposriftas"/>
    <w:uiPriority w:val="99"/>
    <w:semiHidden/>
    <w:unhideWhenUsed/>
    <w:rsid w:val="00B22B88"/>
    <w:rPr>
      <w:sz w:val="16"/>
      <w:szCs w:val="16"/>
    </w:rPr>
  </w:style>
  <w:style w:type="paragraph" w:styleId="Komentarotekstas">
    <w:name w:val="annotation text"/>
    <w:basedOn w:val="prastasis"/>
    <w:link w:val="KomentarotekstasDiagrama"/>
    <w:uiPriority w:val="99"/>
    <w:semiHidden/>
    <w:unhideWhenUsed/>
    <w:rsid w:val="00B22B88"/>
    <w:rPr>
      <w:sz w:val="20"/>
      <w:szCs w:val="20"/>
    </w:rPr>
  </w:style>
  <w:style w:type="character" w:customStyle="1" w:styleId="KomentarotekstasDiagrama">
    <w:name w:val="Komentaro tekstas Diagrama"/>
    <w:basedOn w:val="Numatytasispastraiposriftas"/>
    <w:link w:val="Komentarotekstas"/>
    <w:uiPriority w:val="99"/>
    <w:semiHidden/>
    <w:rsid w:val="00B22B88"/>
  </w:style>
  <w:style w:type="paragraph" w:styleId="Komentarotema">
    <w:name w:val="annotation subject"/>
    <w:basedOn w:val="Komentarotekstas"/>
    <w:next w:val="Komentarotekstas"/>
    <w:link w:val="KomentarotemaDiagrama"/>
    <w:uiPriority w:val="99"/>
    <w:semiHidden/>
    <w:unhideWhenUsed/>
    <w:rsid w:val="00B22B88"/>
    <w:rPr>
      <w:b/>
      <w:bCs/>
    </w:rPr>
  </w:style>
  <w:style w:type="character" w:customStyle="1" w:styleId="KomentarotemaDiagrama">
    <w:name w:val="Komentaro tema Diagrama"/>
    <w:basedOn w:val="KomentarotekstasDiagrama"/>
    <w:link w:val="Komentarotema"/>
    <w:uiPriority w:val="99"/>
    <w:semiHidden/>
    <w:rsid w:val="00B22B88"/>
    <w:rPr>
      <w:b/>
      <w:bCs/>
    </w:rPr>
  </w:style>
  <w:style w:type="paragraph" w:styleId="Dokumentoinaostekstas">
    <w:name w:val="endnote text"/>
    <w:basedOn w:val="prastasis"/>
    <w:link w:val="DokumentoinaostekstasDiagrama"/>
    <w:uiPriority w:val="99"/>
    <w:semiHidden/>
    <w:unhideWhenUsed/>
    <w:rsid w:val="00FA1CA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A1CA7"/>
  </w:style>
  <w:style w:type="character" w:styleId="Dokumentoinaosnumeris">
    <w:name w:val="endnote reference"/>
    <w:basedOn w:val="Numatytasispastraiposriftas"/>
    <w:uiPriority w:val="99"/>
    <w:semiHidden/>
    <w:unhideWhenUsed/>
    <w:rsid w:val="00FA1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254">
      <w:bodyDiv w:val="1"/>
      <w:marLeft w:val="0"/>
      <w:marRight w:val="0"/>
      <w:marTop w:val="0"/>
      <w:marBottom w:val="0"/>
      <w:divBdr>
        <w:top w:val="none" w:sz="0" w:space="0" w:color="auto"/>
        <w:left w:val="none" w:sz="0" w:space="0" w:color="auto"/>
        <w:bottom w:val="none" w:sz="0" w:space="0" w:color="auto"/>
        <w:right w:val="none" w:sz="0" w:space="0" w:color="auto"/>
      </w:divBdr>
    </w:div>
    <w:div w:id="579993690">
      <w:bodyDiv w:val="1"/>
      <w:marLeft w:val="208"/>
      <w:marRight w:val="208"/>
      <w:marTop w:val="0"/>
      <w:marBottom w:val="0"/>
      <w:divBdr>
        <w:top w:val="none" w:sz="0" w:space="0" w:color="auto"/>
        <w:left w:val="none" w:sz="0" w:space="0" w:color="auto"/>
        <w:bottom w:val="none" w:sz="0" w:space="0" w:color="auto"/>
        <w:right w:val="none" w:sz="0" w:space="0" w:color="auto"/>
      </w:divBdr>
      <w:divsChild>
        <w:div w:id="532307165">
          <w:marLeft w:val="0"/>
          <w:marRight w:val="0"/>
          <w:marTop w:val="0"/>
          <w:marBottom w:val="0"/>
          <w:divBdr>
            <w:top w:val="none" w:sz="0" w:space="0" w:color="auto"/>
            <w:left w:val="none" w:sz="0" w:space="0" w:color="auto"/>
            <w:bottom w:val="none" w:sz="0" w:space="0" w:color="auto"/>
            <w:right w:val="none" w:sz="0" w:space="0" w:color="auto"/>
          </w:divBdr>
        </w:div>
      </w:divsChild>
    </w:div>
    <w:div w:id="614141299">
      <w:bodyDiv w:val="1"/>
      <w:marLeft w:val="225"/>
      <w:marRight w:val="225"/>
      <w:marTop w:val="0"/>
      <w:marBottom w:val="0"/>
      <w:divBdr>
        <w:top w:val="none" w:sz="0" w:space="0" w:color="auto"/>
        <w:left w:val="none" w:sz="0" w:space="0" w:color="auto"/>
        <w:bottom w:val="none" w:sz="0" w:space="0" w:color="auto"/>
        <w:right w:val="none" w:sz="0" w:space="0" w:color="auto"/>
      </w:divBdr>
      <w:divsChild>
        <w:div w:id="1737707390">
          <w:marLeft w:val="0"/>
          <w:marRight w:val="0"/>
          <w:marTop w:val="0"/>
          <w:marBottom w:val="0"/>
          <w:divBdr>
            <w:top w:val="none" w:sz="0" w:space="0" w:color="auto"/>
            <w:left w:val="none" w:sz="0" w:space="0" w:color="auto"/>
            <w:bottom w:val="none" w:sz="0" w:space="0" w:color="auto"/>
            <w:right w:val="none" w:sz="0" w:space="0" w:color="auto"/>
          </w:divBdr>
        </w:div>
      </w:divsChild>
    </w:div>
    <w:div w:id="865872396">
      <w:bodyDiv w:val="1"/>
      <w:marLeft w:val="0"/>
      <w:marRight w:val="0"/>
      <w:marTop w:val="0"/>
      <w:marBottom w:val="0"/>
      <w:divBdr>
        <w:top w:val="none" w:sz="0" w:space="0" w:color="auto"/>
        <w:left w:val="none" w:sz="0" w:space="0" w:color="auto"/>
        <w:bottom w:val="none" w:sz="0" w:space="0" w:color="auto"/>
        <w:right w:val="none" w:sz="0" w:space="0" w:color="auto"/>
      </w:divBdr>
      <w:divsChild>
        <w:div w:id="1392189190">
          <w:marLeft w:val="0"/>
          <w:marRight w:val="0"/>
          <w:marTop w:val="0"/>
          <w:marBottom w:val="0"/>
          <w:divBdr>
            <w:top w:val="none" w:sz="0" w:space="0" w:color="auto"/>
            <w:left w:val="none" w:sz="0" w:space="0" w:color="auto"/>
            <w:bottom w:val="none" w:sz="0" w:space="0" w:color="auto"/>
            <w:right w:val="none" w:sz="0" w:space="0" w:color="auto"/>
          </w:divBdr>
        </w:div>
      </w:divsChild>
    </w:div>
    <w:div w:id="1006056238">
      <w:bodyDiv w:val="1"/>
      <w:marLeft w:val="225"/>
      <w:marRight w:val="225"/>
      <w:marTop w:val="0"/>
      <w:marBottom w:val="0"/>
      <w:divBdr>
        <w:top w:val="none" w:sz="0" w:space="0" w:color="auto"/>
        <w:left w:val="none" w:sz="0" w:space="0" w:color="auto"/>
        <w:bottom w:val="none" w:sz="0" w:space="0" w:color="auto"/>
        <w:right w:val="none" w:sz="0" w:space="0" w:color="auto"/>
      </w:divBdr>
      <w:divsChild>
        <w:div w:id="672803144">
          <w:marLeft w:val="0"/>
          <w:marRight w:val="0"/>
          <w:marTop w:val="0"/>
          <w:marBottom w:val="0"/>
          <w:divBdr>
            <w:top w:val="none" w:sz="0" w:space="0" w:color="auto"/>
            <w:left w:val="none" w:sz="0" w:space="0" w:color="auto"/>
            <w:bottom w:val="none" w:sz="0" w:space="0" w:color="auto"/>
            <w:right w:val="none" w:sz="0" w:space="0" w:color="auto"/>
          </w:divBdr>
        </w:div>
      </w:divsChild>
    </w:div>
    <w:div w:id="1052535688">
      <w:bodyDiv w:val="1"/>
      <w:marLeft w:val="0"/>
      <w:marRight w:val="0"/>
      <w:marTop w:val="0"/>
      <w:marBottom w:val="0"/>
      <w:divBdr>
        <w:top w:val="none" w:sz="0" w:space="0" w:color="auto"/>
        <w:left w:val="none" w:sz="0" w:space="0" w:color="auto"/>
        <w:bottom w:val="none" w:sz="0" w:space="0" w:color="auto"/>
        <w:right w:val="none" w:sz="0" w:space="0" w:color="auto"/>
      </w:divBdr>
    </w:div>
    <w:div w:id="1094326188">
      <w:bodyDiv w:val="1"/>
      <w:marLeft w:val="208"/>
      <w:marRight w:val="208"/>
      <w:marTop w:val="0"/>
      <w:marBottom w:val="0"/>
      <w:divBdr>
        <w:top w:val="none" w:sz="0" w:space="0" w:color="auto"/>
        <w:left w:val="none" w:sz="0" w:space="0" w:color="auto"/>
        <w:bottom w:val="none" w:sz="0" w:space="0" w:color="auto"/>
        <w:right w:val="none" w:sz="0" w:space="0" w:color="auto"/>
      </w:divBdr>
      <w:divsChild>
        <w:div w:id="678242031">
          <w:marLeft w:val="0"/>
          <w:marRight w:val="0"/>
          <w:marTop w:val="0"/>
          <w:marBottom w:val="0"/>
          <w:divBdr>
            <w:top w:val="none" w:sz="0" w:space="0" w:color="auto"/>
            <w:left w:val="none" w:sz="0" w:space="0" w:color="auto"/>
            <w:bottom w:val="none" w:sz="0" w:space="0" w:color="auto"/>
            <w:right w:val="none" w:sz="0" w:space="0" w:color="auto"/>
          </w:divBdr>
        </w:div>
      </w:divsChild>
    </w:div>
    <w:div w:id="1602447008">
      <w:bodyDiv w:val="1"/>
      <w:marLeft w:val="182"/>
      <w:marRight w:val="182"/>
      <w:marTop w:val="0"/>
      <w:marBottom w:val="0"/>
      <w:divBdr>
        <w:top w:val="none" w:sz="0" w:space="0" w:color="auto"/>
        <w:left w:val="none" w:sz="0" w:space="0" w:color="auto"/>
        <w:bottom w:val="none" w:sz="0" w:space="0" w:color="auto"/>
        <w:right w:val="none" w:sz="0" w:space="0" w:color="auto"/>
      </w:divBdr>
      <w:divsChild>
        <w:div w:id="36066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8AA5-E1F1-4E4C-9EB6-A5FA9270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11633</Characters>
  <Application>Microsoft Office Word</Application>
  <DocSecurity>0</DocSecurity>
  <Lines>96</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Klo</vt:lpstr>
      <vt:lpstr>Klo</vt:lpstr>
    </vt:vector>
  </TitlesOfParts>
  <Company>SM</Company>
  <LinksUpToDate>false</LinksUpToDate>
  <CharactersWithSpaces>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2018-08-21T09:31:00Z</dcterms:created>
  <dc:creator>vipum</dc:creator>
  <cp:lastModifiedBy>Roma Andruškevičienė</cp:lastModifiedBy>
  <cp:lastPrinted>2018-08-17T07:31:00Z</cp:lastPrinted>
  <dcterms:modified xsi:type="dcterms:W3CDTF">2018-08-21T09:35:00Z</dcterms:modified>
  <cp:revision>5</cp:revision>
  <dc:title>Klo</dc:title>
</cp:coreProperties>
</file>