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CCC78" w14:textId="77777777" w:rsidR="00E47835" w:rsidRPr="000D10F8" w:rsidRDefault="00E47835" w:rsidP="00E47835">
      <w:pPr>
        <w:jc w:val="center"/>
        <w:rPr>
          <w:b/>
          <w:szCs w:val="24"/>
        </w:rPr>
      </w:pPr>
      <w:r w:rsidRPr="000D10F8">
        <w:rPr>
          <w:b/>
          <w:szCs w:val="24"/>
          <w:lang w:eastAsia="lt-LT"/>
        </w:rPr>
        <w:t>Valstybei svarbaus projekto (toliau – projektas) įgyvendinimo ataskaitos forma</w:t>
      </w:r>
    </w:p>
    <w:p w14:paraId="24DCCA19" w14:textId="77777777" w:rsidR="00E47835" w:rsidRPr="000D10F8" w:rsidRDefault="00E47835" w:rsidP="00E47835">
      <w:pPr>
        <w:rPr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47835" w:rsidRPr="000D10F8" w14:paraId="1A193052" w14:textId="77777777" w:rsidTr="004F2668">
        <w:tc>
          <w:tcPr>
            <w:tcW w:w="9629" w:type="dxa"/>
          </w:tcPr>
          <w:p w14:paraId="4541E4E4" w14:textId="77777777" w:rsidR="00E47835" w:rsidRDefault="00E47835" w:rsidP="004F2668">
            <w:pPr>
              <w:rPr>
                <w:rFonts w:ascii="Times New Roman" w:hAnsi="Times New Roman" w:cs="Times New Roman"/>
                <w:szCs w:val="24"/>
              </w:rPr>
            </w:pPr>
            <w:r w:rsidRPr="000D10F8">
              <w:rPr>
                <w:rFonts w:ascii="Times New Roman" w:hAnsi="Times New Roman" w:cs="Times New Roman"/>
                <w:b/>
                <w:szCs w:val="24"/>
              </w:rPr>
              <w:t>Projekto pavadinimas:</w:t>
            </w:r>
            <w:r w:rsidR="003C6B0A" w:rsidRPr="000D10F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C4DF9" w:rsidRPr="000D10F8">
              <w:rPr>
                <w:rFonts w:ascii="Times New Roman" w:hAnsi="Times New Roman" w:cs="Times New Roman"/>
                <w:szCs w:val="24"/>
              </w:rPr>
              <w:t>„</w:t>
            </w:r>
            <w:r w:rsidR="006379FA" w:rsidRPr="000D10F8">
              <w:rPr>
                <w:rFonts w:ascii="Times New Roman" w:hAnsi="Times New Roman" w:cs="Times New Roman"/>
                <w:szCs w:val="24"/>
              </w:rPr>
              <w:t xml:space="preserve">Nacionalinio kongresų centro ”LITEXPO“ įkūrimas“ </w:t>
            </w:r>
          </w:p>
          <w:p w14:paraId="0BF6E76E" w14:textId="77777777" w:rsidR="009917F3" w:rsidRPr="000D10F8" w:rsidRDefault="009917F3" w:rsidP="009917F3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2008 m. spalio 8 d. Vyriausybės nutarimu Nr. 994 pripažintas valsty</w:t>
            </w:r>
            <w:r w:rsidR="001E5379">
              <w:rPr>
                <w:rFonts w:ascii="Times New Roman" w:hAnsi="Times New Roman" w:cs="Times New Roman"/>
                <w:szCs w:val="24"/>
              </w:rPr>
              <w:t>bei svarbiu ekonominiu projektu</w:t>
            </w:r>
          </w:p>
        </w:tc>
      </w:tr>
      <w:tr w:rsidR="00E47835" w:rsidRPr="000D10F8" w14:paraId="0DEFC6E3" w14:textId="77777777" w:rsidTr="004F2668">
        <w:tc>
          <w:tcPr>
            <w:tcW w:w="9629" w:type="dxa"/>
          </w:tcPr>
          <w:p w14:paraId="535F6698" w14:textId="77777777" w:rsidR="00E47835" w:rsidRPr="000D10F8" w:rsidRDefault="00E47835" w:rsidP="0054437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D10F8">
              <w:rPr>
                <w:rFonts w:ascii="Times New Roman" w:hAnsi="Times New Roman" w:cs="Times New Roman"/>
                <w:b/>
                <w:szCs w:val="24"/>
              </w:rPr>
              <w:t>Atsakinga ministerija:</w:t>
            </w:r>
            <w:r w:rsidR="00544374" w:rsidRPr="000D10F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6379FA" w:rsidRPr="000D10F8">
              <w:rPr>
                <w:rFonts w:ascii="Times New Roman" w:hAnsi="Times New Roman" w:cs="Times New Roman"/>
                <w:szCs w:val="24"/>
              </w:rPr>
              <w:t>Ūkio ministerija</w:t>
            </w:r>
          </w:p>
        </w:tc>
      </w:tr>
      <w:tr w:rsidR="00E47835" w:rsidRPr="000D10F8" w14:paraId="1DEB9BE2" w14:textId="77777777" w:rsidTr="004F2668">
        <w:tc>
          <w:tcPr>
            <w:tcW w:w="9629" w:type="dxa"/>
          </w:tcPr>
          <w:p w14:paraId="42ADBAFF" w14:textId="77777777" w:rsidR="00E47835" w:rsidRPr="000D10F8" w:rsidRDefault="00E47835" w:rsidP="004F2668">
            <w:pPr>
              <w:rPr>
                <w:rFonts w:ascii="Times New Roman" w:hAnsi="Times New Roman" w:cs="Times New Roman"/>
                <w:szCs w:val="24"/>
              </w:rPr>
            </w:pPr>
            <w:r w:rsidRPr="000D10F8">
              <w:rPr>
                <w:rFonts w:ascii="Times New Roman" w:hAnsi="Times New Roman" w:cs="Times New Roman"/>
                <w:b/>
                <w:szCs w:val="24"/>
              </w:rPr>
              <w:t>Projekto vykdytojas:</w:t>
            </w:r>
            <w:r w:rsidR="006379FA" w:rsidRPr="000D10F8">
              <w:rPr>
                <w:rFonts w:ascii="Times New Roman" w:hAnsi="Times New Roman" w:cs="Times New Roman"/>
                <w:szCs w:val="24"/>
              </w:rPr>
              <w:t xml:space="preserve"> UAB Lietuvos parodų ir kongresų centras „LITEXPO“</w:t>
            </w:r>
          </w:p>
        </w:tc>
      </w:tr>
      <w:tr w:rsidR="00E47835" w:rsidRPr="000D10F8" w14:paraId="0FE141F3" w14:textId="77777777" w:rsidTr="004F2668">
        <w:tc>
          <w:tcPr>
            <w:tcW w:w="9629" w:type="dxa"/>
          </w:tcPr>
          <w:p w14:paraId="72C7FF5F" w14:textId="77777777" w:rsidR="00E47835" w:rsidRPr="000D10F8" w:rsidRDefault="00E47835" w:rsidP="004F266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D10F8">
              <w:rPr>
                <w:rFonts w:ascii="Times New Roman" w:hAnsi="Times New Roman" w:cs="Times New Roman"/>
                <w:b/>
                <w:szCs w:val="24"/>
              </w:rPr>
              <w:t>Projekto tikslas:</w:t>
            </w:r>
          </w:p>
          <w:p w14:paraId="7D9CCA48" w14:textId="77777777" w:rsidR="00DF3045" w:rsidRPr="000D10F8" w:rsidRDefault="00DF3045" w:rsidP="00DF3045">
            <w:pPr>
              <w:pStyle w:val="AAAAAAAAAAAAAAAa"/>
              <w:numPr>
                <w:ilvl w:val="0"/>
                <w:numId w:val="0"/>
              </w:numPr>
              <w:tabs>
                <w:tab w:val="num" w:pos="-3969"/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D10F8">
              <w:rPr>
                <w:rFonts w:ascii="Times New Roman" w:hAnsi="Times New Roman"/>
                <w:i/>
                <w:color w:val="auto"/>
                <w:sz w:val="24"/>
                <w:szCs w:val="24"/>
                <w:lang w:val="lt-LT"/>
              </w:rPr>
              <w:t>Pagrindinis Projekto tikslas</w:t>
            </w:r>
            <w:r w:rsidRPr="000D10F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–</w:t>
            </w:r>
            <w:r w:rsidRPr="000D10F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sukurti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Pr="000D10F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Nacionalinį kongresų centrą, kuris užtikrintų ne tik valstybinės reikšmės, bet ir tarptautinių renginių organizavimą, atitiktų tarptautinius standartus bei tiktų Europos Sąjungos, NATO ir kitų konferencijų organizavimui. </w:t>
            </w:r>
          </w:p>
          <w:p w14:paraId="327CB3EC" w14:textId="77777777" w:rsidR="00D1697C" w:rsidRDefault="00D1697C" w:rsidP="00DF3045">
            <w:pPr>
              <w:pStyle w:val="AAAAAAAAAAAAAAAa"/>
              <w:numPr>
                <w:ilvl w:val="0"/>
                <w:numId w:val="0"/>
              </w:numPr>
              <w:tabs>
                <w:tab w:val="num" w:pos="-3969"/>
                <w:tab w:val="left" w:pos="284"/>
              </w:tabs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  <w:lang w:val="lt-LT"/>
              </w:rPr>
            </w:pPr>
          </w:p>
          <w:p w14:paraId="03092638" w14:textId="2867D5AA" w:rsidR="00DF3045" w:rsidRPr="000D10F8" w:rsidRDefault="00DF3045" w:rsidP="00DF3045">
            <w:pPr>
              <w:pStyle w:val="AAAAAAAAAAAAAAAa"/>
              <w:numPr>
                <w:ilvl w:val="0"/>
                <w:numId w:val="0"/>
              </w:numPr>
              <w:tabs>
                <w:tab w:val="num" w:pos="-3969"/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0081B">
              <w:rPr>
                <w:rFonts w:ascii="Times New Roman" w:hAnsi="Times New Roman"/>
                <w:i/>
                <w:color w:val="auto"/>
                <w:sz w:val="24"/>
                <w:szCs w:val="24"/>
                <w:lang w:val="lt-LT"/>
              </w:rPr>
              <w:t>Poreikis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:</w:t>
            </w:r>
            <w:r w:rsidRPr="000D10F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2011 m. Lietuvos pirmininkavimo Europos saugumo ir bendradarbiavimo organizacijai (ESBO) ir Lietuvos pirmininkavimo Europos Sąjungai 2013 metų II pusmečio renginiai, kurių įgyvendinimui buvo iškeltas uždavinys pastatyti </w:t>
            </w:r>
            <w:r w:rsidRPr="000D10F8">
              <w:rPr>
                <w:rFonts w:ascii="Times New Roman" w:hAnsi="Times New Roman"/>
                <w:i/>
                <w:color w:val="auto"/>
                <w:sz w:val="24"/>
                <w:szCs w:val="24"/>
                <w:lang w:val="lt-LT"/>
              </w:rPr>
              <w:t>naują kongresų centrą</w:t>
            </w:r>
            <w:r w:rsidRPr="000D10F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, ir taip užtikrinti sklandų tarptautinių renginių organizavimą. </w:t>
            </w:r>
          </w:p>
          <w:p w14:paraId="110BE1C7" w14:textId="77777777" w:rsidR="00332DC1" w:rsidRPr="000D10F8" w:rsidRDefault="00332DC1" w:rsidP="0046292E">
            <w:pPr>
              <w:pStyle w:val="AAAAAAAAAAAAAAAa"/>
              <w:numPr>
                <w:ilvl w:val="0"/>
                <w:numId w:val="0"/>
              </w:numPr>
              <w:tabs>
                <w:tab w:val="num" w:pos="-3969"/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E47835" w:rsidRPr="000D10F8" w14:paraId="0CADD478" w14:textId="77777777" w:rsidTr="004F2668">
        <w:tc>
          <w:tcPr>
            <w:tcW w:w="9629" w:type="dxa"/>
          </w:tcPr>
          <w:p w14:paraId="4FABC9AA" w14:textId="77777777" w:rsidR="00E47835" w:rsidRPr="000D10F8" w:rsidRDefault="00E47835" w:rsidP="004F2668">
            <w:pPr>
              <w:rPr>
                <w:rFonts w:ascii="Times New Roman" w:hAnsi="Times New Roman" w:cs="Times New Roman"/>
                <w:szCs w:val="24"/>
              </w:rPr>
            </w:pPr>
            <w:r w:rsidRPr="000D10F8">
              <w:rPr>
                <w:rFonts w:ascii="Times New Roman" w:hAnsi="Times New Roman" w:cs="Times New Roman"/>
                <w:b/>
                <w:szCs w:val="24"/>
              </w:rPr>
              <w:t xml:space="preserve">Projekto įgyvendinimo terminai, </w:t>
            </w:r>
            <w:r w:rsidRPr="000D10F8">
              <w:rPr>
                <w:rFonts w:ascii="Times New Roman" w:hAnsi="Times New Roman" w:cs="Times New Roman"/>
                <w:szCs w:val="24"/>
              </w:rPr>
              <w:t>planiniai</w:t>
            </w:r>
            <w:r w:rsidR="00B55AA9" w:rsidRPr="000D10F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D10F8">
              <w:rPr>
                <w:rFonts w:ascii="Times New Roman" w:hAnsi="Times New Roman" w:cs="Times New Roman"/>
                <w:szCs w:val="24"/>
              </w:rPr>
              <w:t>/</w:t>
            </w:r>
            <w:r w:rsidR="00B55AA9" w:rsidRPr="000D10F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D10F8">
              <w:rPr>
                <w:rFonts w:ascii="Times New Roman" w:hAnsi="Times New Roman" w:cs="Times New Roman"/>
                <w:szCs w:val="24"/>
              </w:rPr>
              <w:t>faktiniai</w:t>
            </w:r>
            <w:r w:rsidRPr="000D10F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0D10F8">
              <w:rPr>
                <w:rFonts w:ascii="Times New Roman" w:hAnsi="Times New Roman" w:cs="Times New Roman"/>
                <w:szCs w:val="24"/>
              </w:rPr>
              <w:t>(galutinis ir, jeigu yra, etapų – nustatyti Vyriausybės nutarime dėl projekto pripažinimo valstybei svarbiu ir (ar) projekto sutartyje):</w:t>
            </w:r>
          </w:p>
          <w:p w14:paraId="0C64560E" w14:textId="77777777" w:rsidR="00532C88" w:rsidRDefault="00532C88" w:rsidP="00DF3045">
            <w:pPr>
              <w:rPr>
                <w:rFonts w:ascii="Times New Roman" w:hAnsi="Times New Roman" w:cs="Times New Roman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Cs w:val="24"/>
              </w:rPr>
              <w:t>P</w:t>
            </w:r>
            <w:r w:rsidRPr="007502B5">
              <w:rPr>
                <w:rFonts w:ascii="Times New Roman" w:hAnsi="Times New Roman" w:cs="Times New Roman"/>
                <w:szCs w:val="24"/>
              </w:rPr>
              <w:t>agal 2008 metais parengtą studiją „Nacionalinio kongresų centro „LITEXPO“ įkūrimas“</w:t>
            </w:r>
          </w:p>
          <w:p w14:paraId="0045FBA8" w14:textId="77777777" w:rsidR="00974788" w:rsidRDefault="00974788" w:rsidP="00DF3045">
            <w:pPr>
              <w:rPr>
                <w:rFonts w:ascii="Times New Roman" w:hAnsi="Times New Roman" w:cs="Times New Roman"/>
                <w:szCs w:val="24"/>
                <w:u w:val="single"/>
              </w:rPr>
            </w:pPr>
          </w:p>
          <w:p w14:paraId="17D401B9" w14:textId="77777777" w:rsidR="00880A24" w:rsidRDefault="00DF3045" w:rsidP="00DF3045">
            <w:pPr>
              <w:rPr>
                <w:rFonts w:ascii="Times New Roman" w:hAnsi="Times New Roman" w:cs="Times New Roman"/>
                <w:szCs w:val="24"/>
              </w:rPr>
            </w:pPr>
            <w:r w:rsidRPr="000D10F8">
              <w:rPr>
                <w:rFonts w:ascii="Times New Roman" w:hAnsi="Times New Roman" w:cs="Times New Roman"/>
                <w:szCs w:val="24"/>
                <w:u w:val="single"/>
              </w:rPr>
              <w:t>Planiniai terminai</w:t>
            </w:r>
            <w:r w:rsidR="00532C88">
              <w:rPr>
                <w:rFonts w:ascii="Times New Roman" w:hAnsi="Times New Roman" w:cs="Times New Roman"/>
                <w:szCs w:val="24"/>
                <w:u w:val="single"/>
              </w:rPr>
              <w:t>:</w:t>
            </w:r>
          </w:p>
          <w:p w14:paraId="3B52D7B2" w14:textId="77777777" w:rsidR="00DF3045" w:rsidRDefault="00DF3045" w:rsidP="00DF3045">
            <w:pPr>
              <w:rPr>
                <w:rFonts w:ascii="Times New Roman" w:hAnsi="Times New Roman" w:cs="Times New Roman"/>
                <w:szCs w:val="24"/>
              </w:rPr>
            </w:pPr>
            <w:r w:rsidRPr="000D10F8">
              <w:rPr>
                <w:rFonts w:ascii="Times New Roman" w:hAnsi="Times New Roman" w:cs="Times New Roman"/>
                <w:szCs w:val="24"/>
              </w:rPr>
              <w:t>200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  <w:r w:rsidRPr="000D10F8">
              <w:rPr>
                <w:rFonts w:ascii="Times New Roman" w:hAnsi="Times New Roman" w:cs="Times New Roman"/>
                <w:szCs w:val="24"/>
              </w:rPr>
              <w:t>–201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  <w:r w:rsidRPr="000D10F8">
              <w:rPr>
                <w:rFonts w:ascii="Times New Roman" w:hAnsi="Times New Roman" w:cs="Times New Roman"/>
                <w:szCs w:val="24"/>
              </w:rPr>
              <w:t xml:space="preserve"> m.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429A66D" w14:textId="77777777" w:rsidR="00DF3045" w:rsidRDefault="00DF3045" w:rsidP="00DF3045">
            <w:pPr>
              <w:rPr>
                <w:rFonts w:ascii="Times New Roman" w:hAnsi="Times New Roman" w:cs="Times New Roman"/>
                <w:szCs w:val="24"/>
                <w:u w:val="single"/>
              </w:rPr>
            </w:pPr>
          </w:p>
          <w:p w14:paraId="7CE2A30C" w14:textId="77777777" w:rsidR="00DF3045" w:rsidRPr="000D10F8" w:rsidRDefault="00DF3045" w:rsidP="00DF3045">
            <w:pPr>
              <w:rPr>
                <w:rFonts w:ascii="Times New Roman" w:hAnsi="Times New Roman" w:cs="Times New Roman"/>
                <w:szCs w:val="24"/>
                <w:u w:val="single"/>
              </w:rPr>
            </w:pPr>
            <w:r w:rsidRPr="000D10F8">
              <w:rPr>
                <w:rFonts w:ascii="Times New Roman" w:hAnsi="Times New Roman" w:cs="Times New Roman"/>
                <w:szCs w:val="24"/>
                <w:u w:val="single"/>
              </w:rPr>
              <w:t>Faktiniai terminai:</w:t>
            </w:r>
          </w:p>
          <w:p w14:paraId="1D960284" w14:textId="77777777" w:rsidR="00DF3045" w:rsidRPr="000D10F8" w:rsidRDefault="00DF3045" w:rsidP="00DF3045">
            <w:pPr>
              <w:rPr>
                <w:rFonts w:ascii="Times New Roman" w:hAnsi="Times New Roman" w:cs="Times New Roman"/>
                <w:szCs w:val="24"/>
              </w:rPr>
            </w:pPr>
            <w:r w:rsidRPr="000D10F8">
              <w:rPr>
                <w:rFonts w:ascii="Times New Roman" w:hAnsi="Times New Roman" w:cs="Times New Roman"/>
                <w:szCs w:val="24"/>
              </w:rPr>
              <w:t>I etapas 2011–2012 m.</w:t>
            </w:r>
          </w:p>
          <w:p w14:paraId="1EEB3EDF" w14:textId="77777777" w:rsidR="00DF3045" w:rsidRPr="000D10F8" w:rsidRDefault="00DF3045" w:rsidP="00DF3045">
            <w:pPr>
              <w:rPr>
                <w:rFonts w:ascii="Times New Roman" w:hAnsi="Times New Roman" w:cs="Times New Roman"/>
                <w:szCs w:val="24"/>
              </w:rPr>
            </w:pPr>
            <w:r w:rsidRPr="000D10F8">
              <w:rPr>
                <w:rFonts w:ascii="Times New Roman" w:hAnsi="Times New Roman" w:cs="Times New Roman"/>
                <w:szCs w:val="24"/>
              </w:rPr>
              <w:t>II etapas 2014–20</w:t>
            </w:r>
            <w:r w:rsidR="009E51C7">
              <w:rPr>
                <w:rFonts w:ascii="Times New Roman" w:hAnsi="Times New Roman" w:cs="Times New Roman"/>
                <w:szCs w:val="24"/>
              </w:rPr>
              <w:t>20</w:t>
            </w:r>
            <w:r w:rsidRPr="000D10F8">
              <w:rPr>
                <w:rFonts w:ascii="Times New Roman" w:hAnsi="Times New Roman" w:cs="Times New Roman"/>
                <w:szCs w:val="24"/>
              </w:rPr>
              <w:t xml:space="preserve"> m. </w:t>
            </w:r>
          </w:p>
          <w:p w14:paraId="41D7BE57" w14:textId="77777777" w:rsidR="00E47835" w:rsidRPr="000D10F8" w:rsidRDefault="002C637E" w:rsidP="003C6B0A">
            <w:pPr>
              <w:pStyle w:val="AAAAAAAAAAAAAAAa"/>
              <w:numPr>
                <w:ilvl w:val="0"/>
                <w:numId w:val="0"/>
              </w:numPr>
              <w:tabs>
                <w:tab w:val="num" w:pos="-3969"/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D10F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</w:p>
        </w:tc>
      </w:tr>
      <w:tr w:rsidR="00E47835" w:rsidRPr="000D10F8" w14:paraId="1C50827B" w14:textId="77777777" w:rsidTr="004F2668">
        <w:tc>
          <w:tcPr>
            <w:tcW w:w="9629" w:type="dxa"/>
          </w:tcPr>
          <w:p w14:paraId="03BCB04D" w14:textId="77777777" w:rsidR="00E47835" w:rsidRPr="000D10F8" w:rsidRDefault="00E47835" w:rsidP="004F2668">
            <w:pPr>
              <w:rPr>
                <w:rFonts w:ascii="Times New Roman" w:hAnsi="Times New Roman" w:cs="Times New Roman"/>
                <w:szCs w:val="24"/>
              </w:rPr>
            </w:pPr>
            <w:r w:rsidRPr="000D10F8">
              <w:rPr>
                <w:rFonts w:ascii="Times New Roman" w:hAnsi="Times New Roman" w:cs="Times New Roman"/>
                <w:b/>
                <w:szCs w:val="24"/>
              </w:rPr>
              <w:t xml:space="preserve">Projekto įgyvendinimo rezultatai ir jų rodikliai, </w:t>
            </w:r>
            <w:r w:rsidRPr="000D10F8">
              <w:rPr>
                <w:rFonts w:ascii="Times New Roman" w:hAnsi="Times New Roman" w:cs="Times New Roman"/>
                <w:szCs w:val="24"/>
              </w:rPr>
              <w:t>planiniai</w:t>
            </w:r>
            <w:r w:rsidR="00B55AA9" w:rsidRPr="000D10F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D10F8">
              <w:rPr>
                <w:rFonts w:ascii="Times New Roman" w:hAnsi="Times New Roman" w:cs="Times New Roman"/>
                <w:szCs w:val="24"/>
              </w:rPr>
              <w:t>/</w:t>
            </w:r>
            <w:r w:rsidR="00B55AA9" w:rsidRPr="000D10F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D10F8">
              <w:rPr>
                <w:rFonts w:ascii="Times New Roman" w:hAnsi="Times New Roman" w:cs="Times New Roman"/>
                <w:szCs w:val="24"/>
              </w:rPr>
              <w:t>faktiniai (galutiniai ir, jeigu yra, etapų – nustatyti Vyriausybės nutarime dėl projekto pripažinimo valstybei svarbiu ir (ar) projekto sutartyje):</w:t>
            </w:r>
          </w:p>
          <w:p w14:paraId="78C42FFE" w14:textId="77777777" w:rsidR="00FC0696" w:rsidRPr="000D10F8" w:rsidRDefault="00FC0696" w:rsidP="00FC0696">
            <w:pPr>
              <w:rPr>
                <w:rFonts w:ascii="Times New Roman" w:hAnsi="Times New Roman" w:cs="Times New Roman"/>
                <w:szCs w:val="24"/>
              </w:rPr>
            </w:pPr>
          </w:p>
          <w:p w14:paraId="1972220E" w14:textId="77777777" w:rsidR="00B92106" w:rsidRPr="000D10F8" w:rsidRDefault="00A32606" w:rsidP="00B92106">
            <w:pPr>
              <w:rPr>
                <w:rFonts w:ascii="Times New Roman" w:hAnsi="Times New Roman" w:cs="Times New Roman"/>
                <w:szCs w:val="24"/>
                <w:u w:val="single"/>
              </w:rPr>
            </w:pPr>
            <w:r w:rsidRPr="000D10F8">
              <w:rPr>
                <w:rFonts w:ascii="Times New Roman" w:hAnsi="Times New Roman" w:cs="Times New Roman"/>
                <w:szCs w:val="24"/>
                <w:u w:val="single"/>
              </w:rPr>
              <w:t>Planuoti rezultat</w:t>
            </w:r>
            <w:r w:rsidR="004730A2" w:rsidRPr="000D10F8">
              <w:rPr>
                <w:rFonts w:ascii="Times New Roman" w:hAnsi="Times New Roman" w:cs="Times New Roman"/>
                <w:szCs w:val="24"/>
                <w:u w:val="single"/>
              </w:rPr>
              <w:t>ų rodikliai</w:t>
            </w:r>
            <w:r w:rsidRPr="000D10F8">
              <w:rPr>
                <w:rFonts w:ascii="Times New Roman" w:hAnsi="Times New Roman" w:cs="Times New Roman"/>
                <w:szCs w:val="24"/>
                <w:u w:val="single"/>
              </w:rPr>
              <w:t>:</w:t>
            </w:r>
          </w:p>
          <w:p w14:paraId="4A913373" w14:textId="77777777" w:rsidR="00653570" w:rsidRPr="007502B5" w:rsidRDefault="00653570" w:rsidP="0065357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502B5">
              <w:rPr>
                <w:rFonts w:ascii="Times New Roman" w:hAnsi="Times New Roman" w:cs="Times New Roman"/>
                <w:b/>
                <w:szCs w:val="24"/>
              </w:rPr>
              <w:t>Pastatyti naują kongresų centro pastatą ir priestatą-ofisą delegacijoms aptarnauti:</w:t>
            </w:r>
          </w:p>
          <w:p w14:paraId="3F6F9DBE" w14:textId="77777777" w:rsidR="00B92106" w:rsidRPr="000D10F8" w:rsidRDefault="00B92106" w:rsidP="007502B5">
            <w:pPr>
              <w:pStyle w:val="Sraopastraipa"/>
              <w:numPr>
                <w:ilvl w:val="0"/>
                <w:numId w:val="12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3000 kv. m universalią transformuojamą kongresų salę, talpinančią 2500 dalyvių; </w:t>
            </w:r>
          </w:p>
          <w:p w14:paraId="38034922" w14:textId="77777777" w:rsidR="00B92106" w:rsidRPr="000D10F8" w:rsidRDefault="00B92106" w:rsidP="007502B5">
            <w:pPr>
              <w:pStyle w:val="Sraopastraipa"/>
              <w:numPr>
                <w:ilvl w:val="0"/>
                <w:numId w:val="12"/>
              </w:numPr>
              <w:tabs>
                <w:tab w:val="left" w:pos="315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6 derybų kambarius po 45 kv. m; </w:t>
            </w:r>
          </w:p>
          <w:p w14:paraId="71195F49" w14:textId="77777777" w:rsidR="00B92106" w:rsidRPr="000D10F8" w:rsidRDefault="00B92106" w:rsidP="007502B5">
            <w:pPr>
              <w:pStyle w:val="Sraopastraipa"/>
              <w:numPr>
                <w:ilvl w:val="0"/>
                <w:numId w:val="12"/>
              </w:numPr>
              <w:tabs>
                <w:tab w:val="left" w:pos="315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papildomas konferencijų sales, talpinančias nuo 100 iki 130 dalyvių;</w:t>
            </w:r>
          </w:p>
          <w:p w14:paraId="75696DBA" w14:textId="77777777" w:rsidR="00B92106" w:rsidRPr="000D10F8" w:rsidRDefault="00B92106" w:rsidP="007502B5">
            <w:pPr>
              <w:pStyle w:val="Sraopastraipa"/>
              <w:numPr>
                <w:ilvl w:val="0"/>
                <w:numId w:val="12"/>
              </w:numPr>
              <w:tabs>
                <w:tab w:val="left" w:pos="315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 vertėjų i</w:t>
            </w:r>
            <w:r w:rsidR="00523BC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 operatorių kabinų po 10 kv. m;</w:t>
            </w:r>
          </w:p>
          <w:p w14:paraId="68A35C4C" w14:textId="77777777" w:rsidR="00B92106" w:rsidRPr="000D10F8" w:rsidRDefault="00B92106" w:rsidP="007502B5">
            <w:pPr>
              <w:pStyle w:val="Sraopastraipa"/>
              <w:numPr>
                <w:ilvl w:val="0"/>
                <w:numId w:val="12"/>
              </w:numPr>
              <w:tabs>
                <w:tab w:val="left" w:pos="315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54-</w:t>
            </w:r>
            <w:r w:rsidR="00523BC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70 delegacijų biurų po 25 kv. m</w:t>
            </w:r>
            <w:r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</w:t>
            </w:r>
          </w:p>
          <w:p w14:paraId="5E18C6D2" w14:textId="77777777" w:rsidR="00B92106" w:rsidRPr="000D10F8" w:rsidRDefault="00B92106" w:rsidP="007502B5">
            <w:pPr>
              <w:pStyle w:val="Sraopastraipa"/>
              <w:numPr>
                <w:ilvl w:val="0"/>
                <w:numId w:val="12"/>
              </w:numPr>
              <w:tabs>
                <w:tab w:val="left" w:pos="315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požeminę 130 vietų</w:t>
            </w:r>
            <w:r w:rsidR="00523BC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automobilių stovėjimo aikštelę</w:t>
            </w:r>
            <w:r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  <w:p w14:paraId="77903FC0" w14:textId="77777777" w:rsidR="00E47835" w:rsidRPr="000D10F8" w:rsidRDefault="00653570" w:rsidP="004F2668">
            <w:pPr>
              <w:rPr>
                <w:rFonts w:ascii="Times New Roman" w:hAnsi="Times New Roman" w:cs="Times New Roman"/>
                <w:szCs w:val="24"/>
                <w:u w:val="single"/>
              </w:rPr>
            </w:pPr>
            <w:r w:rsidRPr="000D10F8">
              <w:rPr>
                <w:rFonts w:ascii="Times New Roman" w:hAnsi="Times New Roman" w:cs="Times New Roman"/>
                <w:szCs w:val="24"/>
                <w:u w:val="single"/>
              </w:rPr>
              <w:t>Faktiniai</w:t>
            </w:r>
            <w:r w:rsidR="004730A2" w:rsidRPr="000D10F8">
              <w:rPr>
                <w:rFonts w:ascii="Times New Roman" w:hAnsi="Times New Roman" w:cs="Times New Roman"/>
                <w:szCs w:val="24"/>
                <w:u w:val="single"/>
              </w:rPr>
              <w:t xml:space="preserve"> rezultatų rodikliai</w:t>
            </w:r>
            <w:r w:rsidR="00A32606" w:rsidRPr="000D10F8">
              <w:rPr>
                <w:rFonts w:ascii="Times New Roman" w:hAnsi="Times New Roman" w:cs="Times New Roman"/>
                <w:szCs w:val="24"/>
                <w:u w:val="single"/>
              </w:rPr>
              <w:t xml:space="preserve"> </w:t>
            </w:r>
            <w:r w:rsidR="002B7AED" w:rsidRPr="000D10F8">
              <w:rPr>
                <w:rFonts w:ascii="Times New Roman" w:hAnsi="Times New Roman" w:cs="Times New Roman"/>
                <w:szCs w:val="24"/>
                <w:u w:val="single"/>
              </w:rPr>
              <w:t>(</w:t>
            </w:r>
            <w:r w:rsidR="00A32606" w:rsidRPr="000D10F8">
              <w:rPr>
                <w:rFonts w:ascii="Times New Roman" w:hAnsi="Times New Roman" w:cs="Times New Roman"/>
                <w:szCs w:val="24"/>
                <w:u w:val="single"/>
              </w:rPr>
              <w:t>po pakeitimų</w:t>
            </w:r>
            <w:r w:rsidR="002B7AED" w:rsidRPr="000D10F8">
              <w:rPr>
                <w:rFonts w:ascii="Times New Roman" w:hAnsi="Times New Roman" w:cs="Times New Roman"/>
                <w:szCs w:val="24"/>
                <w:u w:val="single"/>
              </w:rPr>
              <w:t>)</w:t>
            </w:r>
            <w:r w:rsidRPr="000D10F8">
              <w:rPr>
                <w:rFonts w:ascii="Times New Roman" w:hAnsi="Times New Roman" w:cs="Times New Roman"/>
                <w:szCs w:val="24"/>
                <w:u w:val="single"/>
              </w:rPr>
              <w:t>:</w:t>
            </w:r>
          </w:p>
          <w:p w14:paraId="73EAA44E" w14:textId="77777777" w:rsidR="00653570" w:rsidRPr="000D10F8" w:rsidRDefault="00653570" w:rsidP="00653570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502B5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Rekonstruoti pirmieji </w:t>
            </w:r>
            <w:r w:rsidR="00A1209C" w:rsidRPr="007502B5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(Centriniai) </w:t>
            </w:r>
            <w:r w:rsidRPr="007502B5">
              <w:rPr>
                <w:rFonts w:ascii="Times New Roman" w:eastAsia="Times New Roman" w:hAnsi="Times New Roman" w:cs="Times New Roman"/>
                <w:b/>
                <w:szCs w:val="24"/>
              </w:rPr>
              <w:t>Litexpo rūmai</w:t>
            </w:r>
            <w:r w:rsidR="00DE4C81" w:rsidRPr="007502B5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DE4C81" w:rsidRPr="000D10F8">
              <w:rPr>
                <w:rFonts w:ascii="Times New Roman" w:eastAsia="Times New Roman" w:hAnsi="Times New Roman" w:cs="Times New Roman"/>
                <w:szCs w:val="24"/>
              </w:rPr>
              <w:t>(</w:t>
            </w:r>
            <w:r w:rsidR="00974788">
              <w:rPr>
                <w:rFonts w:ascii="Times New Roman" w:eastAsia="Times New Roman" w:hAnsi="Times New Roman" w:cs="Times New Roman"/>
                <w:szCs w:val="24"/>
              </w:rPr>
              <w:t>dėl</w:t>
            </w:r>
            <w:r w:rsidR="009F3536">
              <w:rPr>
                <w:rFonts w:ascii="Times New Roman" w:eastAsia="Times New Roman" w:hAnsi="Times New Roman" w:cs="Times New Roman"/>
                <w:szCs w:val="24"/>
              </w:rPr>
              <w:t xml:space="preserve"> ekonominės krizės ir</w:t>
            </w:r>
            <w:r w:rsidR="00974788">
              <w:t xml:space="preserve"> </w:t>
            </w:r>
            <w:r w:rsidR="00974788" w:rsidRPr="00974788">
              <w:rPr>
                <w:rFonts w:ascii="Times New Roman" w:eastAsia="Times New Roman" w:hAnsi="Times New Roman" w:cs="Times New Roman"/>
                <w:szCs w:val="24"/>
              </w:rPr>
              <w:t>nepakankam</w:t>
            </w:r>
            <w:r w:rsidR="005322E3">
              <w:rPr>
                <w:rFonts w:ascii="Times New Roman" w:eastAsia="Times New Roman" w:hAnsi="Times New Roman" w:cs="Times New Roman"/>
                <w:szCs w:val="24"/>
              </w:rPr>
              <w:t>ų</w:t>
            </w:r>
            <w:r w:rsidR="00974788" w:rsidRPr="00974788">
              <w:rPr>
                <w:rFonts w:ascii="Times New Roman" w:eastAsia="Times New Roman" w:hAnsi="Times New Roman" w:cs="Times New Roman"/>
                <w:szCs w:val="24"/>
              </w:rPr>
              <w:t xml:space="preserve"> VIP lėš</w:t>
            </w:r>
            <w:r w:rsidR="005322E3">
              <w:rPr>
                <w:rFonts w:ascii="Times New Roman" w:eastAsia="Times New Roman" w:hAnsi="Times New Roman" w:cs="Times New Roman"/>
                <w:szCs w:val="24"/>
              </w:rPr>
              <w:t>ų</w:t>
            </w:r>
            <w:r w:rsidR="00974788" w:rsidRPr="00974788">
              <w:rPr>
                <w:rFonts w:ascii="Times New Roman" w:eastAsia="Times New Roman" w:hAnsi="Times New Roman" w:cs="Times New Roman"/>
                <w:szCs w:val="24"/>
              </w:rPr>
              <w:t xml:space="preserve"> Projekto įgyvendinimui</w:t>
            </w:r>
            <w:r w:rsidR="0097478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DE4C81" w:rsidRPr="000D10F8">
              <w:rPr>
                <w:rFonts w:ascii="Times New Roman" w:hAnsi="Times New Roman" w:cs="Times New Roman"/>
                <w:szCs w:val="24"/>
              </w:rPr>
              <w:t>atsisakyta statyti naująjį Kongresų centro pastatą</w:t>
            </w:r>
            <w:r w:rsidR="005322E3">
              <w:rPr>
                <w:rFonts w:ascii="Times New Roman" w:hAnsi="Times New Roman" w:cs="Times New Roman"/>
                <w:szCs w:val="24"/>
              </w:rPr>
              <w:t xml:space="preserve"> ir </w:t>
            </w:r>
            <w:r w:rsidR="00DE4C81" w:rsidRPr="000D10F8">
              <w:rPr>
                <w:rFonts w:ascii="Times New Roman" w:hAnsi="Times New Roman" w:cs="Times New Roman"/>
                <w:szCs w:val="24"/>
              </w:rPr>
              <w:t>nutarta Projektą įgyvendinti rekonstruojant esamą LITEXPO infrastruktūrą, taip pritaikant ją numatomiems renginiams organizuoti)</w:t>
            </w:r>
            <w:r w:rsidRPr="000D10F8">
              <w:rPr>
                <w:rFonts w:ascii="Times New Roman" w:eastAsia="Times New Roman" w:hAnsi="Times New Roman" w:cs="Times New Roman"/>
                <w:szCs w:val="24"/>
              </w:rPr>
              <w:t>:</w:t>
            </w:r>
          </w:p>
          <w:p w14:paraId="0BAE3269" w14:textId="77777777" w:rsidR="006D4C14" w:rsidRPr="000D10F8" w:rsidRDefault="00653570" w:rsidP="003F3B29">
            <w:pPr>
              <w:pStyle w:val="Sraopastraipa"/>
              <w:tabs>
                <w:tab w:val="left" w:pos="178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D10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iki 2013 m</w:t>
            </w:r>
            <w:r w:rsidR="00A32606" w:rsidRPr="000D10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.</w:t>
            </w:r>
            <w:r w:rsidR="00F12D97" w:rsidRPr="000D10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 ES pirmininkavimo renginių:</w:t>
            </w:r>
          </w:p>
          <w:p w14:paraId="34D0932D" w14:textId="77777777" w:rsidR="00C902BF" w:rsidRDefault="00C902BF" w:rsidP="007502B5">
            <w:pPr>
              <w:pStyle w:val="Sraopastraipa"/>
              <w:numPr>
                <w:ilvl w:val="0"/>
                <w:numId w:val="13"/>
              </w:numPr>
              <w:tabs>
                <w:tab w:val="left" w:pos="1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rekonstruotas 4 paviljonas;</w:t>
            </w:r>
          </w:p>
          <w:p w14:paraId="40AB058E" w14:textId="77777777" w:rsidR="00C902BF" w:rsidRDefault="00653570" w:rsidP="007502B5">
            <w:pPr>
              <w:pStyle w:val="Sraopastraipa"/>
              <w:numPr>
                <w:ilvl w:val="0"/>
                <w:numId w:val="13"/>
              </w:numPr>
              <w:tabs>
                <w:tab w:val="left" w:pos="1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D10F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įrengtos 3 atskiros akustinės konferencijų salės</w:t>
            </w:r>
            <w:r w:rsidR="00C902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;</w:t>
            </w:r>
            <w:r w:rsidR="003F3B29" w:rsidRPr="000D10F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D10F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7C00FB1D" w14:textId="77777777" w:rsidR="00C902BF" w:rsidRDefault="00653570" w:rsidP="007502B5">
            <w:pPr>
              <w:pStyle w:val="Sraopastraipa"/>
              <w:numPr>
                <w:ilvl w:val="0"/>
                <w:numId w:val="13"/>
              </w:numPr>
              <w:tabs>
                <w:tab w:val="left" w:pos="1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D10F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įsigyta (atnaujinta)</w:t>
            </w:r>
            <w:r w:rsidR="00C902B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konferencijų įranga ir baldai;</w:t>
            </w:r>
          </w:p>
          <w:p w14:paraId="4CAE8244" w14:textId="77777777" w:rsidR="00653570" w:rsidRPr="000D10F8" w:rsidRDefault="00C902BF" w:rsidP="007502B5">
            <w:pPr>
              <w:pStyle w:val="Sraopastraipa"/>
              <w:numPr>
                <w:ilvl w:val="0"/>
                <w:numId w:val="13"/>
              </w:numPr>
              <w:tabs>
                <w:tab w:val="left" w:pos="1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įsigytos mobilios </w:t>
            </w:r>
            <w:r w:rsidR="00653570" w:rsidRPr="000D10F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vertėjų kabinos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konferencijų salėse įdiegta skaitmeninė sinchroninio vertimo įranga.</w:t>
            </w:r>
          </w:p>
          <w:p w14:paraId="5DC858EC" w14:textId="77777777" w:rsidR="005322E3" w:rsidRDefault="005322E3" w:rsidP="00A32606">
            <w:pPr>
              <w:pStyle w:val="Sraopastraipa"/>
              <w:tabs>
                <w:tab w:val="left" w:pos="178"/>
              </w:tabs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A0836FD" w14:textId="77777777" w:rsidR="00A32606" w:rsidRPr="000D10F8" w:rsidRDefault="00A32606" w:rsidP="00A32606">
            <w:pPr>
              <w:pStyle w:val="Sraopastraipa"/>
              <w:tabs>
                <w:tab w:val="left" w:pos="178"/>
              </w:tabs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D10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2017 m.: </w:t>
            </w:r>
          </w:p>
          <w:p w14:paraId="58327F45" w14:textId="77777777" w:rsidR="003F07C5" w:rsidRDefault="003F07C5" w:rsidP="007502B5">
            <w:pPr>
              <w:pStyle w:val="Sraopastraipa"/>
              <w:numPr>
                <w:ilvl w:val="0"/>
                <w:numId w:val="14"/>
              </w:numPr>
              <w:tabs>
                <w:tab w:val="left" w:pos="1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baigti rekonstruoti Centriniai rūmai;</w:t>
            </w:r>
          </w:p>
          <w:p w14:paraId="24496178" w14:textId="77777777" w:rsidR="00A32606" w:rsidRPr="000D10F8" w:rsidRDefault="00A32606" w:rsidP="007502B5">
            <w:pPr>
              <w:pStyle w:val="Sraopastraipa"/>
              <w:numPr>
                <w:ilvl w:val="0"/>
                <w:numId w:val="14"/>
              </w:numPr>
              <w:tabs>
                <w:tab w:val="left" w:pos="1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D10F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įrengta universali transformuojama kongresų salė</w:t>
            </w:r>
            <w:r w:rsidR="00523BC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talpinanti 2500 dalyvių</w:t>
            </w:r>
            <w:r w:rsidRPr="000D10F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; </w:t>
            </w:r>
          </w:p>
          <w:p w14:paraId="2E2D058C" w14:textId="77777777" w:rsidR="00A32606" w:rsidRPr="000D10F8" w:rsidRDefault="00A32606" w:rsidP="007502B5">
            <w:pPr>
              <w:pStyle w:val="Sraopastraipa"/>
              <w:numPr>
                <w:ilvl w:val="0"/>
                <w:numId w:val="14"/>
              </w:numPr>
              <w:tabs>
                <w:tab w:val="left" w:pos="1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D10F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įrengtos 5 naujos transformuojamos konferencijų salės;</w:t>
            </w:r>
          </w:p>
          <w:p w14:paraId="103A943E" w14:textId="77777777" w:rsidR="00F12D97" w:rsidRPr="000D10F8" w:rsidRDefault="00A32606" w:rsidP="007502B5">
            <w:pPr>
              <w:pStyle w:val="Sraopastraipa"/>
              <w:numPr>
                <w:ilvl w:val="0"/>
                <w:numId w:val="14"/>
              </w:numPr>
              <w:tabs>
                <w:tab w:val="left" w:pos="1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D10F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rekonstruotas pirmųjų rūmų ofisas (įrengti </w:t>
            </w:r>
            <w:r w:rsidR="003F07C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biurai ir </w:t>
            </w:r>
            <w:r w:rsidRPr="000D10F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derybų kambariai)</w:t>
            </w:r>
            <w:r w:rsidR="00F12D97" w:rsidRPr="000D10F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3255D3D5" w14:textId="77777777" w:rsidR="00A32606" w:rsidRPr="000D10F8" w:rsidRDefault="00A32606" w:rsidP="007502B5">
            <w:pPr>
              <w:pStyle w:val="Sraopastraipa"/>
              <w:numPr>
                <w:ilvl w:val="0"/>
                <w:numId w:val="14"/>
              </w:numPr>
              <w:tabs>
                <w:tab w:val="left" w:pos="1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D10F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įsigyta ir sumontuota nauja konferencinė bei </w:t>
            </w:r>
            <w:proofErr w:type="spellStart"/>
            <w:r w:rsidRPr="000D10F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audio</w:t>
            </w:r>
            <w:proofErr w:type="spellEnd"/>
            <w:r w:rsidRPr="000D10F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įranga.</w:t>
            </w:r>
          </w:p>
          <w:p w14:paraId="21AC6CE5" w14:textId="77777777" w:rsidR="00F12D97" w:rsidRPr="000D10F8" w:rsidRDefault="00F12D97" w:rsidP="00A32606">
            <w:pPr>
              <w:pStyle w:val="Sraopastraipa"/>
              <w:tabs>
                <w:tab w:val="left" w:pos="178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6EDA50D9" w14:textId="29411C48" w:rsidR="00653570" w:rsidRDefault="00653570" w:rsidP="00FD79D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0D10F8">
              <w:rPr>
                <w:rFonts w:ascii="Times New Roman" w:eastAsia="Times New Roman" w:hAnsi="Times New Roman" w:cs="Times New Roman"/>
                <w:b/>
                <w:szCs w:val="24"/>
              </w:rPr>
              <w:t>2018</w:t>
            </w:r>
            <w:r w:rsidR="00A32606" w:rsidRPr="000D10F8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0D10F8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m. </w:t>
            </w:r>
            <w:r w:rsidRPr="000D10F8">
              <w:rPr>
                <w:rFonts w:ascii="Times New Roman" w:eastAsia="Times New Roman" w:hAnsi="Times New Roman" w:cs="Times New Roman"/>
                <w:szCs w:val="24"/>
              </w:rPr>
              <w:t xml:space="preserve">įrengta 530 automobilių </w:t>
            </w:r>
            <w:r w:rsidR="00880A24">
              <w:rPr>
                <w:rFonts w:ascii="Times New Roman" w:eastAsia="Times New Roman" w:hAnsi="Times New Roman" w:cs="Times New Roman"/>
                <w:szCs w:val="24"/>
              </w:rPr>
              <w:t>parkavimo vietų</w:t>
            </w:r>
            <w:r w:rsidR="00294E59">
              <w:rPr>
                <w:rFonts w:ascii="Times New Roman" w:eastAsia="Times New Roman" w:hAnsi="Times New Roman" w:cs="Times New Roman"/>
                <w:szCs w:val="24"/>
              </w:rPr>
              <w:t xml:space="preserve"> 1,6 ha sklype</w:t>
            </w:r>
            <w:r w:rsidR="002B7AED" w:rsidRPr="000D10F8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  <w:p w14:paraId="41E6CC2D" w14:textId="77777777" w:rsidR="00D1697C" w:rsidRPr="000D10F8" w:rsidRDefault="00D1697C" w:rsidP="00FD79D1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4D9BE60C" w14:textId="155BBD48" w:rsidR="000529CE" w:rsidRDefault="009F3536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 xml:space="preserve">Iki </w:t>
            </w:r>
            <w:r w:rsidRPr="000D10F8">
              <w:rPr>
                <w:rFonts w:ascii="Times New Roman" w:eastAsia="Times New Roman" w:hAnsi="Times New Roman" w:cs="Times New Roman"/>
                <w:b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 xml:space="preserve">20 </w:t>
            </w:r>
            <w:r w:rsidR="002B7AED" w:rsidRPr="000D10F8">
              <w:rPr>
                <w:rFonts w:ascii="Times New Roman" w:eastAsia="Times New Roman" w:hAnsi="Times New Roman" w:cs="Times New Roman"/>
                <w:b/>
                <w:szCs w:val="24"/>
              </w:rPr>
              <w:t>m. planuojama</w:t>
            </w:r>
            <w:r w:rsidR="002B7AED" w:rsidRPr="000D10F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</w:rPr>
              <w:t>įrengti</w:t>
            </w:r>
            <w:r w:rsidRPr="000D10F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2B7AED" w:rsidRPr="000D10F8">
              <w:rPr>
                <w:rFonts w:ascii="Times New Roman" w:eastAsia="Times New Roman" w:hAnsi="Times New Roman" w:cs="Times New Roman"/>
                <w:szCs w:val="24"/>
              </w:rPr>
              <w:t xml:space="preserve">1,9 ha </w:t>
            </w:r>
            <w:r w:rsidRPr="000D10F8">
              <w:rPr>
                <w:rFonts w:ascii="Times New Roman" w:eastAsia="Times New Roman" w:hAnsi="Times New Roman" w:cs="Times New Roman"/>
                <w:szCs w:val="24"/>
              </w:rPr>
              <w:t>sklyp</w:t>
            </w:r>
            <w:r>
              <w:rPr>
                <w:rFonts w:ascii="Times New Roman" w:eastAsia="Times New Roman" w:hAnsi="Times New Roman" w:cs="Times New Roman"/>
                <w:szCs w:val="24"/>
              </w:rPr>
              <w:t>e</w:t>
            </w:r>
            <w:r w:rsidRPr="000D10F8">
              <w:rPr>
                <w:rFonts w:ascii="Times New Roman" w:eastAsia="Times New Roman" w:hAnsi="Times New Roman" w:cs="Times New Roman"/>
                <w:szCs w:val="24"/>
              </w:rPr>
              <w:t xml:space="preserve"> papildom</w:t>
            </w:r>
            <w:r>
              <w:rPr>
                <w:rFonts w:ascii="Times New Roman" w:eastAsia="Times New Roman" w:hAnsi="Times New Roman" w:cs="Times New Roman"/>
                <w:szCs w:val="24"/>
              </w:rPr>
              <w:t>a</w:t>
            </w:r>
            <w:r w:rsidRPr="000D10F8">
              <w:rPr>
                <w:rFonts w:ascii="Times New Roman" w:eastAsia="Times New Roman" w:hAnsi="Times New Roman" w:cs="Times New Roman"/>
                <w:szCs w:val="24"/>
              </w:rPr>
              <w:t xml:space="preserve">s </w:t>
            </w:r>
            <w:r w:rsidR="00A5413B" w:rsidRPr="000D10F8">
              <w:rPr>
                <w:rFonts w:ascii="Times New Roman" w:eastAsia="Times New Roman" w:hAnsi="Times New Roman" w:cs="Times New Roman"/>
                <w:szCs w:val="24"/>
              </w:rPr>
              <w:t xml:space="preserve">600 parkavimo </w:t>
            </w:r>
            <w:r w:rsidRPr="000D10F8">
              <w:rPr>
                <w:rFonts w:ascii="Times New Roman" w:eastAsia="Times New Roman" w:hAnsi="Times New Roman" w:cs="Times New Roman"/>
                <w:szCs w:val="24"/>
              </w:rPr>
              <w:t>viet</w:t>
            </w:r>
            <w:r w:rsidR="00D1697C">
              <w:rPr>
                <w:rFonts w:ascii="Times New Roman" w:eastAsia="Times New Roman" w:hAnsi="Times New Roman" w:cs="Times New Roman"/>
                <w:szCs w:val="24"/>
              </w:rPr>
              <w:t>ų</w:t>
            </w:r>
            <w:r w:rsidR="00A5413B" w:rsidRPr="000D10F8">
              <w:rPr>
                <w:rFonts w:ascii="Times New Roman" w:eastAsia="Times New Roman" w:hAnsi="Times New Roman" w:cs="Times New Roman"/>
                <w:szCs w:val="24"/>
              </w:rPr>
              <w:t>.</w:t>
            </w:r>
            <w:r w:rsidR="009E51C7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14:paraId="22EDEAAC" w14:textId="701415F9" w:rsidR="00D1697C" w:rsidRPr="000D10F8" w:rsidRDefault="00D1697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E47835" w:rsidRPr="000D10F8" w14:paraId="59DD0921" w14:textId="77777777" w:rsidTr="004F2668">
        <w:tc>
          <w:tcPr>
            <w:tcW w:w="9629" w:type="dxa"/>
          </w:tcPr>
          <w:p w14:paraId="57AA72C9" w14:textId="77777777" w:rsidR="00E47835" w:rsidRPr="000D10F8" w:rsidRDefault="00E47835" w:rsidP="004F266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D10F8"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Projekto investicijų vertė, </w:t>
            </w:r>
            <w:r w:rsidRPr="000D10F8">
              <w:rPr>
                <w:rFonts w:ascii="Times New Roman" w:hAnsi="Times New Roman" w:cs="Times New Roman"/>
                <w:szCs w:val="24"/>
              </w:rPr>
              <w:t>planinė</w:t>
            </w:r>
            <w:r w:rsidR="00086EBB" w:rsidRPr="000D10F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D10F8">
              <w:rPr>
                <w:rFonts w:ascii="Times New Roman" w:hAnsi="Times New Roman" w:cs="Times New Roman"/>
                <w:szCs w:val="24"/>
              </w:rPr>
              <w:t>/</w:t>
            </w:r>
            <w:r w:rsidR="00086EBB" w:rsidRPr="000D10F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D10F8">
              <w:rPr>
                <w:rFonts w:ascii="Times New Roman" w:hAnsi="Times New Roman" w:cs="Times New Roman"/>
                <w:szCs w:val="24"/>
              </w:rPr>
              <w:t>faktinė</w:t>
            </w:r>
            <w:r w:rsidRPr="000D10F8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  <w:p w14:paraId="41027B83" w14:textId="77777777" w:rsidR="00DB2657" w:rsidRPr="000D10F8" w:rsidRDefault="00DB2657" w:rsidP="003C6B0A">
            <w:pPr>
              <w:rPr>
                <w:rFonts w:ascii="Times New Roman" w:hAnsi="Times New Roman" w:cs="Times New Roman"/>
                <w:szCs w:val="24"/>
              </w:rPr>
            </w:pPr>
          </w:p>
          <w:p w14:paraId="1749190C" w14:textId="77777777" w:rsidR="00195055" w:rsidRPr="000D10F8" w:rsidRDefault="00DB2657" w:rsidP="003C6B0A">
            <w:pPr>
              <w:rPr>
                <w:rFonts w:ascii="Times New Roman" w:hAnsi="Times New Roman" w:cs="Times New Roman"/>
                <w:szCs w:val="24"/>
                <w:u w:val="single"/>
              </w:rPr>
            </w:pPr>
            <w:r w:rsidRPr="000D10F8">
              <w:rPr>
                <w:rFonts w:ascii="Times New Roman" w:hAnsi="Times New Roman" w:cs="Times New Roman"/>
                <w:b/>
                <w:szCs w:val="24"/>
                <w:u w:val="single"/>
              </w:rPr>
              <w:t>Planin</w:t>
            </w:r>
            <w:r w:rsidR="00A5413B" w:rsidRPr="000D10F8">
              <w:rPr>
                <w:rFonts w:ascii="Times New Roman" w:hAnsi="Times New Roman" w:cs="Times New Roman"/>
                <w:b/>
                <w:szCs w:val="24"/>
                <w:u w:val="single"/>
              </w:rPr>
              <w:t>ė</w:t>
            </w:r>
            <w:r w:rsidR="00A5413B" w:rsidRPr="000D10F8">
              <w:rPr>
                <w:rFonts w:ascii="Times New Roman" w:hAnsi="Times New Roman" w:cs="Times New Roman"/>
                <w:szCs w:val="24"/>
                <w:u w:val="single"/>
              </w:rPr>
              <w:t xml:space="preserve"> Projekto investicijų vertė bei finansavimo šaltiniai</w:t>
            </w:r>
            <w:r w:rsidR="00195055" w:rsidRPr="000D10F8">
              <w:rPr>
                <w:rFonts w:ascii="Times New Roman" w:hAnsi="Times New Roman" w:cs="Times New Roman"/>
                <w:szCs w:val="24"/>
                <w:u w:val="single"/>
              </w:rPr>
              <w:t>:</w:t>
            </w:r>
          </w:p>
          <w:p w14:paraId="6A52ADA2" w14:textId="77777777" w:rsidR="00DB2657" w:rsidRPr="000D10F8" w:rsidRDefault="00195055" w:rsidP="00A5413B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projekto vertė su PVM – </w:t>
            </w:r>
            <w:r w:rsidR="002C637E"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</w:t>
            </w:r>
            <w:r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mln. </w:t>
            </w:r>
            <w:proofErr w:type="spellStart"/>
            <w:r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</w:p>
          <w:p w14:paraId="00DC1C9D" w14:textId="77777777" w:rsidR="00195055" w:rsidRPr="000D10F8" w:rsidRDefault="00195055" w:rsidP="00A5413B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finansavimo šaltiniai – 5,</w:t>
            </w:r>
            <w:r w:rsidR="002C637E"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mln. </w:t>
            </w:r>
            <w:proofErr w:type="spellStart"/>
            <w:r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</w:t>
            </w:r>
            <w:r w:rsidR="002C637E"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alstybės investicijų programos lėšos </w:t>
            </w:r>
            <w:r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2,</w:t>
            </w:r>
            <w:r w:rsidR="002C637E"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  <w:r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mln. </w:t>
            </w:r>
            <w:proofErr w:type="spellStart"/>
            <w:r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ES S</w:t>
            </w:r>
            <w:r w:rsidR="002C637E"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truktūrinių fondų lėšos</w:t>
            </w:r>
            <w:r w:rsidR="00BC4922"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- </w:t>
            </w:r>
            <w:r w:rsidR="002C637E"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6,4 mln. </w:t>
            </w:r>
            <w:proofErr w:type="spellStart"/>
            <w:r w:rsidR="002C637E"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Litexpo lėšos </w:t>
            </w:r>
          </w:p>
          <w:p w14:paraId="174250B6" w14:textId="77777777" w:rsidR="003C6B0A" w:rsidRPr="000D10F8" w:rsidRDefault="003C6B0A" w:rsidP="003C6B0A">
            <w:pPr>
              <w:rPr>
                <w:rFonts w:ascii="Times New Roman" w:hAnsi="Times New Roman" w:cs="Times New Roman"/>
                <w:szCs w:val="24"/>
              </w:rPr>
            </w:pPr>
          </w:p>
          <w:p w14:paraId="661F06E5" w14:textId="77777777" w:rsidR="00DB2657" w:rsidRPr="000D10F8" w:rsidRDefault="00DB2657" w:rsidP="003C6B0A">
            <w:pPr>
              <w:rPr>
                <w:rFonts w:ascii="Times New Roman" w:hAnsi="Times New Roman" w:cs="Times New Roman"/>
                <w:szCs w:val="24"/>
                <w:u w:val="single"/>
              </w:rPr>
            </w:pPr>
            <w:r w:rsidRPr="000D10F8">
              <w:rPr>
                <w:rFonts w:ascii="Times New Roman" w:hAnsi="Times New Roman" w:cs="Times New Roman"/>
                <w:b/>
                <w:szCs w:val="24"/>
                <w:u w:val="single"/>
              </w:rPr>
              <w:t>Faktin</w:t>
            </w:r>
            <w:r w:rsidR="00A5413B" w:rsidRPr="000D10F8">
              <w:rPr>
                <w:rFonts w:ascii="Times New Roman" w:hAnsi="Times New Roman" w:cs="Times New Roman"/>
                <w:b/>
                <w:szCs w:val="24"/>
                <w:u w:val="single"/>
              </w:rPr>
              <w:t>ė</w:t>
            </w:r>
            <w:r w:rsidR="00A5413B" w:rsidRPr="000D10F8">
              <w:rPr>
                <w:rFonts w:ascii="Times New Roman" w:hAnsi="Times New Roman" w:cs="Times New Roman"/>
                <w:szCs w:val="24"/>
                <w:u w:val="single"/>
              </w:rPr>
              <w:t xml:space="preserve"> Projekto investicijų vertė bei finansavimo šaltiniai</w:t>
            </w:r>
            <w:r w:rsidR="00EE1272" w:rsidRPr="000D10F8">
              <w:rPr>
                <w:rFonts w:ascii="Times New Roman" w:hAnsi="Times New Roman" w:cs="Times New Roman"/>
                <w:szCs w:val="24"/>
                <w:u w:val="single"/>
              </w:rPr>
              <w:t>:</w:t>
            </w:r>
          </w:p>
          <w:p w14:paraId="4F586E0C" w14:textId="77777777" w:rsidR="00EE1272" w:rsidRPr="000D10F8" w:rsidRDefault="00EE1272" w:rsidP="00A5413B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projekto vertė su PVM </w:t>
            </w:r>
            <w:r w:rsidR="004F7D01"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 w:rsidR="00FB7BB0"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F7D01"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14 mln. </w:t>
            </w:r>
            <w:proofErr w:type="spellStart"/>
            <w:r w:rsidR="004F7D01"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</w:p>
          <w:p w14:paraId="0E82A545" w14:textId="77777777" w:rsidR="002C637E" w:rsidRPr="000D10F8" w:rsidRDefault="0090758A" w:rsidP="00A5413B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finansavimo šaltiniai – </w:t>
            </w:r>
            <w:r w:rsidR="004F7D01"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0,7 </w:t>
            </w:r>
            <w:r w:rsidR="003B3C6E"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mln. </w:t>
            </w:r>
            <w:proofErr w:type="spellStart"/>
            <w:r w:rsidR="003B3C6E"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 w:rsidR="003B3C6E"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valstybės lėšos, padidintas įstatinis kapitalas; </w:t>
            </w:r>
            <w:r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0,</w:t>
            </w:r>
            <w:r w:rsidR="004F7D01"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mln. </w:t>
            </w:r>
            <w:proofErr w:type="spellStart"/>
            <w:r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 w:rsidR="00CF3AED"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ES SF lėšos,</w:t>
            </w:r>
            <w:r w:rsidR="003B3C6E"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F7D01"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12 mln. </w:t>
            </w:r>
            <w:proofErr w:type="spellStart"/>
            <w:r w:rsidR="004F7D01"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 w:rsidR="004F7D01"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3B3C6E"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nuosavos </w:t>
            </w:r>
            <w:r w:rsidR="004F7D01"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ir skolintos </w:t>
            </w:r>
            <w:r w:rsidR="003B3C6E"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Litexpo lėšos</w:t>
            </w:r>
          </w:p>
          <w:p w14:paraId="450AF28D" w14:textId="77777777" w:rsidR="00E47835" w:rsidRPr="000D10F8" w:rsidRDefault="002C637E" w:rsidP="00A5413B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projekto </w:t>
            </w:r>
            <w:r w:rsidR="003B3C6E"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90758A"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užbaigimui – 1,9 ha aikštelių asfaltavimui </w:t>
            </w:r>
            <w:r w:rsidR="005933EA"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(papildomos 600 parkavimo vietų) </w:t>
            </w:r>
            <w:r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planuoja skirti dar 1 mln. </w:t>
            </w:r>
            <w:proofErr w:type="spellStart"/>
            <w:r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 w:rsidR="007A4289"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nuosavų ir skolintų </w:t>
            </w:r>
            <w:r w:rsidR="00926573"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Litexpo lėšų (30/70)</w:t>
            </w:r>
          </w:p>
          <w:p w14:paraId="5007E4B0" w14:textId="77777777" w:rsidR="00332DC1" w:rsidRPr="000D10F8" w:rsidRDefault="00332DC1" w:rsidP="00332DC1">
            <w:pPr>
              <w:pStyle w:val="Sraopastraipa"/>
              <w:spacing w:after="0" w:line="240" w:lineRule="auto"/>
              <w:ind w:left="7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47835" w:rsidRPr="000D10F8" w14:paraId="17C3764A" w14:textId="77777777" w:rsidTr="004F2668">
        <w:tc>
          <w:tcPr>
            <w:tcW w:w="9629" w:type="dxa"/>
          </w:tcPr>
          <w:p w14:paraId="0FB424FC" w14:textId="77777777" w:rsidR="00594C49" w:rsidRPr="000D10F8" w:rsidRDefault="00E47835" w:rsidP="004F2668">
            <w:pPr>
              <w:rPr>
                <w:rFonts w:ascii="Times New Roman" w:hAnsi="Times New Roman" w:cs="Times New Roman"/>
                <w:szCs w:val="24"/>
              </w:rPr>
            </w:pPr>
            <w:r w:rsidRPr="000D10F8">
              <w:rPr>
                <w:rFonts w:ascii="Times New Roman" w:hAnsi="Times New Roman" w:cs="Times New Roman"/>
                <w:b/>
                <w:szCs w:val="24"/>
              </w:rPr>
              <w:t xml:space="preserve">Projekto įgyvendinimo priemonės, </w:t>
            </w:r>
            <w:r w:rsidRPr="000D10F8">
              <w:rPr>
                <w:rFonts w:ascii="Times New Roman" w:hAnsi="Times New Roman" w:cs="Times New Roman"/>
                <w:szCs w:val="24"/>
              </w:rPr>
              <w:t>planinės</w:t>
            </w:r>
            <w:r w:rsidR="00086EBB" w:rsidRPr="000D10F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D10F8">
              <w:rPr>
                <w:rFonts w:ascii="Times New Roman" w:hAnsi="Times New Roman" w:cs="Times New Roman"/>
                <w:szCs w:val="24"/>
              </w:rPr>
              <w:t>/</w:t>
            </w:r>
            <w:r w:rsidR="00086EBB" w:rsidRPr="000D10F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D10F8">
              <w:rPr>
                <w:rFonts w:ascii="Times New Roman" w:hAnsi="Times New Roman" w:cs="Times New Roman"/>
                <w:szCs w:val="24"/>
              </w:rPr>
              <w:t>faktinės</w:t>
            </w:r>
            <w:r w:rsidRPr="000D10F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0D10F8">
              <w:rPr>
                <w:rFonts w:ascii="Times New Roman" w:hAnsi="Times New Roman" w:cs="Times New Roman"/>
                <w:szCs w:val="24"/>
              </w:rPr>
              <w:t>(kurias projekto vykdytojas sutartimi su ministerija įsipareigojo nustatytu laiku ir apimtimi įvykdyti įgyvendindamas projektą)</w:t>
            </w:r>
            <w:r w:rsidR="00AF6BB7">
              <w:rPr>
                <w:rFonts w:ascii="Times New Roman" w:hAnsi="Times New Roman" w:cs="Times New Roman"/>
                <w:szCs w:val="24"/>
              </w:rPr>
              <w:t>.</w:t>
            </w:r>
          </w:p>
          <w:p w14:paraId="2CCB8BEB" w14:textId="4BB2FF46" w:rsidR="00FA1C2E" w:rsidRPr="000D10F8" w:rsidRDefault="00FA1C2E" w:rsidP="004F266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E47835" w:rsidRPr="000D10F8" w14:paraId="7AEA5496" w14:textId="77777777" w:rsidTr="004F2668">
        <w:tc>
          <w:tcPr>
            <w:tcW w:w="9629" w:type="dxa"/>
          </w:tcPr>
          <w:p w14:paraId="409DA609" w14:textId="77777777" w:rsidR="00E47835" w:rsidRPr="000D10F8" w:rsidRDefault="00E47835" w:rsidP="004F266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D10F8">
              <w:rPr>
                <w:rFonts w:ascii="Times New Roman" w:hAnsi="Times New Roman" w:cs="Times New Roman"/>
                <w:b/>
                <w:szCs w:val="24"/>
              </w:rPr>
              <w:t xml:space="preserve">Projekto įgyvendinimo metu numatomos taikyti įstatymais ir kitais teisės aktais nustatytos konkrečios lengvatos, jų taikymo sąlygos, </w:t>
            </w:r>
            <w:r w:rsidRPr="000D10F8">
              <w:rPr>
                <w:rFonts w:ascii="Times New Roman" w:hAnsi="Times New Roman" w:cs="Times New Roman"/>
                <w:szCs w:val="24"/>
              </w:rPr>
              <w:t>nustatytos</w:t>
            </w:r>
            <w:r w:rsidR="00086EBB" w:rsidRPr="000D10F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D10F8">
              <w:rPr>
                <w:rFonts w:ascii="Times New Roman" w:hAnsi="Times New Roman" w:cs="Times New Roman"/>
                <w:szCs w:val="24"/>
              </w:rPr>
              <w:t>/</w:t>
            </w:r>
            <w:r w:rsidR="00086EBB" w:rsidRPr="000D10F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D10F8">
              <w:rPr>
                <w:rFonts w:ascii="Times New Roman" w:hAnsi="Times New Roman" w:cs="Times New Roman"/>
                <w:szCs w:val="24"/>
              </w:rPr>
              <w:t>suteiktos</w:t>
            </w:r>
            <w:r w:rsidRPr="000D10F8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  <w:p w14:paraId="7AF78719" w14:textId="77777777" w:rsidR="002C637E" w:rsidRPr="00FA1C2E" w:rsidRDefault="002C637E" w:rsidP="00130F91">
            <w:pPr>
              <w:rPr>
                <w:rFonts w:ascii="Times New Roman" w:hAnsi="Times New Roman" w:cs="Times New Roman"/>
                <w:szCs w:val="24"/>
              </w:rPr>
            </w:pPr>
            <w:r w:rsidRPr="00FA1C2E">
              <w:rPr>
                <w:rFonts w:ascii="Times New Roman" w:hAnsi="Times New Roman" w:cs="Times New Roman"/>
                <w:szCs w:val="24"/>
              </w:rPr>
              <w:t xml:space="preserve">Valstybei svarbaus ekonominio projekto statusas suteikė galimybę LITEXPO projekto įgyvendinimui </w:t>
            </w:r>
            <w:proofErr w:type="spellStart"/>
            <w:r w:rsidRPr="00FA1C2E">
              <w:rPr>
                <w:rFonts w:ascii="Times New Roman" w:hAnsi="Times New Roman" w:cs="Times New Roman"/>
                <w:szCs w:val="24"/>
              </w:rPr>
              <w:t>neaukciono</w:t>
            </w:r>
            <w:proofErr w:type="spellEnd"/>
            <w:r w:rsidRPr="00FA1C2E">
              <w:rPr>
                <w:rFonts w:ascii="Times New Roman" w:hAnsi="Times New Roman" w:cs="Times New Roman"/>
                <w:szCs w:val="24"/>
              </w:rPr>
              <w:t xml:space="preserve"> tvarka </w:t>
            </w:r>
            <w:r w:rsidR="005933EA" w:rsidRPr="00FA1C2E">
              <w:rPr>
                <w:rFonts w:ascii="Times New Roman" w:hAnsi="Times New Roman" w:cs="Times New Roman"/>
                <w:szCs w:val="24"/>
              </w:rPr>
              <w:t>išsinuomoti</w:t>
            </w:r>
            <w:r w:rsidRPr="00FA1C2E">
              <w:rPr>
                <w:rFonts w:ascii="Times New Roman" w:hAnsi="Times New Roman" w:cs="Times New Roman"/>
                <w:szCs w:val="24"/>
              </w:rPr>
              <w:t xml:space="preserve"> valstybei priklausančius žemės sklypus, besiribojančius su LITEXPO teritorija. Sudarytos tokios ilgalaikės valstybinės žemės nuomos sutartys:</w:t>
            </w:r>
          </w:p>
          <w:p w14:paraId="0506D680" w14:textId="77777777" w:rsidR="002C637E" w:rsidRPr="000D10F8" w:rsidRDefault="002C637E" w:rsidP="002C637E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2010 m. gruodžio 30 d. Nr. M49/2010-187</w:t>
            </w:r>
          </w:p>
          <w:p w14:paraId="725FAF42" w14:textId="77777777" w:rsidR="002C637E" w:rsidRPr="000D10F8" w:rsidRDefault="002C637E" w:rsidP="002C637E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2010 m. gegužės 20 d. Nr. N01/2010-123</w:t>
            </w:r>
          </w:p>
          <w:p w14:paraId="5BD3711C" w14:textId="77777777" w:rsidR="00E47835" w:rsidRPr="000D10F8" w:rsidRDefault="002C637E" w:rsidP="004F2668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D10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2009 m. rugsėjo 24 d. Nr. N01/2009-295</w:t>
            </w:r>
          </w:p>
          <w:p w14:paraId="59A71C02" w14:textId="77777777" w:rsidR="004465FB" w:rsidRPr="00FA1C2E" w:rsidRDefault="004465FB" w:rsidP="00FA1C2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E47835" w:rsidRPr="000D10F8" w14:paraId="61779C05" w14:textId="77777777" w:rsidTr="004465FB">
        <w:trPr>
          <w:trHeight w:val="200"/>
        </w:trPr>
        <w:tc>
          <w:tcPr>
            <w:tcW w:w="9629" w:type="dxa"/>
          </w:tcPr>
          <w:p w14:paraId="0ABBF2DC" w14:textId="77777777" w:rsidR="00E47835" w:rsidRPr="000D10F8" w:rsidRDefault="00E47835" w:rsidP="004F2668">
            <w:pPr>
              <w:rPr>
                <w:rFonts w:ascii="Times New Roman" w:hAnsi="Times New Roman" w:cs="Times New Roman"/>
                <w:szCs w:val="24"/>
              </w:rPr>
            </w:pPr>
            <w:r w:rsidRPr="000D10F8">
              <w:rPr>
                <w:rFonts w:ascii="Times New Roman" w:hAnsi="Times New Roman" w:cs="Times New Roman"/>
                <w:b/>
                <w:szCs w:val="24"/>
              </w:rPr>
              <w:t>Projekto įgyvendinimo eiga</w:t>
            </w:r>
            <w:r w:rsidRPr="000D10F8">
              <w:rPr>
                <w:rFonts w:ascii="Times New Roman" w:hAnsi="Times New Roman" w:cs="Times New Roman"/>
                <w:szCs w:val="24"/>
              </w:rPr>
              <w:t xml:space="preserve"> (apibendrina</w:t>
            </w:r>
            <w:r w:rsidR="00086EBB" w:rsidRPr="000D10F8">
              <w:rPr>
                <w:rFonts w:ascii="Times New Roman" w:hAnsi="Times New Roman" w:cs="Times New Roman"/>
                <w:szCs w:val="24"/>
              </w:rPr>
              <w:t>mojo</w:t>
            </w:r>
            <w:r w:rsidRPr="000D10F8">
              <w:rPr>
                <w:rFonts w:ascii="Times New Roman" w:hAnsi="Times New Roman" w:cs="Times New Roman"/>
                <w:szCs w:val="24"/>
              </w:rPr>
              <w:t xml:space="preserve"> pobūdžio informacija):</w:t>
            </w:r>
          </w:p>
          <w:p w14:paraId="676098D8" w14:textId="77777777" w:rsidR="000E6D6B" w:rsidRDefault="000E6D6B" w:rsidP="00130F91">
            <w:pPr>
              <w:pStyle w:val="AAAAAAAAAAAAAAAa"/>
              <w:numPr>
                <w:ilvl w:val="0"/>
                <w:numId w:val="0"/>
              </w:numPr>
              <w:tabs>
                <w:tab w:val="num" w:pos="-3969"/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</w:p>
          <w:p w14:paraId="7FD475C6" w14:textId="1A5F33C9" w:rsidR="00FA1C2E" w:rsidRPr="000D10F8" w:rsidRDefault="00FA1C2E" w:rsidP="00FA1C2E">
            <w:pPr>
              <w:pStyle w:val="AAAAAAAAAAAAAAAa"/>
              <w:numPr>
                <w:ilvl w:val="0"/>
                <w:numId w:val="0"/>
              </w:numPr>
              <w:tabs>
                <w:tab w:val="num" w:pos="-3969"/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D10F8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Planuota Projekto apimtis yra </w:t>
            </w:r>
            <w:r w:rsidR="00092E64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didžiąja dalimi </w:t>
            </w:r>
            <w:r w:rsidRPr="000D10F8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įgyvendinta, pagrindiniai Projekto tikslai pasiekti</w:t>
            </w:r>
            <w:r w:rsidR="0087016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–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LITEXPO </w:t>
            </w:r>
            <w:r w:rsidRPr="000D10F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buvo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sėkmingai </w:t>
            </w:r>
            <w:r w:rsidRPr="000D10F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suorganizuoti renginiai skirti 2011 m. Lietuvos pirmininkavimui Europos saugumo ir bendradarbiavimo organizacijai (ESBO) ir Lietuvos pirmininkavimui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ES </w:t>
            </w:r>
            <w:r w:rsidRPr="000D10F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2013 metų II pusmetyje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(pritaikant esamą infrastruktūrą)</w:t>
            </w:r>
            <w:r w:rsidRPr="000D10F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 Nuo 201</w:t>
            </w:r>
            <w:r w:rsidR="00092E6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8</w:t>
            </w:r>
            <w:r w:rsidRPr="000D10F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m. LITEXPO teritorija ir erdvės yra </w:t>
            </w:r>
            <w:r w:rsidR="00092E6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esmės</w:t>
            </w:r>
            <w:r w:rsidR="00092E64" w:rsidRPr="000D10F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Pr="000D10F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pritaikytos organizuoti nacionalinius ir tarptautinius renginius.</w:t>
            </w:r>
          </w:p>
          <w:p w14:paraId="14B72EEF" w14:textId="77777777" w:rsidR="00926573" w:rsidRPr="00B17FE9" w:rsidRDefault="00926573" w:rsidP="002C637E">
            <w:pPr>
              <w:pStyle w:val="AAAAAAAAAAAAAAAa"/>
              <w:numPr>
                <w:ilvl w:val="0"/>
                <w:numId w:val="0"/>
              </w:numPr>
              <w:tabs>
                <w:tab w:val="num" w:pos="-3969"/>
                <w:tab w:val="left" w:pos="284"/>
              </w:tabs>
              <w:spacing w:after="0" w:line="240" w:lineRule="auto"/>
              <w:ind w:firstLine="709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  <w:p w14:paraId="52903FFE" w14:textId="46880C25" w:rsidR="00FA1C2E" w:rsidRPr="000D10F8" w:rsidRDefault="00FA1C2E" w:rsidP="00FA1C2E">
            <w:pPr>
              <w:rPr>
                <w:rFonts w:ascii="Times New Roman" w:hAnsi="Times New Roman" w:cs="Times New Roman"/>
                <w:szCs w:val="24"/>
              </w:rPr>
            </w:pPr>
            <w:r w:rsidRPr="00B17FE9">
              <w:rPr>
                <w:rFonts w:ascii="Times New Roman" w:hAnsi="Times New Roman" w:cs="Times New Roman"/>
                <w:szCs w:val="24"/>
              </w:rPr>
              <w:lastRenderedPageBreak/>
              <w:t xml:space="preserve">Pagrindiniai Projekto darbai yra užbaigti, tačiau </w:t>
            </w:r>
            <w:r w:rsidR="00B71AC0" w:rsidRPr="0088628F">
              <w:rPr>
                <w:rFonts w:ascii="Times New Roman" w:hAnsi="Times New Roman" w:cs="Times New Roman"/>
                <w:b/>
                <w:szCs w:val="24"/>
              </w:rPr>
              <w:t xml:space="preserve">išlieka </w:t>
            </w:r>
            <w:r w:rsidRPr="0088628F">
              <w:rPr>
                <w:rFonts w:ascii="Times New Roman" w:hAnsi="Times New Roman" w:cs="Times New Roman"/>
                <w:b/>
                <w:szCs w:val="24"/>
              </w:rPr>
              <w:t>automobilių parkavimo</w:t>
            </w:r>
            <w:r w:rsidR="00B71AC0" w:rsidRPr="0088628F">
              <w:rPr>
                <w:rFonts w:ascii="Times New Roman" w:hAnsi="Times New Roman" w:cs="Times New Roman"/>
                <w:b/>
                <w:szCs w:val="24"/>
              </w:rPr>
              <w:t xml:space="preserve"> prie p</w:t>
            </w:r>
            <w:bookmarkStart w:id="0" w:name="_GoBack"/>
            <w:bookmarkEnd w:id="0"/>
            <w:r w:rsidR="00B71AC0" w:rsidRPr="0088628F">
              <w:rPr>
                <w:rFonts w:ascii="Times New Roman" w:hAnsi="Times New Roman" w:cs="Times New Roman"/>
                <w:b/>
                <w:szCs w:val="24"/>
              </w:rPr>
              <w:t>arodų rūmų</w:t>
            </w:r>
            <w:r w:rsidRPr="0088628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6D0525">
              <w:rPr>
                <w:rFonts w:ascii="Times New Roman" w:hAnsi="Times New Roman" w:cs="Times New Roman"/>
                <w:b/>
                <w:szCs w:val="24"/>
              </w:rPr>
              <w:t>poreikis</w:t>
            </w:r>
            <w:r w:rsidR="00BB3166" w:rsidRPr="00B17FE9">
              <w:rPr>
                <w:rFonts w:ascii="Times New Roman" w:hAnsi="Times New Roman" w:cs="Times New Roman"/>
                <w:szCs w:val="24"/>
              </w:rPr>
              <w:t>, kur</w:t>
            </w:r>
            <w:r w:rsidR="002C55CE">
              <w:rPr>
                <w:rFonts w:ascii="Times New Roman" w:hAnsi="Times New Roman" w:cs="Times New Roman"/>
                <w:szCs w:val="24"/>
              </w:rPr>
              <w:t>į</w:t>
            </w:r>
            <w:r w:rsidR="00BB3166" w:rsidRPr="00B17FE9">
              <w:rPr>
                <w:rFonts w:ascii="Times New Roman" w:hAnsi="Times New Roman" w:cs="Times New Roman"/>
                <w:szCs w:val="24"/>
              </w:rPr>
              <w:t xml:space="preserve"> išsprend</w:t>
            </w:r>
            <w:r w:rsidR="002C55CE">
              <w:rPr>
                <w:rFonts w:ascii="Times New Roman" w:hAnsi="Times New Roman" w:cs="Times New Roman"/>
                <w:szCs w:val="24"/>
              </w:rPr>
              <w:t>us</w:t>
            </w:r>
            <w:r w:rsidR="00BB3166" w:rsidRPr="00B17FE9">
              <w:rPr>
                <w:rFonts w:ascii="Times New Roman" w:hAnsi="Times New Roman" w:cs="Times New Roman"/>
                <w:szCs w:val="24"/>
              </w:rPr>
              <w:t xml:space="preserve"> galėtų būti galutinai pabaigtas įgyvendinamas Projektas.</w:t>
            </w:r>
            <w:r w:rsidR="00C6764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17FE9">
              <w:rPr>
                <w:rFonts w:ascii="Times New Roman" w:hAnsi="Times New Roman" w:cs="Times New Roman"/>
                <w:szCs w:val="24"/>
              </w:rPr>
              <w:t xml:space="preserve">Pagal LR Vyriausybės nutarimą valstybei svarbaus ekonominio projekto įgyvendinimui </w:t>
            </w:r>
            <w:r w:rsidRPr="00B17FE9">
              <w:rPr>
                <w:rFonts w:ascii="Times New Roman" w:hAnsi="Times New Roman"/>
                <w:szCs w:val="24"/>
              </w:rPr>
              <w:t xml:space="preserve">LITEXPO </w:t>
            </w:r>
            <w:r w:rsidRPr="00B17FE9">
              <w:rPr>
                <w:rFonts w:ascii="Times New Roman" w:hAnsi="Times New Roman" w:cs="Times New Roman"/>
                <w:szCs w:val="24"/>
              </w:rPr>
              <w:t xml:space="preserve">buvo </w:t>
            </w:r>
            <w:r w:rsidR="000B1C76" w:rsidRPr="00B17FE9">
              <w:rPr>
                <w:rFonts w:ascii="Times New Roman" w:hAnsi="Times New Roman" w:cs="Times New Roman"/>
                <w:szCs w:val="24"/>
              </w:rPr>
              <w:t>skirt</w:t>
            </w:r>
            <w:r w:rsidR="000B1C76">
              <w:rPr>
                <w:rFonts w:ascii="Times New Roman" w:hAnsi="Times New Roman" w:cs="Times New Roman"/>
                <w:szCs w:val="24"/>
              </w:rPr>
              <w:t>i</w:t>
            </w:r>
            <w:r w:rsidR="000B1C76" w:rsidRPr="00B17FE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17FE9">
              <w:rPr>
                <w:rFonts w:ascii="Times New Roman" w:hAnsi="Times New Roman" w:cs="Times New Roman"/>
                <w:szCs w:val="24"/>
              </w:rPr>
              <w:t>žemės</w:t>
            </w:r>
            <w:r w:rsidRPr="000D10F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B1C76" w:rsidRPr="000D10F8">
              <w:rPr>
                <w:rFonts w:ascii="Times New Roman" w:hAnsi="Times New Roman" w:cs="Times New Roman"/>
                <w:szCs w:val="24"/>
              </w:rPr>
              <w:t>sklypa</w:t>
            </w:r>
            <w:r w:rsidR="000B1C76">
              <w:rPr>
                <w:rFonts w:ascii="Times New Roman" w:hAnsi="Times New Roman" w:cs="Times New Roman"/>
                <w:szCs w:val="24"/>
              </w:rPr>
              <w:t>i</w:t>
            </w:r>
            <w:r w:rsidR="000B1C76" w:rsidRPr="000D10F8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automobilių stovėjimo </w:t>
            </w:r>
            <w:r w:rsidRPr="000D10F8">
              <w:rPr>
                <w:rFonts w:ascii="Times New Roman" w:hAnsi="Times New Roman" w:cs="Times New Roman"/>
                <w:szCs w:val="24"/>
              </w:rPr>
              <w:t xml:space="preserve">aikštelių įrengimui bei tolimesnei infrastruktūros plėtrai. </w:t>
            </w:r>
            <w:r w:rsidR="000B1C76">
              <w:rPr>
                <w:rFonts w:ascii="Times New Roman" w:hAnsi="Times New Roman" w:cs="Times New Roman"/>
                <w:szCs w:val="24"/>
              </w:rPr>
              <w:t>Viename žemės sklype (1,9 ha) darbai dar nėra baigti.</w:t>
            </w:r>
          </w:p>
          <w:p w14:paraId="2FE65D96" w14:textId="77777777" w:rsidR="00E47835" w:rsidRDefault="00414D7F" w:rsidP="00BB316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Projekto įgyvendinimas užsitęsė, kadangi pagrindiniai darbai vykdomi įmonės nuosavomis ir skolintomis lėšomis, įmonė negavo planuotos finansinės paramos.</w:t>
            </w:r>
          </w:p>
          <w:p w14:paraId="02F3E3D2" w14:textId="1BA1F951" w:rsidR="00D1697C" w:rsidRPr="000D10F8" w:rsidRDefault="00D1697C" w:rsidP="00BB316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E47835" w:rsidRPr="000D10F8" w14:paraId="59E251F0" w14:textId="77777777" w:rsidTr="004F2668">
        <w:tc>
          <w:tcPr>
            <w:tcW w:w="9629" w:type="dxa"/>
          </w:tcPr>
          <w:p w14:paraId="44A95684" w14:textId="77777777" w:rsidR="00E47835" w:rsidRPr="000D10F8" w:rsidRDefault="00E47835" w:rsidP="00086EB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D10F8"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Siūlymai dėl projekto </w:t>
            </w:r>
            <w:r w:rsidR="00086EBB" w:rsidRPr="000D10F8">
              <w:rPr>
                <w:rFonts w:ascii="Times New Roman" w:hAnsi="Times New Roman" w:cs="Times New Roman"/>
                <w:b/>
                <w:szCs w:val="24"/>
              </w:rPr>
              <w:t xml:space="preserve">įgyvendinimo </w:t>
            </w:r>
            <w:r w:rsidRPr="000D10F8">
              <w:rPr>
                <w:rFonts w:ascii="Times New Roman" w:hAnsi="Times New Roman" w:cs="Times New Roman"/>
                <w:b/>
                <w:szCs w:val="24"/>
              </w:rPr>
              <w:t>/</w:t>
            </w:r>
            <w:r w:rsidR="00086EBB" w:rsidRPr="000D10F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0D10F8">
              <w:rPr>
                <w:rFonts w:ascii="Times New Roman" w:hAnsi="Times New Roman" w:cs="Times New Roman"/>
                <w:b/>
                <w:szCs w:val="24"/>
              </w:rPr>
              <w:t>statuso reikalingumo:</w:t>
            </w:r>
          </w:p>
          <w:p w14:paraId="2F68E99C" w14:textId="09E2D85D" w:rsidR="00195055" w:rsidRPr="000D10F8" w:rsidRDefault="00BB3166" w:rsidP="00086EB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Ūkio ministerijos nuomone,</w:t>
            </w:r>
            <w:r w:rsidR="006C4C0C" w:rsidRPr="000D10F8">
              <w:rPr>
                <w:rFonts w:ascii="Times New Roman" w:hAnsi="Times New Roman" w:cs="Times New Roman"/>
                <w:szCs w:val="24"/>
              </w:rPr>
              <w:t xml:space="preserve"> šiam </w:t>
            </w:r>
            <w:r w:rsidR="004337AE">
              <w:rPr>
                <w:rFonts w:ascii="Times New Roman" w:hAnsi="Times New Roman" w:cs="Times New Roman"/>
                <w:szCs w:val="24"/>
              </w:rPr>
              <w:t>Projektui</w:t>
            </w:r>
            <w:r w:rsidR="00195055" w:rsidRPr="000D10F8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reikalinga </w:t>
            </w:r>
            <w:r w:rsidR="00195055" w:rsidRPr="000D10F8">
              <w:rPr>
                <w:rFonts w:ascii="Times New Roman" w:hAnsi="Times New Roman" w:cs="Times New Roman"/>
                <w:szCs w:val="24"/>
              </w:rPr>
              <w:t>palikti valstybei svarbaus ekonominio projekto statusą</w:t>
            </w:r>
            <w:r w:rsidR="002E2C78" w:rsidRPr="000D10F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E51C7">
              <w:rPr>
                <w:rFonts w:ascii="Times New Roman" w:hAnsi="Times New Roman" w:cs="Times New Roman"/>
                <w:szCs w:val="24"/>
              </w:rPr>
              <w:t xml:space="preserve">iki 2020 m. </w:t>
            </w:r>
            <w:r w:rsidR="002E2C78" w:rsidRPr="000D10F8">
              <w:rPr>
                <w:rFonts w:ascii="Times New Roman" w:hAnsi="Times New Roman" w:cs="Times New Roman"/>
                <w:szCs w:val="24"/>
              </w:rPr>
              <w:t xml:space="preserve">tam, kad šis VSEP būtų įgyvendintas </w:t>
            </w:r>
            <w:r w:rsidR="004337AE">
              <w:rPr>
                <w:rFonts w:ascii="Times New Roman" w:hAnsi="Times New Roman" w:cs="Times New Roman"/>
                <w:szCs w:val="24"/>
              </w:rPr>
              <w:t>visa</w:t>
            </w:r>
            <w:r w:rsidR="002E2C78" w:rsidRPr="000D10F8">
              <w:rPr>
                <w:rFonts w:ascii="Times New Roman" w:hAnsi="Times New Roman" w:cs="Times New Roman"/>
                <w:szCs w:val="24"/>
              </w:rPr>
              <w:t xml:space="preserve"> numatyta apimtimi</w:t>
            </w:r>
            <w:r w:rsidR="00283C11">
              <w:rPr>
                <w:rFonts w:ascii="Times New Roman" w:hAnsi="Times New Roman" w:cs="Times New Roman"/>
                <w:szCs w:val="24"/>
              </w:rPr>
              <w:t>.</w:t>
            </w:r>
            <w:r w:rsidR="00195055" w:rsidRPr="000D10F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83C11">
              <w:rPr>
                <w:rFonts w:ascii="Times New Roman" w:hAnsi="Times New Roman" w:cs="Times New Roman"/>
                <w:szCs w:val="24"/>
              </w:rPr>
              <w:t>D</w:t>
            </w:r>
            <w:r w:rsidR="00195055" w:rsidRPr="000D10F8">
              <w:rPr>
                <w:rFonts w:ascii="Times New Roman" w:hAnsi="Times New Roman" w:cs="Times New Roman"/>
                <w:szCs w:val="24"/>
              </w:rPr>
              <w:t xml:space="preserve">ėl tolesnio statuso reikalingumo spręsti </w:t>
            </w:r>
            <w:r w:rsidR="00283C11">
              <w:rPr>
                <w:rFonts w:ascii="Times New Roman" w:hAnsi="Times New Roman" w:cs="Times New Roman"/>
                <w:szCs w:val="24"/>
              </w:rPr>
              <w:t xml:space="preserve">po 2020 m., </w:t>
            </w:r>
            <w:r w:rsidR="00195055" w:rsidRPr="000D10F8">
              <w:rPr>
                <w:rFonts w:ascii="Times New Roman" w:hAnsi="Times New Roman" w:cs="Times New Roman"/>
                <w:szCs w:val="24"/>
              </w:rPr>
              <w:t>pagal UAB Lietuvos parodų ir kongresų centras „LITEXPO“ valdybos</w:t>
            </w:r>
            <w:r w:rsidR="005B35F6" w:rsidRPr="000D10F8">
              <w:rPr>
                <w:rFonts w:ascii="Times New Roman" w:hAnsi="Times New Roman" w:cs="Times New Roman"/>
                <w:szCs w:val="24"/>
              </w:rPr>
              <w:t xml:space="preserve"> siūlymus</w:t>
            </w:r>
            <w:r w:rsidR="004F7D01" w:rsidRPr="000D10F8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  <w:p w14:paraId="66D6CF79" w14:textId="77777777" w:rsidR="00332DC1" w:rsidRPr="000D10F8" w:rsidRDefault="00332DC1" w:rsidP="00086EB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A6E3D20" w14:textId="25AFC1A6" w:rsidR="00B36EE4" w:rsidRDefault="00B36EE4">
      <w:pPr>
        <w:rPr>
          <w:szCs w:val="24"/>
        </w:rPr>
      </w:pPr>
    </w:p>
    <w:p w14:paraId="62A4D3D8" w14:textId="6CD0DA9D" w:rsidR="00D6334E" w:rsidRDefault="00D6334E">
      <w:pPr>
        <w:rPr>
          <w:szCs w:val="24"/>
        </w:rPr>
      </w:pPr>
    </w:p>
    <w:p w14:paraId="235FACA7" w14:textId="462E1A64" w:rsidR="00D6334E" w:rsidRPr="000D10F8" w:rsidRDefault="00D6334E" w:rsidP="00D6334E">
      <w:pPr>
        <w:jc w:val="center"/>
        <w:rPr>
          <w:szCs w:val="24"/>
        </w:rPr>
      </w:pPr>
      <w:r>
        <w:rPr>
          <w:szCs w:val="24"/>
        </w:rPr>
        <w:t>___________</w:t>
      </w:r>
    </w:p>
    <w:sectPr w:rsidR="00D6334E" w:rsidRPr="000D10F8" w:rsidSect="004465FB">
      <w:headerReference w:type="default" r:id="rId8"/>
      <w:footerReference w:type="even" r:id="rId9"/>
      <w:headerReference w:type="first" r:id="rId10"/>
      <w:footerReference w:type="first" r:id="rId11"/>
      <w:pgSz w:w="11906" w:h="16838" w:code="9"/>
      <w:pgMar w:top="851" w:right="566" w:bottom="1134" w:left="1701" w:header="124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B2D8E" w14:textId="77777777" w:rsidR="00A65653" w:rsidRDefault="00A65653">
      <w:r>
        <w:separator/>
      </w:r>
    </w:p>
  </w:endnote>
  <w:endnote w:type="continuationSeparator" w:id="0">
    <w:p w14:paraId="2C02BFAE" w14:textId="77777777" w:rsidR="00A65653" w:rsidRDefault="00A65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23085" w14:textId="77777777" w:rsidR="00675A68" w:rsidRDefault="00DA5F4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E3C1DEE" w14:textId="77777777" w:rsidR="00675A68" w:rsidRDefault="00675A6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FCC35" w14:textId="77777777" w:rsidR="009D2E5B" w:rsidRDefault="00A22FAF" w:rsidP="00624FB4">
    <w:pPr>
      <w:pStyle w:val="Porat"/>
      <w:tabs>
        <w:tab w:val="clear" w:pos="8306"/>
        <w:tab w:val="right" w:pos="7088"/>
        <w:tab w:val="left" w:pos="9072"/>
      </w:tabs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C6B5AD" wp14:editId="20348837">
              <wp:simplePos x="0" y="0"/>
              <wp:positionH relativeFrom="column">
                <wp:posOffset>4234816</wp:posOffset>
              </wp:positionH>
              <wp:positionV relativeFrom="paragraph">
                <wp:posOffset>-241300</wp:posOffset>
              </wp:positionV>
              <wp:extent cx="1562100" cy="523875"/>
              <wp:effectExtent l="0" t="0" r="0" b="9525"/>
              <wp:wrapNone/>
              <wp:docPr id="20" name="Teksto laukas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A5A5BB5" w14:textId="0CB90D6A" w:rsidR="00A22FAF" w:rsidRDefault="00A22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C6B5AD" id="_x0000_t202" coordsize="21600,21600" o:spt="202" path="m,l,21600r21600,l21600,xe">
              <v:stroke joinstyle="miter"/>
              <v:path gradientshapeok="t" o:connecttype="rect"/>
            </v:shapetype>
            <v:shape id="Teksto laukas 20" o:spid="_x0000_s1026" type="#_x0000_t202" style="position:absolute;left:0;text-align:left;margin-left:333.45pt;margin-top:-19pt;width:123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" fillcolor="white [3201]" stroked="f" strokeweight=".5pt">
              <v:textbox>
                <w:txbxContent>
                  <w:p w14:paraId="1A5A5BB5" w14:textId="0CB90D6A" w:rsidR="00A22FAF" w:rsidRDefault="00A22FA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24838" w14:textId="77777777" w:rsidR="00A65653" w:rsidRDefault="00A65653">
      <w:r>
        <w:separator/>
      </w:r>
    </w:p>
  </w:footnote>
  <w:footnote w:type="continuationSeparator" w:id="0">
    <w:p w14:paraId="5555E2A8" w14:textId="77777777" w:rsidR="00A65653" w:rsidRDefault="00A65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BB3EC" w14:textId="31E50C77" w:rsidR="00675A68" w:rsidRDefault="00DA5F4A">
    <w:pPr>
      <w:pStyle w:val="Antrats"/>
      <w:jc w:val="center"/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45678A">
      <w:rPr>
        <w:rStyle w:val="Puslapionumeris"/>
        <w:noProof/>
      </w:rPr>
      <w:t>3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5668C" w14:textId="77777777" w:rsidR="00051C5C" w:rsidRDefault="00051C5C" w:rsidP="00051C5C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7C1C"/>
    <w:multiLevelType w:val="hybridMultilevel"/>
    <w:tmpl w:val="0A223A62"/>
    <w:lvl w:ilvl="0" w:tplc="8AAA2B2E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14985"/>
    <w:multiLevelType w:val="hybridMultilevel"/>
    <w:tmpl w:val="68064300"/>
    <w:lvl w:ilvl="0" w:tplc="8AAA2B2E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833E6"/>
    <w:multiLevelType w:val="multilevel"/>
    <w:tmpl w:val="B1F8F7BA"/>
    <w:styleLink w:val="List0"/>
    <w:lvl w:ilvl="0">
      <w:start w:val="1"/>
      <w:numFmt w:val="decimal"/>
      <w:pStyle w:val="AAAAAAAAAAAAAAAa"/>
      <w:lvlText w:val="%1."/>
      <w:lvlJc w:val="left"/>
      <w:pPr>
        <w:tabs>
          <w:tab w:val="num" w:pos="928"/>
        </w:tabs>
        <w:ind w:left="928" w:hanging="928"/>
      </w:pPr>
      <w:rPr>
        <w:color w:val="000000"/>
        <w:position w:val="0"/>
        <w:sz w:val="22"/>
        <w:szCs w:val="22"/>
        <w:u w:color="000000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933"/>
        </w:tabs>
        <w:ind w:left="1933" w:hanging="303"/>
      </w:pPr>
      <w:rPr>
        <w:color w:val="000000"/>
        <w:position w:val="0"/>
        <w:sz w:val="22"/>
        <w:szCs w:val="22"/>
        <w:u w:color="000000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657"/>
        </w:tabs>
        <w:ind w:left="2657" w:hanging="248"/>
      </w:pPr>
      <w:rPr>
        <w:color w:val="000000"/>
        <w:position w:val="0"/>
        <w:sz w:val="22"/>
        <w:szCs w:val="22"/>
        <w:u w:color="000000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3373"/>
        </w:tabs>
        <w:ind w:left="3373" w:hanging="303"/>
      </w:pPr>
      <w:rPr>
        <w:color w:val="000000"/>
        <w:position w:val="0"/>
        <w:sz w:val="22"/>
        <w:szCs w:val="22"/>
        <w:u w:color="000000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4093"/>
        </w:tabs>
        <w:ind w:left="4093" w:hanging="303"/>
      </w:pPr>
      <w:rPr>
        <w:color w:val="000000"/>
        <w:position w:val="0"/>
        <w:sz w:val="22"/>
        <w:szCs w:val="22"/>
        <w:u w:color="000000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817"/>
        </w:tabs>
        <w:ind w:left="4817" w:hanging="248"/>
      </w:pPr>
      <w:rPr>
        <w:color w:val="000000"/>
        <w:position w:val="0"/>
        <w:sz w:val="22"/>
        <w:szCs w:val="22"/>
        <w:u w:color="000000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5533"/>
        </w:tabs>
        <w:ind w:left="5533" w:hanging="303"/>
      </w:pPr>
      <w:rPr>
        <w:color w:val="000000"/>
        <w:position w:val="0"/>
        <w:sz w:val="22"/>
        <w:szCs w:val="22"/>
        <w:u w:color="000000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6253"/>
        </w:tabs>
        <w:ind w:left="6253" w:hanging="303"/>
      </w:pPr>
      <w:rPr>
        <w:color w:val="000000"/>
        <w:position w:val="0"/>
        <w:sz w:val="22"/>
        <w:szCs w:val="22"/>
        <w:u w:color="000000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977"/>
        </w:tabs>
        <w:ind w:left="6977" w:hanging="248"/>
      </w:pPr>
      <w:rPr>
        <w:color w:val="000000"/>
        <w:position w:val="0"/>
        <w:sz w:val="22"/>
        <w:szCs w:val="22"/>
        <w:u w:color="000000"/>
        <w:rtl w:val="0"/>
        <w:lang w:val="en-US"/>
      </w:rPr>
    </w:lvl>
  </w:abstractNum>
  <w:abstractNum w:abstractNumId="3" w15:restartNumberingAfterBreak="0">
    <w:nsid w:val="3B405496"/>
    <w:multiLevelType w:val="hybridMultilevel"/>
    <w:tmpl w:val="6B7CE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32739"/>
    <w:multiLevelType w:val="hybridMultilevel"/>
    <w:tmpl w:val="F6525B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6609A"/>
    <w:multiLevelType w:val="hybridMultilevel"/>
    <w:tmpl w:val="85684E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04CCA"/>
    <w:multiLevelType w:val="hybridMultilevel"/>
    <w:tmpl w:val="4A342B3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10900"/>
    <w:multiLevelType w:val="hybridMultilevel"/>
    <w:tmpl w:val="D696F79A"/>
    <w:lvl w:ilvl="0" w:tplc="8AAA2B2E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577CE"/>
    <w:multiLevelType w:val="hybridMultilevel"/>
    <w:tmpl w:val="9C7CF140"/>
    <w:lvl w:ilvl="0" w:tplc="4E3834F8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674F1E36"/>
    <w:multiLevelType w:val="hybridMultilevel"/>
    <w:tmpl w:val="901CF2F2"/>
    <w:lvl w:ilvl="0" w:tplc="CC3A83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D4B54"/>
    <w:multiLevelType w:val="hybridMultilevel"/>
    <w:tmpl w:val="34400920"/>
    <w:lvl w:ilvl="0" w:tplc="8AAA2B2E">
      <w:start w:val="2018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789C5ACD"/>
    <w:multiLevelType w:val="hybridMultilevel"/>
    <w:tmpl w:val="5A1E85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C5F0D"/>
    <w:multiLevelType w:val="hybridMultilevel"/>
    <w:tmpl w:val="9836FF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2"/>
    <w:lvlOverride w:ilvl="0">
      <w:lvl w:ilvl="0">
        <w:start w:val="1"/>
        <w:numFmt w:val="decimal"/>
        <w:pStyle w:val="AAAAAAAAAAAAAAAa"/>
        <w:lvlText w:val="%1."/>
        <w:lvlJc w:val="left"/>
        <w:pPr>
          <w:ind w:left="360" w:hanging="360"/>
        </w:pPr>
        <w:rPr>
          <w:b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5">
    <w:abstractNumId w:val="2"/>
  </w:num>
  <w:num w:numId="6">
    <w:abstractNumId w:val="3"/>
  </w:num>
  <w:num w:numId="7">
    <w:abstractNumId w:val="11"/>
  </w:num>
  <w:num w:numId="8">
    <w:abstractNumId w:val="7"/>
  </w:num>
  <w:num w:numId="9">
    <w:abstractNumId w:val="0"/>
  </w:num>
  <w:num w:numId="10">
    <w:abstractNumId w:val="1"/>
  </w:num>
  <w:num w:numId="11">
    <w:abstractNumId w:val="10"/>
  </w:num>
  <w:num w:numId="12">
    <w:abstractNumId w:val="12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7BC"/>
    <w:rsid w:val="00000E37"/>
    <w:rsid w:val="000018CD"/>
    <w:rsid w:val="000026D3"/>
    <w:rsid w:val="00014606"/>
    <w:rsid w:val="00015E01"/>
    <w:rsid w:val="000430CC"/>
    <w:rsid w:val="00044CD8"/>
    <w:rsid w:val="000501DF"/>
    <w:rsid w:val="00051C5C"/>
    <w:rsid w:val="000529CE"/>
    <w:rsid w:val="00056F31"/>
    <w:rsid w:val="000654B4"/>
    <w:rsid w:val="0007009B"/>
    <w:rsid w:val="00070538"/>
    <w:rsid w:val="00073A57"/>
    <w:rsid w:val="000747E2"/>
    <w:rsid w:val="00082D15"/>
    <w:rsid w:val="00083A9A"/>
    <w:rsid w:val="000861E7"/>
    <w:rsid w:val="00086EBB"/>
    <w:rsid w:val="00092E64"/>
    <w:rsid w:val="0009649D"/>
    <w:rsid w:val="000A0194"/>
    <w:rsid w:val="000A5CB8"/>
    <w:rsid w:val="000B1C76"/>
    <w:rsid w:val="000B310C"/>
    <w:rsid w:val="000B431D"/>
    <w:rsid w:val="000C34DA"/>
    <w:rsid w:val="000D10F8"/>
    <w:rsid w:val="000E0F34"/>
    <w:rsid w:val="000E1D04"/>
    <w:rsid w:val="000E26AA"/>
    <w:rsid w:val="000E6ACA"/>
    <w:rsid w:val="000E6D6B"/>
    <w:rsid w:val="001005C8"/>
    <w:rsid w:val="001140E8"/>
    <w:rsid w:val="00130F91"/>
    <w:rsid w:val="00135424"/>
    <w:rsid w:val="001750BE"/>
    <w:rsid w:val="00195055"/>
    <w:rsid w:val="001A691C"/>
    <w:rsid w:val="001C252E"/>
    <w:rsid w:val="001D312F"/>
    <w:rsid w:val="001E0ED3"/>
    <w:rsid w:val="001E4D57"/>
    <w:rsid w:val="001E5379"/>
    <w:rsid w:val="001E68C0"/>
    <w:rsid w:val="0020043D"/>
    <w:rsid w:val="00216990"/>
    <w:rsid w:val="00221AA0"/>
    <w:rsid w:val="0022797B"/>
    <w:rsid w:val="00237DE4"/>
    <w:rsid w:val="002428B6"/>
    <w:rsid w:val="00252C64"/>
    <w:rsid w:val="002548DC"/>
    <w:rsid w:val="0026102F"/>
    <w:rsid w:val="002650CA"/>
    <w:rsid w:val="0027097F"/>
    <w:rsid w:val="00282963"/>
    <w:rsid w:val="00282C2B"/>
    <w:rsid w:val="0028347D"/>
    <w:rsid w:val="00283C11"/>
    <w:rsid w:val="00294E59"/>
    <w:rsid w:val="002A05AA"/>
    <w:rsid w:val="002A2A51"/>
    <w:rsid w:val="002A490D"/>
    <w:rsid w:val="002A65E6"/>
    <w:rsid w:val="002B51D4"/>
    <w:rsid w:val="002B7AED"/>
    <w:rsid w:val="002C0CD1"/>
    <w:rsid w:val="002C40BD"/>
    <w:rsid w:val="002C4DF9"/>
    <w:rsid w:val="002C55CE"/>
    <w:rsid w:val="002C637E"/>
    <w:rsid w:val="002C6615"/>
    <w:rsid w:val="002D523D"/>
    <w:rsid w:val="002E0EE3"/>
    <w:rsid w:val="002E2C78"/>
    <w:rsid w:val="002E3B09"/>
    <w:rsid w:val="002E3D53"/>
    <w:rsid w:val="002F4A8E"/>
    <w:rsid w:val="00302D51"/>
    <w:rsid w:val="00314211"/>
    <w:rsid w:val="003168D0"/>
    <w:rsid w:val="00316DAE"/>
    <w:rsid w:val="00330224"/>
    <w:rsid w:val="00331148"/>
    <w:rsid w:val="00332C42"/>
    <w:rsid w:val="00332DC1"/>
    <w:rsid w:val="003357FF"/>
    <w:rsid w:val="00335C5D"/>
    <w:rsid w:val="00341027"/>
    <w:rsid w:val="00346165"/>
    <w:rsid w:val="003476E7"/>
    <w:rsid w:val="00347E8E"/>
    <w:rsid w:val="00356DD2"/>
    <w:rsid w:val="00362BED"/>
    <w:rsid w:val="003824C5"/>
    <w:rsid w:val="003837BC"/>
    <w:rsid w:val="003961F3"/>
    <w:rsid w:val="003A4161"/>
    <w:rsid w:val="003A7F61"/>
    <w:rsid w:val="003B3C6E"/>
    <w:rsid w:val="003B7A74"/>
    <w:rsid w:val="003C5E81"/>
    <w:rsid w:val="003C6B0A"/>
    <w:rsid w:val="003D77C6"/>
    <w:rsid w:val="003E1B57"/>
    <w:rsid w:val="003F07C5"/>
    <w:rsid w:val="003F3B29"/>
    <w:rsid w:val="00410408"/>
    <w:rsid w:val="00414D7F"/>
    <w:rsid w:val="004265D2"/>
    <w:rsid w:val="004337AE"/>
    <w:rsid w:val="00436B8E"/>
    <w:rsid w:val="00446272"/>
    <w:rsid w:val="004465FB"/>
    <w:rsid w:val="00450112"/>
    <w:rsid w:val="004559A1"/>
    <w:rsid w:val="0045678A"/>
    <w:rsid w:val="0046292E"/>
    <w:rsid w:val="00462E88"/>
    <w:rsid w:val="00466264"/>
    <w:rsid w:val="004730A2"/>
    <w:rsid w:val="004B0000"/>
    <w:rsid w:val="004B3B29"/>
    <w:rsid w:val="004D41CE"/>
    <w:rsid w:val="004F7D01"/>
    <w:rsid w:val="00502237"/>
    <w:rsid w:val="00506150"/>
    <w:rsid w:val="00512DB5"/>
    <w:rsid w:val="00523BC9"/>
    <w:rsid w:val="00526D7F"/>
    <w:rsid w:val="00530126"/>
    <w:rsid w:val="005322E3"/>
    <w:rsid w:val="00532C88"/>
    <w:rsid w:val="00544374"/>
    <w:rsid w:val="00546278"/>
    <w:rsid w:val="00560DA1"/>
    <w:rsid w:val="00567651"/>
    <w:rsid w:val="00573404"/>
    <w:rsid w:val="00574199"/>
    <w:rsid w:val="0057578B"/>
    <w:rsid w:val="00576898"/>
    <w:rsid w:val="00584157"/>
    <w:rsid w:val="0058577F"/>
    <w:rsid w:val="005858B1"/>
    <w:rsid w:val="00587923"/>
    <w:rsid w:val="005933EA"/>
    <w:rsid w:val="00594C49"/>
    <w:rsid w:val="00597005"/>
    <w:rsid w:val="005A0B9B"/>
    <w:rsid w:val="005A245F"/>
    <w:rsid w:val="005B1429"/>
    <w:rsid w:val="005B35F6"/>
    <w:rsid w:val="005B74E4"/>
    <w:rsid w:val="005B7E49"/>
    <w:rsid w:val="005D13FE"/>
    <w:rsid w:val="005D2F4B"/>
    <w:rsid w:val="005E0048"/>
    <w:rsid w:val="005E605E"/>
    <w:rsid w:val="005F5189"/>
    <w:rsid w:val="00605517"/>
    <w:rsid w:val="00624FB4"/>
    <w:rsid w:val="00626596"/>
    <w:rsid w:val="0063169D"/>
    <w:rsid w:val="00634641"/>
    <w:rsid w:val="006379FA"/>
    <w:rsid w:val="00637B3E"/>
    <w:rsid w:val="0064205A"/>
    <w:rsid w:val="00647770"/>
    <w:rsid w:val="00653570"/>
    <w:rsid w:val="00661DCB"/>
    <w:rsid w:val="00663388"/>
    <w:rsid w:val="0066573D"/>
    <w:rsid w:val="0066668D"/>
    <w:rsid w:val="0066699B"/>
    <w:rsid w:val="00671BD4"/>
    <w:rsid w:val="006720E7"/>
    <w:rsid w:val="00672B55"/>
    <w:rsid w:val="00675A68"/>
    <w:rsid w:val="0068646F"/>
    <w:rsid w:val="00686818"/>
    <w:rsid w:val="00695022"/>
    <w:rsid w:val="006A044B"/>
    <w:rsid w:val="006B762C"/>
    <w:rsid w:val="006C4C0C"/>
    <w:rsid w:val="006C56C9"/>
    <w:rsid w:val="006D0525"/>
    <w:rsid w:val="006D4C14"/>
    <w:rsid w:val="006D58A7"/>
    <w:rsid w:val="006D6441"/>
    <w:rsid w:val="006E4290"/>
    <w:rsid w:val="007341E4"/>
    <w:rsid w:val="0073469A"/>
    <w:rsid w:val="00735503"/>
    <w:rsid w:val="00746BB6"/>
    <w:rsid w:val="007502B5"/>
    <w:rsid w:val="00763B47"/>
    <w:rsid w:val="00774452"/>
    <w:rsid w:val="007802DB"/>
    <w:rsid w:val="00780517"/>
    <w:rsid w:val="00791AE0"/>
    <w:rsid w:val="007A3E68"/>
    <w:rsid w:val="007A4289"/>
    <w:rsid w:val="007A45AE"/>
    <w:rsid w:val="007B65AF"/>
    <w:rsid w:val="007C33F2"/>
    <w:rsid w:val="007C6457"/>
    <w:rsid w:val="007D4ABA"/>
    <w:rsid w:val="007D4D2D"/>
    <w:rsid w:val="007E58D6"/>
    <w:rsid w:val="007F1B5E"/>
    <w:rsid w:val="007F2B88"/>
    <w:rsid w:val="00817FE2"/>
    <w:rsid w:val="00827E74"/>
    <w:rsid w:val="00836568"/>
    <w:rsid w:val="00837100"/>
    <w:rsid w:val="00837318"/>
    <w:rsid w:val="008449F6"/>
    <w:rsid w:val="00853AAD"/>
    <w:rsid w:val="00856038"/>
    <w:rsid w:val="0087016F"/>
    <w:rsid w:val="008774EC"/>
    <w:rsid w:val="00877969"/>
    <w:rsid w:val="0088024F"/>
    <w:rsid w:val="00880A24"/>
    <w:rsid w:val="00880F45"/>
    <w:rsid w:val="00883673"/>
    <w:rsid w:val="0088628F"/>
    <w:rsid w:val="008A2F1A"/>
    <w:rsid w:val="008C1570"/>
    <w:rsid w:val="008C52EC"/>
    <w:rsid w:val="008D710A"/>
    <w:rsid w:val="008E6BE9"/>
    <w:rsid w:val="008E6FB1"/>
    <w:rsid w:val="00902C51"/>
    <w:rsid w:val="0090758A"/>
    <w:rsid w:val="0091468E"/>
    <w:rsid w:val="00926573"/>
    <w:rsid w:val="00930E90"/>
    <w:rsid w:val="00935B44"/>
    <w:rsid w:val="00946E2B"/>
    <w:rsid w:val="009624F1"/>
    <w:rsid w:val="00974788"/>
    <w:rsid w:val="00977353"/>
    <w:rsid w:val="009853E1"/>
    <w:rsid w:val="009865F4"/>
    <w:rsid w:val="009917F3"/>
    <w:rsid w:val="00995EE0"/>
    <w:rsid w:val="00995F94"/>
    <w:rsid w:val="009A142C"/>
    <w:rsid w:val="009A3EB6"/>
    <w:rsid w:val="009A7DF1"/>
    <w:rsid w:val="009B469B"/>
    <w:rsid w:val="009D1B8B"/>
    <w:rsid w:val="009D2E5B"/>
    <w:rsid w:val="009D6B78"/>
    <w:rsid w:val="009E51C7"/>
    <w:rsid w:val="009F3536"/>
    <w:rsid w:val="009F47A4"/>
    <w:rsid w:val="009F6429"/>
    <w:rsid w:val="00A1209C"/>
    <w:rsid w:val="00A22FAF"/>
    <w:rsid w:val="00A2301D"/>
    <w:rsid w:val="00A23CD8"/>
    <w:rsid w:val="00A27813"/>
    <w:rsid w:val="00A32606"/>
    <w:rsid w:val="00A36DD0"/>
    <w:rsid w:val="00A3721C"/>
    <w:rsid w:val="00A465FF"/>
    <w:rsid w:val="00A521FB"/>
    <w:rsid w:val="00A53184"/>
    <w:rsid w:val="00A5413B"/>
    <w:rsid w:val="00A6178C"/>
    <w:rsid w:val="00A65653"/>
    <w:rsid w:val="00A67340"/>
    <w:rsid w:val="00A67841"/>
    <w:rsid w:val="00A7463A"/>
    <w:rsid w:val="00A74E27"/>
    <w:rsid w:val="00A82288"/>
    <w:rsid w:val="00A842B6"/>
    <w:rsid w:val="00A844E2"/>
    <w:rsid w:val="00A92BB2"/>
    <w:rsid w:val="00AA7486"/>
    <w:rsid w:val="00AC507F"/>
    <w:rsid w:val="00AC66A6"/>
    <w:rsid w:val="00AD1210"/>
    <w:rsid w:val="00AE0B44"/>
    <w:rsid w:val="00AE4604"/>
    <w:rsid w:val="00AF06BE"/>
    <w:rsid w:val="00AF0E99"/>
    <w:rsid w:val="00AF1950"/>
    <w:rsid w:val="00AF65D8"/>
    <w:rsid w:val="00AF6BB7"/>
    <w:rsid w:val="00B0194E"/>
    <w:rsid w:val="00B17FE9"/>
    <w:rsid w:val="00B20FC5"/>
    <w:rsid w:val="00B214EF"/>
    <w:rsid w:val="00B30316"/>
    <w:rsid w:val="00B315CD"/>
    <w:rsid w:val="00B36EE4"/>
    <w:rsid w:val="00B53F99"/>
    <w:rsid w:val="00B55AA9"/>
    <w:rsid w:val="00B60BCE"/>
    <w:rsid w:val="00B60F32"/>
    <w:rsid w:val="00B6587C"/>
    <w:rsid w:val="00B679B3"/>
    <w:rsid w:val="00B70623"/>
    <w:rsid w:val="00B717E4"/>
    <w:rsid w:val="00B71AC0"/>
    <w:rsid w:val="00B83D7E"/>
    <w:rsid w:val="00B86C4D"/>
    <w:rsid w:val="00B92106"/>
    <w:rsid w:val="00B92871"/>
    <w:rsid w:val="00B95236"/>
    <w:rsid w:val="00B9557A"/>
    <w:rsid w:val="00BB0848"/>
    <w:rsid w:val="00BB270B"/>
    <w:rsid w:val="00BB3166"/>
    <w:rsid w:val="00BC2F58"/>
    <w:rsid w:val="00BC4922"/>
    <w:rsid w:val="00BC528F"/>
    <w:rsid w:val="00BE7624"/>
    <w:rsid w:val="00BF24AB"/>
    <w:rsid w:val="00BF6F58"/>
    <w:rsid w:val="00C04DB2"/>
    <w:rsid w:val="00C07DA2"/>
    <w:rsid w:val="00C106DA"/>
    <w:rsid w:val="00C10B3B"/>
    <w:rsid w:val="00C24913"/>
    <w:rsid w:val="00C265DC"/>
    <w:rsid w:val="00C27615"/>
    <w:rsid w:val="00C416DF"/>
    <w:rsid w:val="00C5072E"/>
    <w:rsid w:val="00C6764A"/>
    <w:rsid w:val="00C67F00"/>
    <w:rsid w:val="00C714F3"/>
    <w:rsid w:val="00C73186"/>
    <w:rsid w:val="00C73293"/>
    <w:rsid w:val="00C84543"/>
    <w:rsid w:val="00C902BF"/>
    <w:rsid w:val="00CA1FD8"/>
    <w:rsid w:val="00CB438D"/>
    <w:rsid w:val="00CB7AA3"/>
    <w:rsid w:val="00CC70AE"/>
    <w:rsid w:val="00CD69B0"/>
    <w:rsid w:val="00CE05F7"/>
    <w:rsid w:val="00CE74FE"/>
    <w:rsid w:val="00CF03FA"/>
    <w:rsid w:val="00CF258D"/>
    <w:rsid w:val="00CF3AED"/>
    <w:rsid w:val="00CF3F06"/>
    <w:rsid w:val="00D02C25"/>
    <w:rsid w:val="00D05FD2"/>
    <w:rsid w:val="00D1697C"/>
    <w:rsid w:val="00D17018"/>
    <w:rsid w:val="00D355E8"/>
    <w:rsid w:val="00D452EC"/>
    <w:rsid w:val="00D52573"/>
    <w:rsid w:val="00D55CA3"/>
    <w:rsid w:val="00D6334E"/>
    <w:rsid w:val="00D66666"/>
    <w:rsid w:val="00D802FD"/>
    <w:rsid w:val="00DA5F4A"/>
    <w:rsid w:val="00DB2488"/>
    <w:rsid w:val="00DB2657"/>
    <w:rsid w:val="00DC45CA"/>
    <w:rsid w:val="00DC6950"/>
    <w:rsid w:val="00DE4C81"/>
    <w:rsid w:val="00DF3045"/>
    <w:rsid w:val="00DF44B7"/>
    <w:rsid w:val="00E05F32"/>
    <w:rsid w:val="00E147C3"/>
    <w:rsid w:val="00E159F8"/>
    <w:rsid w:val="00E4006E"/>
    <w:rsid w:val="00E40422"/>
    <w:rsid w:val="00E4706A"/>
    <w:rsid w:val="00E47835"/>
    <w:rsid w:val="00E50793"/>
    <w:rsid w:val="00E5737B"/>
    <w:rsid w:val="00E729EE"/>
    <w:rsid w:val="00E8139C"/>
    <w:rsid w:val="00E914D7"/>
    <w:rsid w:val="00E94273"/>
    <w:rsid w:val="00EE1272"/>
    <w:rsid w:val="00EE400F"/>
    <w:rsid w:val="00EE793F"/>
    <w:rsid w:val="00EF49A1"/>
    <w:rsid w:val="00EF6280"/>
    <w:rsid w:val="00F05E86"/>
    <w:rsid w:val="00F12D97"/>
    <w:rsid w:val="00F16942"/>
    <w:rsid w:val="00F20F6E"/>
    <w:rsid w:val="00F21289"/>
    <w:rsid w:val="00F24552"/>
    <w:rsid w:val="00F26BDA"/>
    <w:rsid w:val="00F2751B"/>
    <w:rsid w:val="00F34B47"/>
    <w:rsid w:val="00F43C68"/>
    <w:rsid w:val="00F4610F"/>
    <w:rsid w:val="00F4705A"/>
    <w:rsid w:val="00F61ECB"/>
    <w:rsid w:val="00F62E2C"/>
    <w:rsid w:val="00F700D9"/>
    <w:rsid w:val="00F7131C"/>
    <w:rsid w:val="00F72717"/>
    <w:rsid w:val="00F77559"/>
    <w:rsid w:val="00FA1C2E"/>
    <w:rsid w:val="00FA2913"/>
    <w:rsid w:val="00FA52BC"/>
    <w:rsid w:val="00FB5C49"/>
    <w:rsid w:val="00FB7BB0"/>
    <w:rsid w:val="00FC0696"/>
    <w:rsid w:val="00FC3873"/>
    <w:rsid w:val="00FD170C"/>
    <w:rsid w:val="00FD79D1"/>
    <w:rsid w:val="00FE1023"/>
    <w:rsid w:val="00F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BE7ACF1"/>
  <w15:docId w15:val="{7A687661-6EB2-4DCD-B5CD-022F33D1E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6D6441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02C5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02C5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02C5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02C5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02C51"/>
    <w:rPr>
      <w:b/>
      <w:bCs/>
      <w:lang w:eastAsia="en-US"/>
    </w:rPr>
  </w:style>
  <w:style w:type="table" w:styleId="Lentelstinklelis">
    <w:name w:val="Table Grid"/>
    <w:basedOn w:val="prastojilentel"/>
    <w:uiPriority w:val="39"/>
    <w:rsid w:val="00E4783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0">
    <w:name w:val="List 0"/>
    <w:basedOn w:val="Sraonra"/>
    <w:rsid w:val="002C637E"/>
    <w:pPr>
      <w:numPr>
        <w:numId w:val="5"/>
      </w:numPr>
    </w:pPr>
  </w:style>
  <w:style w:type="paragraph" w:customStyle="1" w:styleId="AAAAAAAAAAAAAAAa">
    <w:name w:val="AAAAAAAAAAAAAAAa"/>
    <w:basedOn w:val="Sraopastraipa"/>
    <w:link w:val="AAAAAAAAAAAAAAAaDiagrama"/>
    <w:qFormat/>
    <w:rsid w:val="002C637E"/>
    <w:pPr>
      <w:numPr>
        <w:numId w:val="4"/>
      </w:numPr>
      <w:pBdr>
        <w:top w:val="nil"/>
        <w:left w:val="nil"/>
        <w:bottom w:val="nil"/>
        <w:right w:val="nil"/>
        <w:between w:val="nil"/>
        <w:bar w:val="nil"/>
      </w:pBdr>
      <w:tabs>
        <w:tab w:val="num" w:pos="-3969"/>
      </w:tabs>
      <w:spacing w:after="200" w:line="276" w:lineRule="auto"/>
      <w:ind w:left="0" w:hanging="562"/>
      <w:contextualSpacing w:val="0"/>
      <w:jc w:val="both"/>
    </w:pPr>
    <w:rPr>
      <w:rFonts w:ascii="Trebuchet MS" w:eastAsia="Times New Roman" w:hAnsi="Trebuchet MS" w:cs="Times New Roman"/>
      <w:color w:val="000000"/>
      <w:sz w:val="20"/>
      <w:szCs w:val="20"/>
      <w:u w:color="000000"/>
      <w:bdr w:val="nil"/>
      <w:lang w:val="x-none" w:eastAsia="lt-LT"/>
    </w:rPr>
  </w:style>
  <w:style w:type="character" w:customStyle="1" w:styleId="AAAAAAAAAAAAAAAaDiagrama">
    <w:name w:val="AAAAAAAAAAAAAAAa Diagrama"/>
    <w:link w:val="AAAAAAAAAAAAAAAa"/>
    <w:rsid w:val="002C637E"/>
    <w:rPr>
      <w:rFonts w:ascii="Trebuchet MS" w:hAnsi="Trebuchet MS"/>
      <w:color w:val="000000"/>
      <w:u w:color="000000"/>
      <w:bdr w:val="nil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1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sabaliauskaite\AppData\Local\Microsoft\Windows\Temporary%20Internet%20Files\Content.Outlook\F7WSXT9Q\Rastas_lt_j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03CEC-9D03-43BE-87B5-64A0F0413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Rastas_lt_jb.dotx</Template>
  <TotalTime>5</TotalTime>
  <Pages>3</Pages>
  <Words>753</Words>
  <Characters>5260</Characters>
  <Application>Microsoft Office Word</Application>
  <DocSecurity>0</DocSecurity>
  <Lines>43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Jaugielaviciene Gina</dc:creator>
  <cp:lastModifiedBy>Pasakarnis Virginijus</cp:lastModifiedBy>
  <cp:revision>3</cp:revision>
  <cp:lastPrinted>2018-05-08T06:52:00Z</cp:lastPrinted>
  <dcterms:created xsi:type="dcterms:W3CDTF">2018-05-08T13:49:00Z</dcterms:created>
  <dcterms:modified xsi:type="dcterms:W3CDTF">2018-05-08T13:52:00Z</dcterms:modified>
</cp:coreProperties>
</file>