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494C2" w14:textId="77777777" w:rsidR="0046785B" w:rsidRPr="00781B7D" w:rsidRDefault="0046785B" w:rsidP="0046785B">
      <w:pPr>
        <w:jc w:val="center"/>
        <w:rPr>
          <w:rFonts w:eastAsia="Times New Roman"/>
          <w:b/>
          <w:bCs/>
          <w:caps/>
          <w:szCs w:val="24"/>
        </w:rPr>
      </w:pPr>
      <w:r w:rsidRPr="00F7777A">
        <w:rPr>
          <w:rFonts w:eastAsia="Times New Roman"/>
          <w:b/>
          <w:bCs/>
          <w:caps/>
          <w:szCs w:val="24"/>
        </w:rPr>
        <w:t>LIETUVOS RESPUBLIKOS</w:t>
      </w:r>
    </w:p>
    <w:p w14:paraId="57CBBDA7" w14:textId="77777777" w:rsidR="0046785B" w:rsidRPr="00F7777A" w:rsidRDefault="0046785B" w:rsidP="0046785B">
      <w:pPr>
        <w:jc w:val="center"/>
        <w:rPr>
          <w:rFonts w:eastAsia="Times New Roman"/>
          <w:b/>
          <w:caps/>
          <w:szCs w:val="24"/>
        </w:rPr>
      </w:pPr>
      <w:r w:rsidRPr="00F7777A">
        <w:rPr>
          <w:rFonts w:eastAsia="Times New Roman"/>
          <w:b/>
          <w:caps/>
          <w:szCs w:val="24"/>
        </w:rPr>
        <w:t>naftos produktų ir naftos valstybės atsargų įstatymo NR. IX-986</w:t>
      </w:r>
    </w:p>
    <w:p w14:paraId="3E378E27" w14:textId="77777777" w:rsidR="0046785B" w:rsidRDefault="0046785B" w:rsidP="0046785B">
      <w:pPr>
        <w:jc w:val="center"/>
        <w:rPr>
          <w:rFonts w:eastAsia="Times New Roman"/>
          <w:b/>
          <w:caps/>
          <w:szCs w:val="24"/>
        </w:rPr>
      </w:pPr>
      <w:r w:rsidRPr="00F7777A">
        <w:rPr>
          <w:rFonts w:eastAsia="Times New Roman"/>
          <w:b/>
          <w:caps/>
          <w:szCs w:val="24"/>
        </w:rPr>
        <w:t xml:space="preserve">2, 4, 7, </w:t>
      </w:r>
      <w:r>
        <w:rPr>
          <w:b/>
          <w:caps/>
          <w:szCs w:val="24"/>
        </w:rPr>
        <w:t xml:space="preserve">9, 21, 22 STRAIPSNIų ir priedo </w:t>
      </w:r>
      <w:r w:rsidRPr="00F7777A">
        <w:rPr>
          <w:rFonts w:eastAsia="Times New Roman"/>
          <w:b/>
          <w:caps/>
          <w:szCs w:val="24"/>
        </w:rPr>
        <w:t>PAKEITIMO</w:t>
      </w:r>
      <w:r>
        <w:rPr>
          <w:rFonts w:eastAsia="Times New Roman"/>
          <w:b/>
          <w:caps/>
          <w:szCs w:val="24"/>
        </w:rPr>
        <w:t xml:space="preserve"> </w:t>
      </w:r>
      <w:r w:rsidRPr="00F7777A">
        <w:rPr>
          <w:rFonts w:eastAsia="Times New Roman"/>
          <w:b/>
          <w:caps/>
          <w:szCs w:val="24"/>
        </w:rPr>
        <w:t>ĮSTATYM</w:t>
      </w:r>
      <w:r>
        <w:rPr>
          <w:rFonts w:eastAsia="Times New Roman"/>
          <w:b/>
          <w:caps/>
          <w:szCs w:val="24"/>
        </w:rPr>
        <w:t xml:space="preserve">o projekto </w:t>
      </w:r>
    </w:p>
    <w:p w14:paraId="745549E1" w14:textId="4BEA41F5" w:rsidR="0046785B" w:rsidRPr="00F7777A" w:rsidRDefault="00352F27" w:rsidP="0046785B">
      <w:pPr>
        <w:jc w:val="center"/>
        <w:rPr>
          <w:rFonts w:eastAsia="Times New Roman"/>
          <w:caps/>
          <w:szCs w:val="24"/>
        </w:rPr>
      </w:pPr>
      <w:r>
        <w:rPr>
          <w:rFonts w:eastAsia="Times New Roman"/>
          <w:b/>
          <w:caps/>
          <w:szCs w:val="24"/>
        </w:rPr>
        <w:t>derinimo pažyma</w:t>
      </w:r>
    </w:p>
    <w:p w14:paraId="26B2FE16" w14:textId="598072CE" w:rsidR="00562477" w:rsidRDefault="00562477" w:rsidP="00860E23"/>
    <w:p w14:paraId="2FC11C4F" w14:textId="1E67C384" w:rsidR="00860E23" w:rsidRDefault="00860E23" w:rsidP="00860E23"/>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28"/>
        <w:gridCol w:w="4111"/>
      </w:tblGrid>
      <w:tr w:rsidR="0004151C" w:rsidRPr="002349AA" w14:paraId="07F2898B" w14:textId="77777777" w:rsidTr="00B93A45">
        <w:trPr>
          <w:tblHeader/>
        </w:trPr>
        <w:tc>
          <w:tcPr>
            <w:tcW w:w="568" w:type="dxa"/>
            <w:shd w:val="clear" w:color="auto" w:fill="auto"/>
          </w:tcPr>
          <w:p w14:paraId="55614948" w14:textId="77777777" w:rsidR="0004151C" w:rsidRPr="002349AA" w:rsidRDefault="0004151C" w:rsidP="00674E62">
            <w:pPr>
              <w:jc w:val="center"/>
              <w:rPr>
                <w:szCs w:val="24"/>
              </w:rPr>
            </w:pPr>
            <w:r w:rsidRPr="002349AA">
              <w:rPr>
                <w:szCs w:val="24"/>
              </w:rPr>
              <w:t>Eil.</w:t>
            </w:r>
          </w:p>
          <w:p w14:paraId="10453822" w14:textId="77777777" w:rsidR="0004151C" w:rsidRPr="002349AA" w:rsidRDefault="0004151C" w:rsidP="00674E62">
            <w:pPr>
              <w:jc w:val="center"/>
              <w:rPr>
                <w:szCs w:val="24"/>
              </w:rPr>
            </w:pPr>
            <w:r w:rsidRPr="002349AA">
              <w:rPr>
                <w:szCs w:val="24"/>
              </w:rPr>
              <w:t>Nr.</w:t>
            </w:r>
          </w:p>
        </w:tc>
        <w:tc>
          <w:tcPr>
            <w:tcW w:w="5528" w:type="dxa"/>
            <w:shd w:val="clear" w:color="auto" w:fill="auto"/>
            <w:vAlign w:val="center"/>
          </w:tcPr>
          <w:p w14:paraId="4A87362F" w14:textId="77777777" w:rsidR="0004151C" w:rsidRPr="002349AA" w:rsidRDefault="0004151C" w:rsidP="00674E62">
            <w:pPr>
              <w:ind w:left="35"/>
              <w:jc w:val="center"/>
              <w:rPr>
                <w:b/>
                <w:color w:val="0D0D0D"/>
                <w:szCs w:val="24"/>
              </w:rPr>
            </w:pPr>
            <w:r w:rsidRPr="002349AA">
              <w:rPr>
                <w:b/>
                <w:color w:val="0D0D0D"/>
                <w:szCs w:val="24"/>
              </w:rPr>
              <w:t>Pastabos ir pasiūlymai</w:t>
            </w:r>
          </w:p>
        </w:tc>
        <w:tc>
          <w:tcPr>
            <w:tcW w:w="4111" w:type="dxa"/>
            <w:shd w:val="clear" w:color="auto" w:fill="auto"/>
            <w:vAlign w:val="center"/>
          </w:tcPr>
          <w:p w14:paraId="40368E01" w14:textId="17FE7508" w:rsidR="0004151C" w:rsidRPr="002349AA" w:rsidRDefault="002C570A" w:rsidP="00674E62">
            <w:pPr>
              <w:jc w:val="center"/>
              <w:rPr>
                <w:b/>
                <w:color w:val="0D0D0D"/>
                <w:szCs w:val="24"/>
              </w:rPr>
            </w:pPr>
            <w:r>
              <w:rPr>
                <w:b/>
                <w:bCs/>
                <w:szCs w:val="24"/>
              </w:rPr>
              <w:t>Žyma apie nepriimtas arba iš dalies priimtas (nurodyti motyvus) pastabas ir pasiūlymus</w:t>
            </w:r>
          </w:p>
        </w:tc>
      </w:tr>
      <w:tr w:rsidR="0004151C" w:rsidRPr="002349AA" w14:paraId="7480F82D" w14:textId="77777777" w:rsidTr="00735AE3">
        <w:tc>
          <w:tcPr>
            <w:tcW w:w="10207" w:type="dxa"/>
            <w:gridSpan w:val="3"/>
            <w:shd w:val="clear" w:color="auto" w:fill="FFFFFF" w:themeFill="background1"/>
          </w:tcPr>
          <w:p w14:paraId="2AC250AE" w14:textId="17DC71A6" w:rsidR="00FF0B0C" w:rsidRPr="00661EEA" w:rsidRDefault="006A1A0F" w:rsidP="00674E62">
            <w:pPr>
              <w:spacing w:before="60" w:after="60"/>
              <w:jc w:val="center"/>
              <w:rPr>
                <w:rStyle w:val="FontStyle11"/>
                <w:sz w:val="24"/>
                <w:szCs w:val="24"/>
              </w:rPr>
            </w:pPr>
            <w:r w:rsidRPr="00661EEA">
              <w:rPr>
                <w:rStyle w:val="FontStyle11"/>
                <w:sz w:val="24"/>
                <w:szCs w:val="24"/>
              </w:rPr>
              <w:t>Valstybinė</w:t>
            </w:r>
            <w:r w:rsidR="00172C7A">
              <w:rPr>
                <w:rStyle w:val="FontStyle11"/>
                <w:sz w:val="24"/>
                <w:szCs w:val="24"/>
              </w:rPr>
              <w:t>s</w:t>
            </w:r>
            <w:r w:rsidRPr="00661EEA">
              <w:rPr>
                <w:rStyle w:val="FontStyle11"/>
                <w:sz w:val="24"/>
                <w:szCs w:val="24"/>
              </w:rPr>
              <w:t xml:space="preserve"> energetikos inspekcij</w:t>
            </w:r>
            <w:r w:rsidR="00172C7A">
              <w:rPr>
                <w:rStyle w:val="FontStyle11"/>
                <w:sz w:val="24"/>
                <w:szCs w:val="24"/>
              </w:rPr>
              <w:t>o</w:t>
            </w:r>
            <w:r w:rsidR="00172C7A">
              <w:rPr>
                <w:rStyle w:val="FontStyle11"/>
              </w:rPr>
              <w:t>s</w:t>
            </w:r>
            <w:r w:rsidRPr="00661EEA">
              <w:rPr>
                <w:rStyle w:val="FontStyle11"/>
                <w:sz w:val="24"/>
                <w:szCs w:val="24"/>
              </w:rPr>
              <w:t xml:space="preserve"> prie </w:t>
            </w:r>
            <w:r w:rsidR="00FF0B0C" w:rsidRPr="00661EEA">
              <w:rPr>
                <w:rStyle w:val="FontStyle11"/>
                <w:sz w:val="24"/>
                <w:szCs w:val="24"/>
              </w:rPr>
              <w:t xml:space="preserve">Energetikos </w:t>
            </w:r>
            <w:r w:rsidR="0004151C" w:rsidRPr="00661EEA">
              <w:rPr>
                <w:rStyle w:val="FontStyle11"/>
                <w:sz w:val="24"/>
                <w:szCs w:val="24"/>
              </w:rPr>
              <w:t>ministerij</w:t>
            </w:r>
            <w:r w:rsidR="00FF0B0C" w:rsidRPr="00661EEA">
              <w:rPr>
                <w:rStyle w:val="FontStyle11"/>
                <w:sz w:val="24"/>
                <w:szCs w:val="24"/>
              </w:rPr>
              <w:t>os</w:t>
            </w:r>
            <w:r w:rsidR="0004151C" w:rsidRPr="00661EEA">
              <w:rPr>
                <w:rStyle w:val="FontStyle11"/>
                <w:sz w:val="24"/>
                <w:szCs w:val="24"/>
              </w:rPr>
              <w:t xml:space="preserve"> </w:t>
            </w:r>
          </w:p>
          <w:p w14:paraId="7E93506A" w14:textId="6C98471B" w:rsidR="0004151C" w:rsidRPr="002349AA" w:rsidRDefault="00FF0B0C" w:rsidP="00674E62">
            <w:pPr>
              <w:spacing w:before="60" w:after="60"/>
              <w:jc w:val="center"/>
              <w:rPr>
                <w:szCs w:val="24"/>
              </w:rPr>
            </w:pPr>
            <w:r w:rsidRPr="00661EEA">
              <w:rPr>
                <w:rStyle w:val="FontStyle11"/>
                <w:sz w:val="24"/>
                <w:szCs w:val="24"/>
              </w:rPr>
              <w:t>2019</w:t>
            </w:r>
            <w:r w:rsidR="0004151C" w:rsidRPr="00661EEA">
              <w:rPr>
                <w:rStyle w:val="FontStyle11"/>
                <w:sz w:val="24"/>
                <w:szCs w:val="24"/>
              </w:rPr>
              <w:t>-</w:t>
            </w:r>
            <w:r w:rsidRPr="00661EEA">
              <w:rPr>
                <w:rStyle w:val="FontStyle11"/>
                <w:sz w:val="24"/>
                <w:szCs w:val="24"/>
              </w:rPr>
              <w:t>03</w:t>
            </w:r>
            <w:r w:rsidR="0004151C" w:rsidRPr="00661EEA">
              <w:rPr>
                <w:rStyle w:val="FontStyle11"/>
                <w:sz w:val="24"/>
                <w:szCs w:val="24"/>
              </w:rPr>
              <w:t>-</w:t>
            </w:r>
            <w:r w:rsidRPr="00661EEA">
              <w:rPr>
                <w:rStyle w:val="FontStyle11"/>
                <w:sz w:val="24"/>
                <w:szCs w:val="24"/>
              </w:rPr>
              <w:t>15</w:t>
            </w:r>
            <w:r w:rsidR="0004151C" w:rsidRPr="00661EEA">
              <w:rPr>
                <w:rStyle w:val="FontStyle11"/>
                <w:sz w:val="24"/>
                <w:szCs w:val="24"/>
              </w:rPr>
              <w:t xml:space="preserve"> raštas Nr. </w:t>
            </w:r>
            <w:r w:rsidR="0004151C" w:rsidRPr="00661EEA">
              <w:rPr>
                <w:rStyle w:val="FontStyle11"/>
                <w:sz w:val="24"/>
              </w:rPr>
              <w:t>2</w:t>
            </w:r>
            <w:r w:rsidR="00CE622E" w:rsidRPr="00661EEA">
              <w:rPr>
                <w:rStyle w:val="FontStyle11"/>
                <w:sz w:val="24"/>
              </w:rPr>
              <w:t>R</w:t>
            </w:r>
            <w:r w:rsidR="0004151C" w:rsidRPr="00661EEA">
              <w:rPr>
                <w:rStyle w:val="FontStyle11"/>
                <w:sz w:val="24"/>
              </w:rPr>
              <w:t>-</w:t>
            </w:r>
            <w:r w:rsidR="00CE622E" w:rsidRPr="00661EEA">
              <w:rPr>
                <w:rStyle w:val="FontStyle11"/>
                <w:sz w:val="24"/>
              </w:rPr>
              <w:t>873</w:t>
            </w:r>
          </w:p>
        </w:tc>
      </w:tr>
      <w:tr w:rsidR="0004151C" w:rsidRPr="002349AA" w14:paraId="4123B3DF" w14:textId="77777777" w:rsidTr="00B93A45">
        <w:tc>
          <w:tcPr>
            <w:tcW w:w="568" w:type="dxa"/>
            <w:shd w:val="clear" w:color="auto" w:fill="auto"/>
          </w:tcPr>
          <w:p w14:paraId="12BDD85A" w14:textId="77777777" w:rsidR="0004151C" w:rsidRPr="00661EEA" w:rsidRDefault="0004151C" w:rsidP="00735AE3">
            <w:pPr>
              <w:ind w:right="-392"/>
              <w:rPr>
                <w:szCs w:val="24"/>
              </w:rPr>
            </w:pPr>
          </w:p>
        </w:tc>
        <w:tc>
          <w:tcPr>
            <w:tcW w:w="5528" w:type="dxa"/>
            <w:shd w:val="clear" w:color="auto" w:fill="auto"/>
          </w:tcPr>
          <w:p w14:paraId="0865253B" w14:textId="6AEBB026" w:rsidR="00AD4519" w:rsidRPr="00AD4519" w:rsidRDefault="00D2149F" w:rsidP="00D01039">
            <w:pPr>
              <w:jc w:val="both"/>
              <w:rPr>
                <w:szCs w:val="24"/>
                <w:lang w:eastAsia="lt-LT"/>
              </w:rPr>
            </w:pPr>
            <w:r>
              <w:rPr>
                <w:szCs w:val="24"/>
                <w:lang w:eastAsia="lt-LT"/>
              </w:rPr>
              <w:t xml:space="preserve">Siūlome </w:t>
            </w:r>
            <w:r w:rsidR="00AD4519" w:rsidRPr="002349AA">
              <w:rPr>
                <w:szCs w:val="24"/>
                <w:lang w:eastAsia="lt-LT"/>
              </w:rPr>
              <w:t>Įstatymo</w:t>
            </w:r>
            <w:r w:rsidR="00AD4519">
              <w:t xml:space="preserve"> </w:t>
            </w:r>
            <w:r w:rsidR="00AD4519" w:rsidRPr="00AD4519">
              <w:rPr>
                <w:szCs w:val="24"/>
              </w:rPr>
              <w:t>projekte įvertinti Lietuvos Respublikos energetikos įstatymo Nr. IX-884</w:t>
            </w:r>
            <w:r w:rsidR="007B4AB3">
              <w:rPr>
                <w:szCs w:val="24"/>
              </w:rPr>
              <w:t xml:space="preserve"> </w:t>
            </w:r>
            <w:r w:rsidR="00D01039">
              <w:rPr>
                <w:szCs w:val="24"/>
              </w:rPr>
              <w:t>2, 4, 8, 15, 16, 16</w:t>
            </w:r>
            <w:r w:rsidR="00D01039" w:rsidRPr="00C93DD6">
              <w:rPr>
                <w:szCs w:val="24"/>
                <w:vertAlign w:val="superscript"/>
              </w:rPr>
              <w:t>1</w:t>
            </w:r>
            <w:r w:rsidR="00D01039">
              <w:rPr>
                <w:szCs w:val="24"/>
              </w:rPr>
              <w:t>, 19, 19</w:t>
            </w:r>
            <w:r w:rsidR="00D01039" w:rsidRPr="00C93DD6">
              <w:rPr>
                <w:szCs w:val="24"/>
                <w:vertAlign w:val="superscript"/>
              </w:rPr>
              <w:t>1</w:t>
            </w:r>
            <w:r w:rsidR="00D01039">
              <w:rPr>
                <w:szCs w:val="24"/>
              </w:rPr>
              <w:t>, 22, 23, 24</w:t>
            </w:r>
            <w:r w:rsidR="00D01039" w:rsidRPr="00C93DD6">
              <w:rPr>
                <w:szCs w:val="24"/>
                <w:vertAlign w:val="superscript"/>
              </w:rPr>
              <w:t>1</w:t>
            </w:r>
            <w:r w:rsidR="00D01039">
              <w:rPr>
                <w:szCs w:val="24"/>
              </w:rPr>
              <w:t>, 25, 26, 28, 31, 32, 34, 34</w:t>
            </w:r>
            <w:r w:rsidR="00D01039" w:rsidRPr="00C93DD6">
              <w:rPr>
                <w:szCs w:val="24"/>
                <w:vertAlign w:val="superscript"/>
              </w:rPr>
              <w:t>1</w:t>
            </w:r>
            <w:r w:rsidR="00D01039">
              <w:rPr>
                <w:szCs w:val="24"/>
              </w:rPr>
              <w:t xml:space="preserve">, </w:t>
            </w:r>
            <w:r w:rsidR="00AD4519" w:rsidRPr="00AD4519">
              <w:rPr>
                <w:szCs w:val="24"/>
              </w:rPr>
              <w:t>36 ir 37 straipsnių pakeitimo ir</w:t>
            </w:r>
            <w:r w:rsidR="00D01039">
              <w:rPr>
                <w:szCs w:val="24"/>
              </w:rPr>
              <w:t xml:space="preserve"> </w:t>
            </w:r>
            <w:r w:rsidR="00AD4519" w:rsidRPr="00AD4519">
              <w:rPr>
                <w:szCs w:val="24"/>
              </w:rPr>
              <w:t>9 straipsnio pripažinimo netekusiu galios įstatymo nuostatas dėl Valstybine energetikos reguliavimo</w:t>
            </w:r>
            <w:r w:rsidR="00D01039">
              <w:rPr>
                <w:szCs w:val="24"/>
              </w:rPr>
              <w:t xml:space="preserve"> </w:t>
            </w:r>
            <w:r w:rsidR="00AD4519" w:rsidRPr="00AD4519">
              <w:rPr>
                <w:szCs w:val="24"/>
              </w:rPr>
              <w:t>tarybos sukūrimo.</w:t>
            </w:r>
          </w:p>
          <w:p w14:paraId="2B51EE80" w14:textId="7F118583" w:rsidR="00AD4519" w:rsidRPr="00AD4519" w:rsidRDefault="00AD4519" w:rsidP="00AD4519">
            <w:pPr>
              <w:jc w:val="both"/>
              <w:rPr>
                <w:szCs w:val="24"/>
                <w:lang w:eastAsia="lt-LT"/>
              </w:rPr>
            </w:pPr>
            <w:r w:rsidRPr="00AD4519">
              <w:rPr>
                <w:szCs w:val="24"/>
              </w:rPr>
              <w:t>Atsižvelgiant į tai siūlome patikslinti Lietuvos Respublikos naftos produktų ir naftos valstyb</w:t>
            </w:r>
            <w:r w:rsidR="004E26B4">
              <w:rPr>
                <w:szCs w:val="24"/>
              </w:rPr>
              <w:t>ė</w:t>
            </w:r>
            <w:r w:rsidRPr="00AD4519">
              <w:rPr>
                <w:szCs w:val="24"/>
              </w:rPr>
              <w:t xml:space="preserve">s atsargų įstatymo </w:t>
            </w:r>
            <w:r w:rsidRPr="00AD4519">
              <w:rPr>
                <w:b/>
                <w:bCs/>
                <w:szCs w:val="24"/>
              </w:rPr>
              <w:t xml:space="preserve">4 straipsnio 1 dalies </w:t>
            </w:r>
            <w:r w:rsidRPr="00AD4519">
              <w:rPr>
                <w:szCs w:val="24"/>
              </w:rPr>
              <w:t>formuluotę ir ją išdėstyti taip:</w:t>
            </w:r>
          </w:p>
          <w:p w14:paraId="1821ADDE" w14:textId="111908C3" w:rsidR="0004151C" w:rsidRPr="00AD4519" w:rsidRDefault="00A354FF" w:rsidP="00AD4519">
            <w:pPr>
              <w:jc w:val="both"/>
            </w:pPr>
            <w:r>
              <w:rPr>
                <w:szCs w:val="24"/>
              </w:rPr>
              <w:t>„</w:t>
            </w:r>
            <w:r w:rsidRPr="00415526">
              <w:rPr>
                <w:szCs w:val="24"/>
              </w:rPr>
              <w:t>1.</w:t>
            </w:r>
            <w:r w:rsidRPr="00420F09">
              <w:rPr>
                <w:strike/>
                <w:szCs w:val="24"/>
              </w:rPr>
              <w:t xml:space="preserve"> </w:t>
            </w:r>
            <w:r w:rsidRPr="00AE050D">
              <w:rPr>
                <w:strike/>
                <w:szCs w:val="24"/>
              </w:rPr>
              <w:t xml:space="preserve">Valstybinė energetikos inspekcija prie Energetikos ministerijos </w:t>
            </w:r>
            <w:r w:rsidRPr="00191D90">
              <w:rPr>
                <w:b/>
                <w:bCs/>
                <w:szCs w:val="24"/>
              </w:rPr>
              <w:t>Valstybinė energetikos reguliavimo taryb</w:t>
            </w:r>
            <w:r>
              <w:rPr>
                <w:b/>
                <w:bCs/>
                <w:szCs w:val="24"/>
              </w:rPr>
              <w:t xml:space="preserve">a </w:t>
            </w:r>
            <w:r w:rsidRPr="00B93A45">
              <w:rPr>
                <w:szCs w:val="24"/>
              </w:rPr>
              <w:t>(toliau</w:t>
            </w:r>
            <w:r>
              <w:rPr>
                <w:b/>
                <w:bCs/>
                <w:szCs w:val="24"/>
              </w:rPr>
              <w:t xml:space="preserve"> – </w:t>
            </w:r>
            <w:r w:rsidR="00B93A45" w:rsidRPr="00AE050D">
              <w:rPr>
                <w:strike/>
                <w:szCs w:val="24"/>
              </w:rPr>
              <w:t>Inspekcija</w:t>
            </w:r>
            <w:r w:rsidR="00B93A45">
              <w:rPr>
                <w:b/>
                <w:bCs/>
                <w:szCs w:val="24"/>
              </w:rPr>
              <w:t xml:space="preserve"> </w:t>
            </w:r>
            <w:r>
              <w:rPr>
                <w:b/>
                <w:bCs/>
                <w:szCs w:val="24"/>
              </w:rPr>
              <w:t>Taryba)</w:t>
            </w:r>
            <w:r w:rsidRPr="00191D90">
              <w:rPr>
                <w:b/>
                <w:bCs/>
                <w:szCs w:val="24"/>
              </w:rPr>
              <w:t xml:space="preserve"> </w:t>
            </w:r>
            <w:r w:rsidRPr="00F97548">
              <w:rPr>
                <w:szCs w:val="24"/>
              </w:rPr>
              <w:t>Taisyklėse nustatyta tvarka periodiškai tikrina ir prižiūri, kaip Agentūra, įpareigotosios įmonės ir kitos įmonės, teikiančios atsargų kaupimo ir tvarkymo paslaugas, kaupia ir tvarko atsargas, taip pat ar atsargų laikymo vietos ir sąlygos atitinka teisės aktų reikalavimus.</w:t>
            </w:r>
            <w:r w:rsidRPr="00420F09">
              <w:rPr>
                <w:strike/>
                <w:szCs w:val="24"/>
              </w:rPr>
              <w:t xml:space="preserve"> Inspekcija</w:t>
            </w:r>
            <w:r>
              <w:rPr>
                <w:szCs w:val="24"/>
              </w:rPr>
              <w:t xml:space="preserve"> </w:t>
            </w:r>
            <w:r>
              <w:rPr>
                <w:b/>
                <w:bCs/>
                <w:szCs w:val="24"/>
              </w:rPr>
              <w:t>Taryba</w:t>
            </w:r>
            <w:r w:rsidRPr="00F97548">
              <w:rPr>
                <w:szCs w:val="24"/>
              </w:rPr>
              <w:t xml:space="preserve">, atlikdama šiame įstatyme jai nustatytas funkcijas, turi teisę atlikti Agentūros, įpareigotųjų įmonių ir kitų įmonių, teikiančių atsargų kaupimo ir </w:t>
            </w:r>
            <w:r w:rsidRPr="000F4C3D">
              <w:rPr>
                <w:szCs w:val="24"/>
              </w:rPr>
              <w:t xml:space="preserve">tvarkymo paslaugas, patikrinimus, nurodytus šio straipsnio 2 dalyje, </w:t>
            </w:r>
            <w:r w:rsidR="0063539B" w:rsidRPr="000F4C3D">
              <w:rPr>
                <w:b/>
                <w:bCs/>
                <w:szCs w:val="24"/>
              </w:rPr>
              <w:t>bei</w:t>
            </w:r>
            <w:r w:rsidR="0063539B" w:rsidRPr="000F4C3D">
              <w:rPr>
                <w:szCs w:val="24"/>
              </w:rPr>
              <w:t xml:space="preserve"> </w:t>
            </w:r>
            <w:r w:rsidRPr="000F4C3D">
              <w:rPr>
                <w:strike/>
                <w:szCs w:val="24"/>
              </w:rPr>
              <w:t>taip pat kitas teisės aktų nustatytas teises</w:t>
            </w:r>
            <w:r w:rsidR="0063539B" w:rsidRPr="000F4C3D">
              <w:rPr>
                <w:strike/>
                <w:szCs w:val="24"/>
              </w:rPr>
              <w:t xml:space="preserve"> </w:t>
            </w:r>
            <w:r w:rsidR="000F4C3D" w:rsidRPr="000F4C3D">
              <w:rPr>
                <w:rFonts w:eastAsia="Times New Roman"/>
                <w:b/>
                <w:bCs/>
                <w:szCs w:val="24"/>
              </w:rPr>
              <w:t>taikyti Lietuvos Respublikos energetikos įstatymo 36 straipsnio 1 dalies 2 punkte nurodytas sankcijas</w:t>
            </w:r>
            <w:r w:rsidR="000F4C3D" w:rsidRPr="000F4C3D">
              <w:rPr>
                <w:rFonts w:eastAsia="Times New Roman"/>
                <w:szCs w:val="24"/>
              </w:rPr>
              <w:t xml:space="preserve">. </w:t>
            </w:r>
            <w:r w:rsidR="000F4C3D" w:rsidRPr="000F4C3D">
              <w:rPr>
                <w:rFonts w:eastAsia="Times New Roman"/>
                <w:b/>
                <w:bCs/>
                <w:szCs w:val="24"/>
              </w:rPr>
              <w:t>Jeigu per</w:t>
            </w:r>
            <w:r w:rsidR="000F4C3D" w:rsidRPr="000F4C3D">
              <w:rPr>
                <w:rFonts w:eastAsia="Times New Roman"/>
                <w:szCs w:val="24"/>
              </w:rPr>
              <w:t xml:space="preserve"> </w:t>
            </w:r>
            <w:r w:rsidR="003F1209" w:rsidRPr="003F1209">
              <w:rPr>
                <w:b/>
                <w:bCs/>
                <w:strike/>
                <w:szCs w:val="24"/>
              </w:rPr>
              <w:t>Inspekcij</w:t>
            </w:r>
            <w:r w:rsidR="003F1209">
              <w:rPr>
                <w:b/>
                <w:bCs/>
                <w:strike/>
                <w:szCs w:val="24"/>
              </w:rPr>
              <w:t>os</w:t>
            </w:r>
            <w:r w:rsidR="003F1209">
              <w:rPr>
                <w:b/>
                <w:bCs/>
                <w:szCs w:val="24"/>
              </w:rPr>
              <w:t xml:space="preserve"> </w:t>
            </w:r>
            <w:r w:rsidR="000F4C3D" w:rsidRPr="000F4C3D">
              <w:rPr>
                <w:rFonts w:eastAsia="Times New Roman"/>
                <w:b/>
                <w:bCs/>
                <w:szCs w:val="24"/>
              </w:rPr>
              <w:t>Tarybos nustatytą terminą nesudaromos sąlygos ar kitaip trukdoma atlikti atsargų patikrinimą, laikoma, kad atsargos nesukauptos</w:t>
            </w:r>
            <w:r>
              <w:rPr>
                <w:szCs w:val="24"/>
              </w:rPr>
              <w:t>.</w:t>
            </w:r>
            <w:r w:rsidR="008B3541" w:rsidRPr="00204A51">
              <w:rPr>
                <w:strike/>
                <w:szCs w:val="24"/>
              </w:rPr>
              <w:t xml:space="preserve"> </w:t>
            </w:r>
            <w:r w:rsidR="008B3541" w:rsidRPr="00204A51">
              <w:rPr>
                <w:b/>
                <w:bCs/>
                <w:strike/>
                <w:szCs w:val="24"/>
              </w:rPr>
              <w:t>Patikrinimo metu nustačiusi atsargų kaupimo pažeidimų, Inspekcija</w:t>
            </w:r>
            <w:r w:rsidR="008B3541" w:rsidRPr="00204A51">
              <w:rPr>
                <w:strike/>
              </w:rPr>
              <w:t xml:space="preserve"> </w:t>
            </w:r>
            <w:r w:rsidR="008B3541" w:rsidRPr="00204A51">
              <w:rPr>
                <w:b/>
                <w:bCs/>
                <w:strike/>
                <w:szCs w:val="24"/>
              </w:rPr>
              <w:t>apie patikrinimo rezultatus raštu informuoja Energetikos ministeriją, įpareigotąją įmonę, šiai įpareigotajai įmonei leidimą verstis prekyba nefasuotais naftos produktais išduodančią instituciją.</w:t>
            </w:r>
            <w:r w:rsidRPr="00AB01A7">
              <w:rPr>
                <w:szCs w:val="24"/>
              </w:rPr>
              <w:t>“</w:t>
            </w:r>
          </w:p>
        </w:tc>
        <w:tc>
          <w:tcPr>
            <w:tcW w:w="4111" w:type="dxa"/>
            <w:shd w:val="clear" w:color="auto" w:fill="auto"/>
          </w:tcPr>
          <w:p w14:paraId="5F17E7D3" w14:textId="5053D456" w:rsidR="0004151C" w:rsidRPr="002349AA" w:rsidRDefault="0039672E" w:rsidP="00674E62">
            <w:pPr>
              <w:jc w:val="both"/>
              <w:rPr>
                <w:b/>
                <w:color w:val="0D0D0D"/>
                <w:szCs w:val="24"/>
              </w:rPr>
            </w:pPr>
            <w:r w:rsidRPr="0039672E">
              <w:rPr>
                <w:b/>
                <w:color w:val="0D0D0D"/>
                <w:szCs w:val="24"/>
              </w:rPr>
              <w:t>A</w:t>
            </w:r>
            <w:r w:rsidR="0004151C" w:rsidRPr="0039672E">
              <w:rPr>
                <w:b/>
                <w:color w:val="0D0D0D"/>
                <w:szCs w:val="24"/>
              </w:rPr>
              <w:t>tsižvelgta</w:t>
            </w:r>
            <w:r w:rsidRPr="0039672E">
              <w:rPr>
                <w:b/>
                <w:color w:val="0D0D0D"/>
                <w:szCs w:val="24"/>
              </w:rPr>
              <w:t xml:space="preserve"> iš dalies</w:t>
            </w:r>
          </w:p>
          <w:p w14:paraId="603EC21C" w14:textId="7F00BA8D" w:rsidR="0004151C" w:rsidRDefault="00BE40D0" w:rsidP="00674E62">
            <w:pPr>
              <w:jc w:val="both"/>
              <w:rPr>
                <w:szCs w:val="24"/>
                <w:lang w:eastAsia="lt-LT"/>
              </w:rPr>
            </w:pPr>
            <w:r>
              <w:rPr>
                <w:szCs w:val="24"/>
                <w:lang w:eastAsia="lt-LT"/>
              </w:rPr>
              <w:t>N</w:t>
            </w:r>
            <w:r w:rsidR="005E521B">
              <w:rPr>
                <w:szCs w:val="24"/>
                <w:lang w:eastAsia="lt-LT"/>
              </w:rPr>
              <w:t>uo</w:t>
            </w:r>
            <w:r>
              <w:rPr>
                <w:szCs w:val="24"/>
                <w:lang w:eastAsia="lt-LT"/>
              </w:rPr>
              <w:t xml:space="preserve">roda į </w:t>
            </w:r>
            <w:r w:rsidR="00661EEA" w:rsidRPr="00AD4519">
              <w:rPr>
                <w:szCs w:val="24"/>
              </w:rPr>
              <w:t xml:space="preserve">Lietuvos Respublikos </w:t>
            </w:r>
            <w:r w:rsidR="00661EEA">
              <w:rPr>
                <w:szCs w:val="24"/>
                <w:lang w:eastAsia="lt-LT"/>
              </w:rPr>
              <w:t>e</w:t>
            </w:r>
            <w:r>
              <w:rPr>
                <w:szCs w:val="24"/>
                <w:lang w:eastAsia="lt-LT"/>
              </w:rPr>
              <w:t>nergetikos įstatym</w:t>
            </w:r>
            <w:r w:rsidR="00A76D1C">
              <w:rPr>
                <w:szCs w:val="24"/>
                <w:lang w:eastAsia="lt-LT"/>
              </w:rPr>
              <w:t xml:space="preserve">o </w:t>
            </w:r>
            <w:r w:rsidR="00A76D1C" w:rsidRPr="00A76D1C">
              <w:rPr>
                <w:szCs w:val="24"/>
                <w:lang w:eastAsia="lt-LT"/>
              </w:rPr>
              <w:t xml:space="preserve">36 straipsnio </w:t>
            </w:r>
            <w:r w:rsidR="00661EEA">
              <w:rPr>
                <w:szCs w:val="24"/>
                <w:lang w:eastAsia="lt-LT"/>
              </w:rPr>
              <w:br/>
            </w:r>
            <w:r w:rsidR="00A76D1C" w:rsidRPr="00A76D1C">
              <w:rPr>
                <w:szCs w:val="24"/>
                <w:lang w:eastAsia="lt-LT"/>
              </w:rPr>
              <w:t>1 dalies 2 punkt</w:t>
            </w:r>
            <w:r w:rsidR="001D3E9A">
              <w:rPr>
                <w:szCs w:val="24"/>
                <w:lang w:eastAsia="lt-LT"/>
              </w:rPr>
              <w:t>ą</w:t>
            </w:r>
            <w:r>
              <w:rPr>
                <w:szCs w:val="24"/>
                <w:lang w:eastAsia="lt-LT"/>
              </w:rPr>
              <w:t xml:space="preserve"> susiaurina teisės aktų taikymo sri</w:t>
            </w:r>
            <w:r w:rsidR="008C7003">
              <w:rPr>
                <w:szCs w:val="24"/>
                <w:lang w:eastAsia="lt-LT"/>
              </w:rPr>
              <w:t>tis</w:t>
            </w:r>
            <w:r w:rsidR="0004151C">
              <w:t xml:space="preserve">. </w:t>
            </w:r>
            <w:r w:rsidR="00C838DF">
              <w:t>Pažymėtina, kad Energetikos įstatym</w:t>
            </w:r>
            <w:r w:rsidR="00A237E4">
              <w:t>o nustatyta tvarka</w:t>
            </w:r>
            <w:r w:rsidR="00C838DF">
              <w:t xml:space="preserve"> už </w:t>
            </w:r>
            <w:r w:rsidR="00972F99" w:rsidRPr="00972F99">
              <w:t>reguliuojamosios veiklos sąlygų ir reikalavimų pažeidimus energetikos įmon</w:t>
            </w:r>
            <w:r w:rsidR="00987D92">
              <w:t xml:space="preserve">ei </w:t>
            </w:r>
            <w:r w:rsidR="00CE6F52">
              <w:t>gali</w:t>
            </w:r>
            <w:r w:rsidR="009614D4">
              <w:t xml:space="preserve"> </w:t>
            </w:r>
            <w:r w:rsidR="00CE6F52">
              <w:t xml:space="preserve">būti panaikintas </w:t>
            </w:r>
            <w:r w:rsidR="009614D4" w:rsidRPr="009614D4">
              <w:t>verstis prekyba nefasuotais naftos produktais leidim</w:t>
            </w:r>
            <w:r w:rsidR="009614D4">
              <w:t xml:space="preserve">as. </w:t>
            </w:r>
            <w:r w:rsidR="00CD57DE">
              <w:t>Įrašius konkrečia</w:t>
            </w:r>
            <w:r w:rsidR="009D30EC">
              <w:t>s sankcijas, būtų apribotos teisinė</w:t>
            </w:r>
            <w:r w:rsidR="005E42CF">
              <w:t>s</w:t>
            </w:r>
            <w:r w:rsidR="009D30EC">
              <w:t xml:space="preserve"> galimybės </w:t>
            </w:r>
            <w:r w:rsidR="005E42CF">
              <w:t xml:space="preserve">taikyti </w:t>
            </w:r>
            <w:r w:rsidR="005E42CF">
              <w:rPr>
                <w:szCs w:val="24"/>
                <w:lang w:eastAsia="lt-LT"/>
              </w:rPr>
              <w:t>Energetikos įstatym</w:t>
            </w:r>
            <w:r w:rsidR="000B012D">
              <w:rPr>
                <w:szCs w:val="24"/>
                <w:lang w:eastAsia="lt-LT"/>
              </w:rPr>
              <w:t xml:space="preserve">e numatytas kitas poveikio priemones. </w:t>
            </w:r>
          </w:p>
          <w:p w14:paraId="3325831D" w14:textId="6E911FA5" w:rsidR="00852268" w:rsidRPr="002349AA" w:rsidRDefault="00406B8F" w:rsidP="00674E62">
            <w:pPr>
              <w:jc w:val="both"/>
              <w:rPr>
                <w:color w:val="0D0D0D"/>
                <w:szCs w:val="24"/>
              </w:rPr>
            </w:pPr>
            <w:r w:rsidRPr="00AD4519">
              <w:rPr>
                <w:szCs w:val="24"/>
              </w:rPr>
              <w:t xml:space="preserve">Lietuvos Respublikos </w:t>
            </w:r>
            <w:r>
              <w:t>a</w:t>
            </w:r>
            <w:r w:rsidR="00402941" w:rsidRPr="00032378">
              <w:t>dministracinių nusižengimų kodeks</w:t>
            </w:r>
            <w:r w:rsidR="006742DE">
              <w:t>e</w:t>
            </w:r>
            <w:r w:rsidR="00402941" w:rsidRPr="00032378">
              <w:t xml:space="preserve"> </w:t>
            </w:r>
            <w:r w:rsidR="002B1825">
              <w:t xml:space="preserve">taip pat </w:t>
            </w:r>
            <w:r w:rsidR="00402941" w:rsidRPr="00032378">
              <w:t xml:space="preserve">nustatytos baudos įmonių vadovams už atsargų nesukaupimą ar </w:t>
            </w:r>
            <w:r w:rsidR="00402941">
              <w:t>netinkamos kokybės valstybės atsargų sukaupimą</w:t>
            </w:r>
            <w:r w:rsidR="001E3CEC">
              <w:t xml:space="preserve"> ir už </w:t>
            </w:r>
            <w:r w:rsidR="00032378" w:rsidRPr="00032378">
              <w:t>kliudymą įstatymų įgaliotiems pareigūnams įgyvendinti jiems nustatytas teises ar atlikti jiems pavestas pareigas, šių pareigūnų teisėtų nurodymų ir reikalavimų nevykdymą ar netinkamą vykdymą</w:t>
            </w:r>
            <w:r w:rsidR="00032378">
              <w:t xml:space="preserve">. </w:t>
            </w:r>
          </w:p>
        </w:tc>
      </w:tr>
    </w:tbl>
    <w:p w14:paraId="0DC45701" w14:textId="404A6FBF" w:rsidR="00860E23" w:rsidRDefault="00860E23" w:rsidP="00860E23"/>
    <w:p w14:paraId="1C25F043" w14:textId="77777777" w:rsidR="006949E3" w:rsidRPr="004433F8" w:rsidRDefault="006949E3" w:rsidP="006949E3">
      <w:pPr>
        <w:rPr>
          <w:szCs w:val="24"/>
        </w:rPr>
      </w:pPr>
    </w:p>
    <w:p w14:paraId="5982B6B5" w14:textId="77777777" w:rsidR="00860E23" w:rsidRDefault="00860E23" w:rsidP="00860E23">
      <w:bookmarkStart w:id="0" w:name="_GoBack"/>
      <w:bookmarkEnd w:id="0"/>
    </w:p>
    <w:sectPr w:rsidR="00860E23" w:rsidSect="00860E23">
      <w:pgSz w:w="11907" w:h="16840" w:code="9"/>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65AEC"/>
    <w:multiLevelType w:val="multilevel"/>
    <w:tmpl w:val="A514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A68A7"/>
    <w:multiLevelType w:val="hybridMultilevel"/>
    <w:tmpl w:val="346099E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E"/>
    <w:rsid w:val="00032378"/>
    <w:rsid w:val="0004151C"/>
    <w:rsid w:val="000B012D"/>
    <w:rsid w:val="000F4C3D"/>
    <w:rsid w:val="00150D7D"/>
    <w:rsid w:val="00172C7A"/>
    <w:rsid w:val="001D3E9A"/>
    <w:rsid w:val="001E3CEC"/>
    <w:rsid w:val="00204A51"/>
    <w:rsid w:val="002351C6"/>
    <w:rsid w:val="002B1825"/>
    <w:rsid w:val="002C570A"/>
    <w:rsid w:val="002F526D"/>
    <w:rsid w:val="00352F27"/>
    <w:rsid w:val="003646F5"/>
    <w:rsid w:val="003852B6"/>
    <w:rsid w:val="0039672E"/>
    <w:rsid w:val="003F1209"/>
    <w:rsid w:val="00402941"/>
    <w:rsid w:val="00406B8F"/>
    <w:rsid w:val="0046785B"/>
    <w:rsid w:val="004E26B4"/>
    <w:rsid w:val="00543B88"/>
    <w:rsid w:val="00562477"/>
    <w:rsid w:val="005E42CF"/>
    <w:rsid w:val="005E521B"/>
    <w:rsid w:val="0063539B"/>
    <w:rsid w:val="00657671"/>
    <w:rsid w:val="00661EEA"/>
    <w:rsid w:val="006742DE"/>
    <w:rsid w:val="00674E62"/>
    <w:rsid w:val="006949E3"/>
    <w:rsid w:val="006A1A0F"/>
    <w:rsid w:val="006F1FCC"/>
    <w:rsid w:val="00735AE3"/>
    <w:rsid w:val="007637A4"/>
    <w:rsid w:val="007B4AB3"/>
    <w:rsid w:val="00801EFB"/>
    <w:rsid w:val="00852268"/>
    <w:rsid w:val="00855449"/>
    <w:rsid w:val="00860E23"/>
    <w:rsid w:val="0086428B"/>
    <w:rsid w:val="00880050"/>
    <w:rsid w:val="008B3541"/>
    <w:rsid w:val="008B797E"/>
    <w:rsid w:val="008C7003"/>
    <w:rsid w:val="008D22B6"/>
    <w:rsid w:val="009614D4"/>
    <w:rsid w:val="00972F99"/>
    <w:rsid w:val="00987D92"/>
    <w:rsid w:val="009D30EC"/>
    <w:rsid w:val="00A237E4"/>
    <w:rsid w:val="00A354FF"/>
    <w:rsid w:val="00A76D1C"/>
    <w:rsid w:val="00AA0892"/>
    <w:rsid w:val="00AD4519"/>
    <w:rsid w:val="00B93A45"/>
    <w:rsid w:val="00BB139F"/>
    <w:rsid w:val="00BE40D0"/>
    <w:rsid w:val="00BE4A9F"/>
    <w:rsid w:val="00C838DF"/>
    <w:rsid w:val="00CD57DE"/>
    <w:rsid w:val="00CE622E"/>
    <w:rsid w:val="00CE6F52"/>
    <w:rsid w:val="00CF1669"/>
    <w:rsid w:val="00D01039"/>
    <w:rsid w:val="00D2149F"/>
    <w:rsid w:val="00ED62DC"/>
    <w:rsid w:val="00F01D17"/>
    <w:rsid w:val="00FF0B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100A"/>
  <w15:chartTrackingRefBased/>
  <w15:docId w15:val="{BC9B92D4-1C55-4EB1-9F4E-A744693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51C"/>
    <w:pPr>
      <w:spacing w:after="0" w:line="240" w:lineRule="auto"/>
    </w:pPr>
    <w:rPr>
      <w:rFonts w:eastAsia="Calibri"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04151C"/>
    <w:rPr>
      <w:rFonts w:ascii="Times New Roman" w:hAnsi="Times New Roman" w:cs="Times New Roman"/>
      <w:b/>
      <w:bCs/>
      <w:sz w:val="26"/>
      <w:szCs w:val="26"/>
    </w:rPr>
  </w:style>
  <w:style w:type="character" w:customStyle="1" w:styleId="FontStyle15">
    <w:name w:val="Font Style15"/>
    <w:rsid w:val="0004151C"/>
    <w:rPr>
      <w:rFonts w:ascii="Times New Roman" w:hAnsi="Times New Roman"/>
      <w:sz w:val="20"/>
    </w:rPr>
  </w:style>
  <w:style w:type="paragraph" w:styleId="ListParagraph">
    <w:name w:val="List Paragraph"/>
    <w:basedOn w:val="Normal"/>
    <w:uiPriority w:val="34"/>
    <w:qFormat/>
    <w:rsid w:val="0004151C"/>
    <w:pPr>
      <w:ind w:left="720"/>
      <w:contextualSpacing/>
    </w:pPr>
  </w:style>
  <w:style w:type="character" w:customStyle="1" w:styleId="Bodytext">
    <w:name w:val="Body text_"/>
    <w:basedOn w:val="DefaultParagraphFont"/>
    <w:link w:val="BodyText7"/>
    <w:rsid w:val="00AD4519"/>
    <w:rPr>
      <w:rFonts w:eastAsia="Times New Roman" w:cs="Times New Roman"/>
      <w:spacing w:val="10"/>
      <w:sz w:val="19"/>
      <w:szCs w:val="19"/>
      <w:shd w:val="clear" w:color="auto" w:fill="FFFFFF"/>
    </w:rPr>
  </w:style>
  <w:style w:type="character" w:customStyle="1" w:styleId="BodyText2">
    <w:name w:val="Body Text2"/>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3">
    <w:name w:val="Body Text3"/>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Bold">
    <w:name w:val="Body text + Bold"/>
    <w:basedOn w:val="Bodytext"/>
    <w:rsid w:val="00AD4519"/>
    <w:rPr>
      <w:rFonts w:eastAsia="Times New Roman" w:cs="Times New Roman"/>
      <w:b/>
      <w:bCs/>
      <w:color w:val="000000"/>
      <w:spacing w:val="10"/>
      <w:w w:val="100"/>
      <w:position w:val="0"/>
      <w:sz w:val="19"/>
      <w:szCs w:val="19"/>
      <w:shd w:val="clear" w:color="auto" w:fill="FFFFFF"/>
      <w:lang w:val="lt-LT" w:eastAsia="lt-LT" w:bidi="lt-LT"/>
    </w:rPr>
  </w:style>
  <w:style w:type="character" w:customStyle="1" w:styleId="BodyText4">
    <w:name w:val="Body Text4"/>
    <w:basedOn w:val="Bodytext"/>
    <w:rsid w:val="00AD4519"/>
    <w:rPr>
      <w:rFonts w:eastAsia="Times New Roman" w:cs="Times New Roman"/>
      <w:strike/>
      <w:color w:val="000000"/>
      <w:spacing w:val="10"/>
      <w:w w:val="100"/>
      <w:position w:val="0"/>
      <w:sz w:val="19"/>
      <w:szCs w:val="19"/>
      <w:shd w:val="clear" w:color="auto" w:fill="FFFFFF"/>
      <w:lang w:val="lt-LT" w:eastAsia="lt-LT" w:bidi="lt-LT"/>
    </w:rPr>
  </w:style>
  <w:style w:type="character" w:customStyle="1" w:styleId="BodyText5">
    <w:name w:val="Body Text5"/>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character" w:customStyle="1" w:styleId="BodyText6">
    <w:name w:val="Body Text6"/>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paragraph" w:customStyle="1" w:styleId="BodyText7">
    <w:name w:val="Body Text7"/>
    <w:basedOn w:val="Normal"/>
    <w:link w:val="Bodytext"/>
    <w:rsid w:val="00AD4519"/>
    <w:pPr>
      <w:widowControl w:val="0"/>
      <w:shd w:val="clear" w:color="auto" w:fill="FFFFFF"/>
      <w:spacing w:line="274" w:lineRule="exact"/>
    </w:pPr>
    <w:rPr>
      <w:rFonts w:eastAsia="Times New Roman"/>
      <w:spacing w:val="10"/>
      <w:sz w:val="19"/>
      <w:szCs w:val="19"/>
      <w:lang w:val="en-US"/>
    </w:rPr>
  </w:style>
  <w:style w:type="character" w:styleId="CommentReference">
    <w:name w:val="annotation reference"/>
    <w:basedOn w:val="DefaultParagraphFont"/>
    <w:uiPriority w:val="99"/>
    <w:semiHidden/>
    <w:unhideWhenUsed/>
    <w:rsid w:val="000F4C3D"/>
    <w:rPr>
      <w:sz w:val="16"/>
      <w:szCs w:val="16"/>
    </w:rPr>
  </w:style>
  <w:style w:type="paragraph" w:styleId="CommentText">
    <w:name w:val="annotation text"/>
    <w:basedOn w:val="Normal"/>
    <w:link w:val="CommentTextChar"/>
    <w:uiPriority w:val="99"/>
    <w:semiHidden/>
    <w:unhideWhenUsed/>
    <w:rsid w:val="000F4C3D"/>
    <w:rPr>
      <w:rFonts w:eastAsia="Times New Roman"/>
      <w:sz w:val="20"/>
    </w:rPr>
  </w:style>
  <w:style w:type="character" w:customStyle="1" w:styleId="CommentTextChar">
    <w:name w:val="Comment Text Char"/>
    <w:basedOn w:val="DefaultParagraphFont"/>
    <w:link w:val="CommentText"/>
    <w:uiPriority w:val="99"/>
    <w:semiHidden/>
    <w:rsid w:val="000F4C3D"/>
    <w:rPr>
      <w:rFonts w:eastAsia="Times New Roman" w:cs="Times New Roman"/>
      <w:sz w:val="20"/>
      <w:szCs w:val="20"/>
      <w:lang w:val="lt-LT"/>
    </w:rPr>
  </w:style>
  <w:style w:type="paragraph" w:styleId="BalloonText">
    <w:name w:val="Balloon Text"/>
    <w:basedOn w:val="Normal"/>
    <w:link w:val="BalloonTextChar"/>
    <w:uiPriority w:val="99"/>
    <w:semiHidden/>
    <w:unhideWhenUsed/>
    <w:rsid w:val="000F4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C3D"/>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A5FA2-D1F5-4AC6-87B5-7EA995A1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1878</Words>
  <Characters>1071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2019-04-19T07:22:00Z</dcterms:created>
  <dc:creator>Lina Svegzdaite</dc:creator>
  <cp:lastModifiedBy>Lina Svegzdaite</cp:lastModifiedBy>
  <dcterms:modified xsi:type="dcterms:W3CDTF">2019-04-19T07:23:00Z</dcterms:modified>
  <cp:revision>4</cp:revision>
</cp:coreProperties>
</file>