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79" w:rsidRPr="0017773A" w:rsidRDefault="0017773A" w:rsidP="005F1F39">
      <w:pPr>
        <w:jc w:val="center"/>
        <w:rPr>
          <w:rFonts w:ascii="Times New Roman" w:hAnsi="Times New Roman"/>
          <w:b/>
          <w:sz w:val="24"/>
          <w:szCs w:val="24"/>
        </w:rPr>
      </w:pPr>
      <w:bookmarkStart w:id="0" w:name="_GoBack"/>
      <w:bookmarkEnd w:id="0"/>
      <w:r w:rsidRPr="0017773A">
        <w:rPr>
          <w:rFonts w:ascii="Times New Roman" w:hAnsi="Times New Roman"/>
          <w:b/>
          <w:sz w:val="24"/>
          <w:szCs w:val="24"/>
        </w:rPr>
        <w:t>KOMISIJOS REGLAMENT</w:t>
      </w:r>
      <w:r>
        <w:rPr>
          <w:rFonts w:ascii="Times New Roman" w:hAnsi="Times New Roman"/>
          <w:b/>
          <w:sz w:val="24"/>
          <w:szCs w:val="24"/>
        </w:rPr>
        <w:t>O</w:t>
      </w:r>
      <w:r w:rsidR="00AC198A">
        <w:rPr>
          <w:rFonts w:ascii="Times New Roman" w:hAnsi="Times New Roman"/>
          <w:b/>
          <w:sz w:val="24"/>
          <w:szCs w:val="24"/>
        </w:rPr>
        <w:t xml:space="preserve"> (ES) NR. 349/2011</w:t>
      </w:r>
      <w:r w:rsidRPr="0017773A">
        <w:rPr>
          <w:rFonts w:ascii="Times New Roman" w:hAnsi="Times New Roman"/>
          <w:b/>
          <w:sz w:val="24"/>
          <w:szCs w:val="24"/>
        </w:rPr>
        <w:t xml:space="preserve"> IR LIETUVOS RESPUBLIKOS VYRIAUSYBĖS NUTARIMO „DĖL LIETUV</w:t>
      </w:r>
      <w:r w:rsidR="00AC198A">
        <w:rPr>
          <w:rFonts w:ascii="Times New Roman" w:hAnsi="Times New Roman"/>
          <w:b/>
          <w:sz w:val="24"/>
          <w:szCs w:val="24"/>
        </w:rPr>
        <w:t>OS RESPUBLIKOS VYRIAUSYBĖS 2004 </w:t>
      </w:r>
      <w:r w:rsidRPr="0017773A">
        <w:rPr>
          <w:rFonts w:ascii="Times New Roman" w:hAnsi="Times New Roman"/>
          <w:b/>
          <w:sz w:val="24"/>
          <w:szCs w:val="24"/>
        </w:rPr>
        <w:t>M. RUGSĖJO 2 D. NUTARIMO NR. 1118 „DĖL NELAIMINGŲ ATSITIKIMŲ DARBE TYRIMO IR APSKAITOS NUOSTATŲ PATVIRTINIMO“ PAKEITIMO“ PROJEKT</w:t>
      </w:r>
      <w:r>
        <w:rPr>
          <w:rFonts w:ascii="Times New Roman" w:hAnsi="Times New Roman"/>
          <w:b/>
          <w:sz w:val="24"/>
          <w:szCs w:val="24"/>
        </w:rPr>
        <w:t>O</w:t>
      </w:r>
      <w:r w:rsidRPr="0017773A">
        <w:rPr>
          <w:rFonts w:ascii="Times New Roman" w:hAnsi="Times New Roman"/>
          <w:b/>
          <w:sz w:val="24"/>
          <w:szCs w:val="24"/>
        </w:rPr>
        <w:t xml:space="preserve"> ATITIKTIES LENTELĖ</w:t>
      </w:r>
    </w:p>
    <w:p w:rsidR="00E23679" w:rsidRPr="0017773A" w:rsidRDefault="00E23679" w:rsidP="0031412D">
      <w:pPr>
        <w:ind w:left="-57" w:firstLine="284"/>
        <w:jc w:val="center"/>
        <w:rPr>
          <w:rFonts w:ascii="Times New Roman" w:hAnsi="Times New Roman"/>
          <w:b/>
          <w:sz w:val="24"/>
          <w:szCs w:val="24"/>
        </w:rPr>
      </w:pPr>
    </w:p>
    <w:tbl>
      <w:tblPr>
        <w:tblStyle w:val="LentelPaprasta1"/>
        <w:tblW w:w="9498" w:type="dxa"/>
        <w:tblInd w:w="-34" w:type="dxa"/>
        <w:tblLayout w:type="fixed"/>
        <w:tblLook w:val="04A0" w:firstRow="1" w:lastRow="0" w:firstColumn="1" w:lastColumn="0" w:noHBand="0" w:noVBand="1"/>
      </w:tblPr>
      <w:tblGrid>
        <w:gridCol w:w="3969"/>
        <w:gridCol w:w="3970"/>
        <w:gridCol w:w="1559"/>
      </w:tblGrid>
      <w:tr w:rsidR="00E23679" w:rsidRPr="0017773A" w:rsidTr="005F1F39">
        <w:tc>
          <w:tcPr>
            <w:tcW w:w="3969" w:type="dxa"/>
          </w:tcPr>
          <w:p w:rsidR="00E23679" w:rsidRPr="0017773A" w:rsidRDefault="00AC198A" w:rsidP="005F1F39">
            <w:pPr>
              <w:rPr>
                <w:rFonts w:ascii="Times New Roman" w:hAnsi="Times New Roman"/>
                <w:sz w:val="24"/>
                <w:szCs w:val="24"/>
              </w:rPr>
            </w:pPr>
            <w:r w:rsidRPr="0017773A">
              <w:rPr>
                <w:rFonts w:ascii="Times New Roman" w:hAnsi="Times New Roman"/>
                <w:b/>
                <w:color w:val="auto"/>
                <w:sz w:val="24"/>
                <w:szCs w:val="24"/>
              </w:rPr>
              <w:t xml:space="preserve">2011 m. balandžio 11 d. Komisijos reglamentas (ES) Nr. 349/2011, kuriuo įgyvendinamos Europos Parlamento ir Tarybos reglamento (EB) Nr. 1338/2008 dėl Bendrijos statistikos apie visuomenės sveikatą ir sveikatą bei saugą darbe nuostatos dėl nelaimingų atsitikimų darbe statistikos </w:t>
            </w:r>
          </w:p>
        </w:tc>
        <w:tc>
          <w:tcPr>
            <w:tcW w:w="3970" w:type="dxa"/>
          </w:tcPr>
          <w:p w:rsidR="00E23679" w:rsidRPr="00AC198A" w:rsidRDefault="00AC198A" w:rsidP="00997C77">
            <w:pPr>
              <w:ind w:left="-57"/>
              <w:rPr>
                <w:rFonts w:ascii="Times New Roman" w:hAnsi="Times New Roman"/>
                <w:b/>
                <w:sz w:val="24"/>
                <w:szCs w:val="24"/>
              </w:rPr>
            </w:pPr>
            <w:r w:rsidRPr="00AC198A">
              <w:rPr>
                <w:rFonts w:ascii="Times New Roman" w:hAnsi="Times New Roman"/>
                <w:b/>
                <w:color w:val="auto"/>
                <w:sz w:val="24"/>
                <w:szCs w:val="24"/>
              </w:rPr>
              <w:t>Lietuvos Respublikos Vyriausybės nutarimo „Dėl Lietuvos Respublikos Vyriausybės 2004 m. rugsėjo 2 d. nutarimo Nr. 1118 „Dėl Nelaimingų atsitikimų darbe tyrimo ir apskaitos nuostatų patvirtinimo“ pakeitimo“ projektas (toliau – Projektas)</w:t>
            </w:r>
          </w:p>
        </w:tc>
        <w:tc>
          <w:tcPr>
            <w:tcW w:w="1559" w:type="dxa"/>
          </w:tcPr>
          <w:p w:rsidR="00E23679" w:rsidRPr="0017773A" w:rsidRDefault="002260E7" w:rsidP="00AC198A">
            <w:pPr>
              <w:ind w:left="-57"/>
              <w:rPr>
                <w:rFonts w:ascii="Times New Roman" w:hAnsi="Times New Roman"/>
                <w:b/>
                <w:sz w:val="24"/>
                <w:szCs w:val="24"/>
              </w:rPr>
            </w:pPr>
            <w:r>
              <w:rPr>
                <w:rFonts w:ascii="Times New Roman" w:hAnsi="Times New Roman"/>
                <w:b/>
                <w:sz w:val="24"/>
                <w:szCs w:val="24"/>
              </w:rPr>
              <w:t>ES teisės akto</w:t>
            </w:r>
            <w:r w:rsidR="00A60642" w:rsidRPr="0017773A">
              <w:rPr>
                <w:rFonts w:ascii="Times New Roman" w:hAnsi="Times New Roman"/>
                <w:b/>
                <w:sz w:val="24"/>
                <w:szCs w:val="24"/>
              </w:rPr>
              <w:t xml:space="preserve"> įgyvendinimo lygis</w:t>
            </w:r>
            <w:r>
              <w:rPr>
                <w:rFonts w:ascii="Times New Roman" w:hAnsi="Times New Roman"/>
                <w:b/>
                <w:sz w:val="24"/>
                <w:szCs w:val="24"/>
              </w:rPr>
              <w:t xml:space="preserve"> (visiškas, dalinis)</w:t>
            </w:r>
          </w:p>
        </w:tc>
      </w:tr>
      <w:tr w:rsidR="00EF5DE8" w:rsidRPr="0017773A" w:rsidTr="005F1F39">
        <w:tc>
          <w:tcPr>
            <w:tcW w:w="3969" w:type="dxa"/>
            <w:shd w:val="clear" w:color="auto" w:fill="FFFFFF"/>
          </w:tcPr>
          <w:p w:rsidR="0017773A" w:rsidRPr="0017773A" w:rsidRDefault="0017773A" w:rsidP="0017773A">
            <w:pPr>
              <w:pStyle w:val="ti-art"/>
              <w:shd w:val="clear" w:color="auto" w:fill="FFFFFF"/>
              <w:spacing w:before="0" w:beforeAutospacing="0" w:after="0" w:afterAutospacing="0"/>
              <w:jc w:val="both"/>
              <w:rPr>
                <w:iCs/>
              </w:rPr>
            </w:pPr>
            <w:r w:rsidRPr="0017773A">
              <w:rPr>
                <w:iCs/>
              </w:rPr>
              <w:t>1. Valstybės narės perduoda Komisijai (Eurostatui) asmenų, per ataskaitinį laikotarpį patyrusių nelaimingus atsitikimus darbe, mikroduomenis ir susijusius metaduomenis. Komisijai (Eurostatui) teiktinų kintamųjų sąrašas, privalomasis ar neprivalomasis kintamojo pobūdis ir pirmieji duomenų perdavimo metai nurodyti I priede.</w:t>
            </w:r>
          </w:p>
          <w:p w:rsidR="0017773A" w:rsidRPr="0017773A" w:rsidRDefault="0017773A" w:rsidP="0017773A">
            <w:pPr>
              <w:pStyle w:val="ti-art"/>
              <w:shd w:val="clear" w:color="auto" w:fill="FFFFFF"/>
              <w:spacing w:before="0" w:beforeAutospacing="0" w:after="0" w:afterAutospacing="0"/>
              <w:jc w:val="both"/>
              <w:rPr>
                <w:iCs/>
              </w:rPr>
            </w:pPr>
            <w:r w:rsidRPr="0017773A">
              <w:rPr>
                <w:iCs/>
              </w:rPr>
              <w:t>2. Nelaimingų atsitikimų darbe, susijusių su savarankiškai dirbančiais asmenimis, šeimos darbuotojais ir studentais, duomenys teikiami savanoriškai.</w:t>
            </w:r>
          </w:p>
          <w:p w:rsidR="0017773A" w:rsidRPr="0017773A" w:rsidRDefault="0017773A" w:rsidP="0017773A">
            <w:pPr>
              <w:pStyle w:val="ti-art"/>
              <w:shd w:val="clear" w:color="auto" w:fill="FFFFFF"/>
              <w:spacing w:before="0" w:beforeAutospacing="0" w:after="0" w:afterAutospacing="0"/>
              <w:jc w:val="both"/>
              <w:rPr>
                <w:iCs/>
              </w:rPr>
            </w:pPr>
            <w:r w:rsidRPr="0017773A">
              <w:rPr>
                <w:iCs/>
              </w:rPr>
              <w:t>3. II priede nurodytų nelaimingų atsitikimų darbe duomenys, kuriems taikomos nacionaliniuose teisės aktuose nustatytos konfidencialumo taisyklės, teikiami savanoriškai.</w:t>
            </w:r>
          </w:p>
          <w:p w:rsidR="00EF5DE8" w:rsidRPr="0017773A" w:rsidRDefault="0017773A" w:rsidP="001365C6">
            <w:pPr>
              <w:ind w:left="-57"/>
              <w:jc w:val="both"/>
              <w:rPr>
                <w:rFonts w:ascii="Times New Roman" w:hAnsi="Times New Roman"/>
                <w:color w:val="auto"/>
                <w:sz w:val="24"/>
                <w:szCs w:val="24"/>
              </w:rPr>
            </w:pPr>
            <w:r w:rsidRPr="0017773A">
              <w:rPr>
                <w:rFonts w:ascii="Times New Roman" w:hAnsi="Times New Roman"/>
                <w:iCs/>
                <w:color w:val="auto"/>
                <w:sz w:val="24"/>
                <w:szCs w:val="24"/>
              </w:rPr>
              <w:t>4. Pageidautina, kad per ataskaitinius metus įvykusių nelaimingų atsitikimų darbe duomenys būtų pagrįsti registrais ir kitais administraciniais šaltiniais. Jei tai neįmanoma, duomenų aprėpties trūkumai taikomi naudojant apytikslius vertinimus ir įrašant trūkstamus duomenis, net jei šie veiksmai pagrįsti tyrimais, o ne atskirų atvejų duomenimis.</w:t>
            </w:r>
          </w:p>
        </w:tc>
        <w:tc>
          <w:tcPr>
            <w:tcW w:w="3970" w:type="dxa"/>
            <w:shd w:val="clear" w:color="auto" w:fill="FFFFFF"/>
          </w:tcPr>
          <w:p w:rsidR="0017773A" w:rsidRPr="00997C77" w:rsidRDefault="0017773A" w:rsidP="00997C77">
            <w:pPr>
              <w:ind w:left="-57"/>
              <w:jc w:val="both"/>
              <w:rPr>
                <w:rFonts w:ascii="Times New Roman" w:hAnsi="Times New Roman"/>
                <w:b/>
                <w:color w:val="auto"/>
                <w:sz w:val="24"/>
                <w:szCs w:val="24"/>
              </w:rPr>
            </w:pPr>
            <w:r w:rsidRPr="00997C77">
              <w:rPr>
                <w:rFonts w:ascii="Times New Roman" w:hAnsi="Times New Roman"/>
                <w:b/>
                <w:color w:val="auto"/>
                <w:sz w:val="24"/>
                <w:szCs w:val="24"/>
              </w:rPr>
              <w:t>Projektas</w:t>
            </w:r>
          </w:p>
          <w:p w:rsidR="00997C77" w:rsidRPr="00997C77" w:rsidRDefault="00997C77" w:rsidP="00997C77">
            <w:pPr>
              <w:ind w:left="-57"/>
              <w:jc w:val="both"/>
              <w:rPr>
                <w:rFonts w:ascii="Times New Roman" w:hAnsi="Times New Roman"/>
                <w:b/>
                <w:color w:val="auto"/>
                <w:sz w:val="24"/>
                <w:szCs w:val="24"/>
              </w:rPr>
            </w:pPr>
            <w:r w:rsidRPr="00997C77">
              <w:rPr>
                <w:rFonts w:ascii="Times New Roman" w:hAnsi="Times New Roman"/>
                <w:b/>
                <w:color w:val="auto"/>
                <w:sz w:val="24"/>
                <w:szCs w:val="24"/>
              </w:rPr>
              <w:t>1.2.</w:t>
            </w:r>
            <w:r w:rsidR="00E20D51">
              <w:rPr>
                <w:rFonts w:ascii="Times New Roman" w:hAnsi="Times New Roman"/>
                <w:b/>
                <w:color w:val="auto"/>
                <w:sz w:val="24"/>
                <w:szCs w:val="24"/>
              </w:rPr>
              <w:t>30</w:t>
            </w:r>
            <w:r w:rsidRPr="00997C77">
              <w:rPr>
                <w:rFonts w:ascii="Times New Roman" w:hAnsi="Times New Roman"/>
                <w:b/>
                <w:color w:val="auto"/>
                <w:sz w:val="24"/>
                <w:szCs w:val="24"/>
              </w:rPr>
              <w:t>. Pakeisti 89 punktą ir jį išdėstyti taip:</w:t>
            </w:r>
          </w:p>
          <w:p w:rsidR="00EF5DE8" w:rsidRPr="0017773A" w:rsidRDefault="00997C77" w:rsidP="0002782B">
            <w:pPr>
              <w:ind w:left="-57"/>
              <w:jc w:val="both"/>
              <w:rPr>
                <w:rFonts w:ascii="Times New Roman" w:hAnsi="Times New Roman"/>
                <w:color w:val="auto"/>
                <w:sz w:val="24"/>
                <w:szCs w:val="24"/>
              </w:rPr>
            </w:pPr>
            <w:r w:rsidRPr="00997C77">
              <w:rPr>
                <w:rFonts w:ascii="Times New Roman" w:hAnsi="Times New Roman"/>
                <w:b/>
                <w:color w:val="auto"/>
                <w:sz w:val="24"/>
                <w:szCs w:val="24"/>
              </w:rPr>
              <w:t>„89. Valstybinė darbo inspekcija, vadovaudamasi 2011 m. balandžio 11 d. Komisijos reglamentu (ES) Nr.</w:t>
            </w:r>
            <w:r w:rsidR="0002782B">
              <w:rPr>
                <w:rFonts w:ascii="Times New Roman" w:hAnsi="Times New Roman"/>
                <w:b/>
                <w:color w:val="auto"/>
                <w:sz w:val="24"/>
                <w:szCs w:val="24"/>
              </w:rPr>
              <w:t> </w:t>
            </w:r>
            <w:r w:rsidRPr="00997C77">
              <w:rPr>
                <w:rFonts w:ascii="Times New Roman" w:hAnsi="Times New Roman"/>
                <w:b/>
                <w:color w:val="auto"/>
                <w:sz w:val="24"/>
                <w:szCs w:val="24"/>
              </w:rPr>
              <w:t>349/2011, kuriuo įgyvendinamos Europos Parlamento ir Tarybos reglamento (EB) Nr. 1338/2008 dėl Bendrijos statistikos apie visuomenės sveikatą ir sveikatą bei saugą darbe nuostatos dėl nelaimingų atsitikimų darb</w:t>
            </w:r>
            <w:r w:rsidR="003706BE">
              <w:rPr>
                <w:rFonts w:ascii="Times New Roman" w:hAnsi="Times New Roman"/>
                <w:b/>
                <w:color w:val="auto"/>
                <w:sz w:val="24"/>
                <w:szCs w:val="24"/>
              </w:rPr>
              <w:t>e statistikos (OL 2011 L 97, p. </w:t>
            </w:r>
            <w:r w:rsidRPr="00997C77">
              <w:rPr>
                <w:rFonts w:ascii="Times New Roman" w:hAnsi="Times New Roman"/>
                <w:b/>
                <w:color w:val="auto"/>
                <w:sz w:val="24"/>
                <w:szCs w:val="24"/>
              </w:rPr>
              <w:t>3), teikia šiame reglamente nurodytus nuasmenintus duomenis, pagal kuriuos negalima būtų tiesiogiai ar netiesiogiai nustatyti asmens tapatybės, apie nelaimingus atsitikimus darbe Europos Sąjungos statistikos tarnybai (Eurostatui).“</w:t>
            </w:r>
          </w:p>
        </w:tc>
        <w:tc>
          <w:tcPr>
            <w:tcW w:w="1559" w:type="dxa"/>
            <w:shd w:val="clear" w:color="auto" w:fill="FFFFFF"/>
          </w:tcPr>
          <w:p w:rsidR="00EF5DE8" w:rsidRPr="0017773A" w:rsidRDefault="005F1F39" w:rsidP="0031412D">
            <w:pPr>
              <w:ind w:left="-57" w:firstLine="284"/>
              <w:rPr>
                <w:rFonts w:ascii="Times New Roman" w:hAnsi="Times New Roman"/>
                <w:sz w:val="24"/>
                <w:szCs w:val="24"/>
              </w:rPr>
            </w:pPr>
            <w:r w:rsidRPr="0017773A">
              <w:rPr>
                <w:rFonts w:ascii="Times New Roman" w:hAnsi="Times New Roman"/>
                <w:sz w:val="24"/>
                <w:szCs w:val="24"/>
              </w:rPr>
              <w:t>Visiškas</w:t>
            </w:r>
          </w:p>
        </w:tc>
      </w:tr>
    </w:tbl>
    <w:p w:rsidR="00C14B9F" w:rsidRDefault="00C14B9F" w:rsidP="00C14B9F">
      <w:pPr>
        <w:ind w:left="-57" w:firstLine="284"/>
        <w:jc w:val="center"/>
        <w:rPr>
          <w:rFonts w:ascii="Times New Roman" w:hAnsi="Times New Roman"/>
          <w:iCs/>
          <w:color w:val="auto"/>
          <w:sz w:val="24"/>
          <w:szCs w:val="24"/>
          <w:u w:val="single"/>
        </w:rPr>
      </w:pPr>
    </w:p>
    <w:p w:rsidR="00E23679" w:rsidRPr="00C14B9F" w:rsidRDefault="00C14B9F" w:rsidP="00C14B9F">
      <w:pPr>
        <w:ind w:left="-57" w:firstLine="284"/>
        <w:jc w:val="center"/>
        <w:rPr>
          <w:rFonts w:ascii="Times New Roman" w:hAnsi="Times New Roman"/>
          <w:iCs/>
          <w:color w:val="auto"/>
          <w:sz w:val="24"/>
          <w:szCs w:val="24"/>
          <w:u w:val="single"/>
        </w:rPr>
      </w:pPr>
      <w:r>
        <w:rPr>
          <w:rFonts w:ascii="Times New Roman" w:hAnsi="Times New Roman"/>
          <w:iCs/>
          <w:color w:val="auto"/>
          <w:sz w:val="24"/>
          <w:szCs w:val="24"/>
          <w:u w:val="single"/>
        </w:rPr>
        <w:tab/>
      </w:r>
      <w:r>
        <w:rPr>
          <w:rFonts w:ascii="Times New Roman" w:hAnsi="Times New Roman"/>
          <w:iCs/>
          <w:color w:val="auto"/>
          <w:sz w:val="24"/>
          <w:szCs w:val="24"/>
          <w:u w:val="single"/>
        </w:rPr>
        <w:tab/>
      </w:r>
      <w:r>
        <w:rPr>
          <w:rFonts w:ascii="Times New Roman" w:hAnsi="Times New Roman"/>
          <w:iCs/>
          <w:color w:val="auto"/>
          <w:sz w:val="24"/>
          <w:szCs w:val="24"/>
          <w:u w:val="single"/>
        </w:rPr>
        <w:tab/>
      </w:r>
    </w:p>
    <w:sectPr w:rsidR="00E23679" w:rsidRPr="00C14B9F" w:rsidSect="00AC198A">
      <w:headerReference w:type="default" r:id="rId9"/>
      <w:footerReference w:type="default" r:id="rId10"/>
      <w:pgSz w:w="11907" w:h="16839" w:code="9"/>
      <w:pgMar w:top="566" w:right="850" w:bottom="566" w:left="1701" w:header="708" w:footer="708"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EF" w:rsidRDefault="00D572EF">
      <w:r>
        <w:separator/>
      </w:r>
    </w:p>
  </w:endnote>
  <w:endnote w:type="continuationSeparator" w:id="0">
    <w:p w:rsidR="00D572EF" w:rsidRDefault="00D5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FC4" w:rsidRDefault="00475F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EF" w:rsidRDefault="00D572EF">
      <w:r>
        <w:separator/>
      </w:r>
    </w:p>
  </w:footnote>
  <w:footnote w:type="continuationSeparator" w:id="0">
    <w:p w:rsidR="00D572EF" w:rsidRDefault="00D57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FC4" w:rsidRDefault="00475F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F3117"/>
    <w:multiLevelType w:val="hybridMultilevel"/>
    <w:tmpl w:val="1082B4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54156F69"/>
    <w:multiLevelType w:val="hybridMultilevel"/>
    <w:tmpl w:val="9BE63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79"/>
    <w:rsid w:val="0002782B"/>
    <w:rsid w:val="000365B9"/>
    <w:rsid w:val="00080881"/>
    <w:rsid w:val="000974A6"/>
    <w:rsid w:val="000C23D2"/>
    <w:rsid w:val="000E03D7"/>
    <w:rsid w:val="000F298C"/>
    <w:rsid w:val="00106E86"/>
    <w:rsid w:val="001164AE"/>
    <w:rsid w:val="00124566"/>
    <w:rsid w:val="001365C6"/>
    <w:rsid w:val="001552A8"/>
    <w:rsid w:val="0017773A"/>
    <w:rsid w:val="00182F2E"/>
    <w:rsid w:val="00211D13"/>
    <w:rsid w:val="002158A2"/>
    <w:rsid w:val="002260E7"/>
    <w:rsid w:val="00237D9F"/>
    <w:rsid w:val="0024048F"/>
    <w:rsid w:val="002522DD"/>
    <w:rsid w:val="00264AF9"/>
    <w:rsid w:val="00264E8F"/>
    <w:rsid w:val="002776A3"/>
    <w:rsid w:val="00283CC2"/>
    <w:rsid w:val="002A32BC"/>
    <w:rsid w:val="002B4377"/>
    <w:rsid w:val="002C4AC5"/>
    <w:rsid w:val="002E17E2"/>
    <w:rsid w:val="0031412D"/>
    <w:rsid w:val="00315D94"/>
    <w:rsid w:val="0034313D"/>
    <w:rsid w:val="00344594"/>
    <w:rsid w:val="00350B09"/>
    <w:rsid w:val="003706BE"/>
    <w:rsid w:val="003A3386"/>
    <w:rsid w:val="003D33D0"/>
    <w:rsid w:val="00445C0F"/>
    <w:rsid w:val="00447E55"/>
    <w:rsid w:val="00460747"/>
    <w:rsid w:val="00475FC4"/>
    <w:rsid w:val="00482866"/>
    <w:rsid w:val="00495646"/>
    <w:rsid w:val="004A045E"/>
    <w:rsid w:val="004B657C"/>
    <w:rsid w:val="004D693F"/>
    <w:rsid w:val="0050103C"/>
    <w:rsid w:val="00525BF2"/>
    <w:rsid w:val="00540B92"/>
    <w:rsid w:val="00585CC6"/>
    <w:rsid w:val="005B41C6"/>
    <w:rsid w:val="005F1F39"/>
    <w:rsid w:val="005F66F2"/>
    <w:rsid w:val="00615E9B"/>
    <w:rsid w:val="00621B33"/>
    <w:rsid w:val="00625170"/>
    <w:rsid w:val="00651CFF"/>
    <w:rsid w:val="00661974"/>
    <w:rsid w:val="006B540A"/>
    <w:rsid w:val="00717561"/>
    <w:rsid w:val="00720A1B"/>
    <w:rsid w:val="0072646A"/>
    <w:rsid w:val="0075113D"/>
    <w:rsid w:val="007C1259"/>
    <w:rsid w:val="007C5001"/>
    <w:rsid w:val="007F04C6"/>
    <w:rsid w:val="00802F38"/>
    <w:rsid w:val="008465A7"/>
    <w:rsid w:val="008663B6"/>
    <w:rsid w:val="00874DE8"/>
    <w:rsid w:val="00897C89"/>
    <w:rsid w:val="008C0ECA"/>
    <w:rsid w:val="008F5C27"/>
    <w:rsid w:val="0092622B"/>
    <w:rsid w:val="0096064E"/>
    <w:rsid w:val="00976966"/>
    <w:rsid w:val="0098666A"/>
    <w:rsid w:val="00987011"/>
    <w:rsid w:val="00991582"/>
    <w:rsid w:val="00997C77"/>
    <w:rsid w:val="009A7C36"/>
    <w:rsid w:val="009B622D"/>
    <w:rsid w:val="009E6423"/>
    <w:rsid w:val="00A43FA5"/>
    <w:rsid w:val="00A60642"/>
    <w:rsid w:val="00A63B00"/>
    <w:rsid w:val="00A73271"/>
    <w:rsid w:val="00A94C6D"/>
    <w:rsid w:val="00AA3828"/>
    <w:rsid w:val="00AC198A"/>
    <w:rsid w:val="00AD7BBF"/>
    <w:rsid w:val="00AE77E3"/>
    <w:rsid w:val="00B16F50"/>
    <w:rsid w:val="00B2459B"/>
    <w:rsid w:val="00B2671D"/>
    <w:rsid w:val="00B514B3"/>
    <w:rsid w:val="00BC7ED6"/>
    <w:rsid w:val="00C04543"/>
    <w:rsid w:val="00C14B9F"/>
    <w:rsid w:val="00C14C57"/>
    <w:rsid w:val="00C2157D"/>
    <w:rsid w:val="00C67506"/>
    <w:rsid w:val="00C7369A"/>
    <w:rsid w:val="00CB0F54"/>
    <w:rsid w:val="00CB11F9"/>
    <w:rsid w:val="00CC5B8A"/>
    <w:rsid w:val="00CC771E"/>
    <w:rsid w:val="00D44C69"/>
    <w:rsid w:val="00D50441"/>
    <w:rsid w:val="00D572EF"/>
    <w:rsid w:val="00D707D1"/>
    <w:rsid w:val="00D90D4C"/>
    <w:rsid w:val="00DC61D0"/>
    <w:rsid w:val="00DD409B"/>
    <w:rsid w:val="00DF6899"/>
    <w:rsid w:val="00E01D04"/>
    <w:rsid w:val="00E03E0F"/>
    <w:rsid w:val="00E20D51"/>
    <w:rsid w:val="00E23679"/>
    <w:rsid w:val="00E46296"/>
    <w:rsid w:val="00E740E2"/>
    <w:rsid w:val="00EA3D7D"/>
    <w:rsid w:val="00EB2972"/>
    <w:rsid w:val="00EB31FD"/>
    <w:rsid w:val="00EF5DE8"/>
    <w:rsid w:val="00F22A6D"/>
    <w:rsid w:val="00F539A8"/>
    <w:rsid w:val="00F5565F"/>
    <w:rsid w:val="00F572A0"/>
    <w:rsid w:val="00F57CC4"/>
    <w:rsid w:val="00F91218"/>
    <w:rsid w:val="00FA6516"/>
    <w:rsid w:val="00FD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045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ilutsnumeris">
    <w:name w:val="line number"/>
    <w:basedOn w:val="Numatytasispastraiposriftas"/>
    <w:semiHidden/>
  </w:style>
  <w:style w:type="character" w:styleId="Hipersaitas">
    <w:name w:val="Hyperlink"/>
    <w:rPr>
      <w:color w:val="0000FF"/>
      <w:u w:val="single"/>
    </w:rPr>
  </w:style>
  <w:style w:type="table" w:styleId="LentelPaprasta1">
    <w:name w:val="Table Simple 1"/>
    <w:basedOn w:val="prastojilent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C2157D"/>
    <w:rPr>
      <w:sz w:val="16"/>
      <w:szCs w:val="16"/>
    </w:rPr>
  </w:style>
  <w:style w:type="paragraph" w:styleId="Komentarotekstas">
    <w:name w:val="annotation text"/>
    <w:basedOn w:val="prastasis"/>
    <w:link w:val="KomentarotekstasDiagrama"/>
    <w:uiPriority w:val="99"/>
    <w:semiHidden/>
    <w:unhideWhenUsed/>
    <w:rsid w:val="00C2157D"/>
    <w:rPr>
      <w:sz w:val="20"/>
    </w:rPr>
  </w:style>
  <w:style w:type="character" w:customStyle="1" w:styleId="KomentarotekstasDiagrama">
    <w:name w:val="Komentaro tekstas Diagrama"/>
    <w:basedOn w:val="Numatytasispastraiposriftas"/>
    <w:link w:val="Komentarotekstas"/>
    <w:uiPriority w:val="99"/>
    <w:semiHidden/>
    <w:rsid w:val="00C2157D"/>
    <w:rPr>
      <w:sz w:val="20"/>
    </w:rPr>
  </w:style>
  <w:style w:type="paragraph" w:styleId="Komentarotema">
    <w:name w:val="annotation subject"/>
    <w:basedOn w:val="Komentarotekstas"/>
    <w:next w:val="Komentarotekstas"/>
    <w:link w:val="KomentarotemaDiagrama"/>
    <w:uiPriority w:val="99"/>
    <w:semiHidden/>
    <w:unhideWhenUsed/>
    <w:rsid w:val="00C2157D"/>
    <w:rPr>
      <w:b/>
      <w:bCs/>
    </w:rPr>
  </w:style>
  <w:style w:type="character" w:customStyle="1" w:styleId="KomentarotemaDiagrama">
    <w:name w:val="Komentaro tema Diagrama"/>
    <w:basedOn w:val="KomentarotekstasDiagrama"/>
    <w:link w:val="Komentarotema"/>
    <w:uiPriority w:val="99"/>
    <w:semiHidden/>
    <w:rsid w:val="00C2157D"/>
    <w:rPr>
      <w:b/>
      <w:bCs/>
      <w:sz w:val="20"/>
    </w:rPr>
  </w:style>
  <w:style w:type="paragraph" w:styleId="Debesliotekstas">
    <w:name w:val="Balloon Text"/>
    <w:basedOn w:val="prastasis"/>
    <w:link w:val="DebesliotekstasDiagrama"/>
    <w:uiPriority w:val="99"/>
    <w:semiHidden/>
    <w:unhideWhenUsed/>
    <w:rsid w:val="00C215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157D"/>
    <w:rPr>
      <w:rFonts w:ascii="Tahoma" w:hAnsi="Tahoma" w:cs="Tahoma"/>
      <w:sz w:val="16"/>
      <w:szCs w:val="16"/>
    </w:rPr>
  </w:style>
  <w:style w:type="paragraph" w:styleId="Sraopastraipa">
    <w:name w:val="List Paragraph"/>
    <w:basedOn w:val="prastasis"/>
    <w:uiPriority w:val="34"/>
    <w:qFormat/>
    <w:rsid w:val="00350B09"/>
    <w:pPr>
      <w:ind w:left="720"/>
      <w:contextualSpacing/>
    </w:pPr>
  </w:style>
  <w:style w:type="paragraph" w:customStyle="1" w:styleId="ti-art">
    <w:name w:val="ti-art"/>
    <w:basedOn w:val="prastasis"/>
    <w:rsid w:val="0017773A"/>
    <w:pPr>
      <w:spacing w:before="100" w:beforeAutospacing="1" w:after="100" w:afterAutospacing="1"/>
    </w:pPr>
    <w:rPr>
      <w:rFonts w:ascii="Times New Roman" w:hAnsi="Times New Roman"/>
      <w:color w:val="auto"/>
      <w:sz w:val="24"/>
      <w:szCs w:val="24"/>
      <w:lang w:bidi="ar-SA"/>
    </w:rPr>
  </w:style>
  <w:style w:type="paragraph" w:customStyle="1" w:styleId="sti-art">
    <w:name w:val="sti-art"/>
    <w:basedOn w:val="prastasis"/>
    <w:rsid w:val="0017773A"/>
    <w:pPr>
      <w:spacing w:before="100" w:beforeAutospacing="1" w:after="100" w:afterAutospacing="1"/>
    </w:pPr>
    <w:rPr>
      <w:rFonts w:ascii="Times New Roman" w:hAnsi="Times New Roman"/>
      <w:color w:val="auto"/>
      <w:sz w:val="24"/>
      <w:szCs w:val="24"/>
      <w:lang w:bidi="ar-SA"/>
    </w:rPr>
  </w:style>
  <w:style w:type="paragraph" w:customStyle="1" w:styleId="prastasis1">
    <w:name w:val="Įprastasis1"/>
    <w:basedOn w:val="prastasis"/>
    <w:rsid w:val="0017773A"/>
    <w:pPr>
      <w:spacing w:before="100" w:beforeAutospacing="1" w:after="100" w:afterAutospacing="1"/>
    </w:pPr>
    <w:rPr>
      <w:rFonts w:ascii="Times New Roman" w:hAnsi="Times New Roman"/>
      <w:color w:val="auto"/>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045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ilutsnumeris">
    <w:name w:val="line number"/>
    <w:basedOn w:val="Numatytasispastraiposriftas"/>
    <w:semiHidden/>
  </w:style>
  <w:style w:type="character" w:styleId="Hipersaitas">
    <w:name w:val="Hyperlink"/>
    <w:rPr>
      <w:color w:val="0000FF"/>
      <w:u w:val="single"/>
    </w:rPr>
  </w:style>
  <w:style w:type="table" w:styleId="LentelPaprasta1">
    <w:name w:val="Table Simple 1"/>
    <w:basedOn w:val="prastojilent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C2157D"/>
    <w:rPr>
      <w:sz w:val="16"/>
      <w:szCs w:val="16"/>
    </w:rPr>
  </w:style>
  <w:style w:type="paragraph" w:styleId="Komentarotekstas">
    <w:name w:val="annotation text"/>
    <w:basedOn w:val="prastasis"/>
    <w:link w:val="KomentarotekstasDiagrama"/>
    <w:uiPriority w:val="99"/>
    <w:semiHidden/>
    <w:unhideWhenUsed/>
    <w:rsid w:val="00C2157D"/>
    <w:rPr>
      <w:sz w:val="20"/>
    </w:rPr>
  </w:style>
  <w:style w:type="character" w:customStyle="1" w:styleId="KomentarotekstasDiagrama">
    <w:name w:val="Komentaro tekstas Diagrama"/>
    <w:basedOn w:val="Numatytasispastraiposriftas"/>
    <w:link w:val="Komentarotekstas"/>
    <w:uiPriority w:val="99"/>
    <w:semiHidden/>
    <w:rsid w:val="00C2157D"/>
    <w:rPr>
      <w:sz w:val="20"/>
    </w:rPr>
  </w:style>
  <w:style w:type="paragraph" w:styleId="Komentarotema">
    <w:name w:val="annotation subject"/>
    <w:basedOn w:val="Komentarotekstas"/>
    <w:next w:val="Komentarotekstas"/>
    <w:link w:val="KomentarotemaDiagrama"/>
    <w:uiPriority w:val="99"/>
    <w:semiHidden/>
    <w:unhideWhenUsed/>
    <w:rsid w:val="00C2157D"/>
    <w:rPr>
      <w:b/>
      <w:bCs/>
    </w:rPr>
  </w:style>
  <w:style w:type="character" w:customStyle="1" w:styleId="KomentarotemaDiagrama">
    <w:name w:val="Komentaro tema Diagrama"/>
    <w:basedOn w:val="KomentarotekstasDiagrama"/>
    <w:link w:val="Komentarotema"/>
    <w:uiPriority w:val="99"/>
    <w:semiHidden/>
    <w:rsid w:val="00C2157D"/>
    <w:rPr>
      <w:b/>
      <w:bCs/>
      <w:sz w:val="20"/>
    </w:rPr>
  </w:style>
  <w:style w:type="paragraph" w:styleId="Debesliotekstas">
    <w:name w:val="Balloon Text"/>
    <w:basedOn w:val="prastasis"/>
    <w:link w:val="DebesliotekstasDiagrama"/>
    <w:uiPriority w:val="99"/>
    <w:semiHidden/>
    <w:unhideWhenUsed/>
    <w:rsid w:val="00C215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157D"/>
    <w:rPr>
      <w:rFonts w:ascii="Tahoma" w:hAnsi="Tahoma" w:cs="Tahoma"/>
      <w:sz w:val="16"/>
      <w:szCs w:val="16"/>
    </w:rPr>
  </w:style>
  <w:style w:type="paragraph" w:styleId="Sraopastraipa">
    <w:name w:val="List Paragraph"/>
    <w:basedOn w:val="prastasis"/>
    <w:uiPriority w:val="34"/>
    <w:qFormat/>
    <w:rsid w:val="00350B09"/>
    <w:pPr>
      <w:ind w:left="720"/>
      <w:contextualSpacing/>
    </w:pPr>
  </w:style>
  <w:style w:type="paragraph" w:customStyle="1" w:styleId="ti-art">
    <w:name w:val="ti-art"/>
    <w:basedOn w:val="prastasis"/>
    <w:rsid w:val="0017773A"/>
    <w:pPr>
      <w:spacing w:before="100" w:beforeAutospacing="1" w:after="100" w:afterAutospacing="1"/>
    </w:pPr>
    <w:rPr>
      <w:rFonts w:ascii="Times New Roman" w:hAnsi="Times New Roman"/>
      <w:color w:val="auto"/>
      <w:sz w:val="24"/>
      <w:szCs w:val="24"/>
      <w:lang w:bidi="ar-SA"/>
    </w:rPr>
  </w:style>
  <w:style w:type="paragraph" w:customStyle="1" w:styleId="sti-art">
    <w:name w:val="sti-art"/>
    <w:basedOn w:val="prastasis"/>
    <w:rsid w:val="0017773A"/>
    <w:pPr>
      <w:spacing w:before="100" w:beforeAutospacing="1" w:after="100" w:afterAutospacing="1"/>
    </w:pPr>
    <w:rPr>
      <w:rFonts w:ascii="Times New Roman" w:hAnsi="Times New Roman"/>
      <w:color w:val="auto"/>
      <w:sz w:val="24"/>
      <w:szCs w:val="24"/>
      <w:lang w:bidi="ar-SA"/>
    </w:rPr>
  </w:style>
  <w:style w:type="paragraph" w:customStyle="1" w:styleId="prastasis1">
    <w:name w:val="Įprastasis1"/>
    <w:basedOn w:val="prastasis"/>
    <w:rsid w:val="0017773A"/>
    <w:pPr>
      <w:spacing w:before="100" w:beforeAutospacing="1" w:after="100" w:afterAutospacing="1"/>
    </w:pPr>
    <w:rPr>
      <w:rFonts w:ascii="Times New Roman" w:hAnsi="Times New Roman"/>
      <w:color w:val="auto"/>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174523">
      <w:bodyDiv w:val="1"/>
      <w:marLeft w:val="0"/>
      <w:marRight w:val="0"/>
      <w:marTop w:val="0"/>
      <w:marBottom w:val="0"/>
      <w:divBdr>
        <w:top w:val="none" w:sz="0" w:space="0" w:color="auto"/>
        <w:left w:val="none" w:sz="0" w:space="0" w:color="auto"/>
        <w:bottom w:val="none" w:sz="0" w:space="0" w:color="auto"/>
        <w:right w:val="none" w:sz="0" w:space="0" w:color="auto"/>
      </w:divBdr>
      <w:divsChild>
        <w:div w:id="1861747048">
          <w:marLeft w:val="0"/>
          <w:marRight w:val="0"/>
          <w:marTop w:val="0"/>
          <w:marBottom w:val="0"/>
          <w:divBdr>
            <w:top w:val="none" w:sz="0" w:space="0" w:color="auto"/>
            <w:left w:val="none" w:sz="0" w:space="0" w:color="auto"/>
            <w:bottom w:val="none" w:sz="0" w:space="0" w:color="auto"/>
            <w:right w:val="none" w:sz="0" w:space="0" w:color="auto"/>
          </w:divBdr>
        </w:div>
        <w:div w:id="417752202">
          <w:marLeft w:val="0"/>
          <w:marRight w:val="0"/>
          <w:marTop w:val="0"/>
          <w:marBottom w:val="0"/>
          <w:divBdr>
            <w:top w:val="none" w:sz="0" w:space="0" w:color="auto"/>
            <w:left w:val="none" w:sz="0" w:space="0" w:color="auto"/>
            <w:bottom w:val="none" w:sz="0" w:space="0" w:color="auto"/>
            <w:right w:val="none" w:sz="0" w:space="0" w:color="auto"/>
          </w:divBdr>
          <w:divsChild>
            <w:div w:id="2128773042">
              <w:marLeft w:val="0"/>
              <w:marRight w:val="0"/>
              <w:marTop w:val="0"/>
              <w:marBottom w:val="0"/>
              <w:divBdr>
                <w:top w:val="none" w:sz="0" w:space="0" w:color="auto"/>
                <w:left w:val="none" w:sz="0" w:space="0" w:color="auto"/>
                <w:bottom w:val="none" w:sz="0" w:space="0" w:color="auto"/>
                <w:right w:val="none" w:sz="0" w:space="0" w:color="auto"/>
              </w:divBdr>
            </w:div>
            <w:div w:id="1850217681">
              <w:marLeft w:val="0"/>
              <w:marRight w:val="0"/>
              <w:marTop w:val="0"/>
              <w:marBottom w:val="0"/>
              <w:divBdr>
                <w:top w:val="none" w:sz="0" w:space="0" w:color="auto"/>
                <w:left w:val="none" w:sz="0" w:space="0" w:color="auto"/>
                <w:bottom w:val="none" w:sz="0" w:space="0" w:color="auto"/>
                <w:right w:val="none" w:sz="0" w:space="0" w:color="auto"/>
              </w:divBdr>
            </w:div>
            <w:div w:id="620578298">
              <w:marLeft w:val="0"/>
              <w:marRight w:val="0"/>
              <w:marTop w:val="0"/>
              <w:marBottom w:val="0"/>
              <w:divBdr>
                <w:top w:val="none" w:sz="0" w:space="0" w:color="auto"/>
                <w:left w:val="none" w:sz="0" w:space="0" w:color="auto"/>
                <w:bottom w:val="none" w:sz="0" w:space="0" w:color="auto"/>
                <w:right w:val="none" w:sz="0" w:space="0" w:color="auto"/>
              </w:divBdr>
            </w:div>
            <w:div w:id="692614044">
              <w:marLeft w:val="0"/>
              <w:marRight w:val="0"/>
              <w:marTop w:val="0"/>
              <w:marBottom w:val="0"/>
              <w:divBdr>
                <w:top w:val="none" w:sz="0" w:space="0" w:color="auto"/>
                <w:left w:val="none" w:sz="0" w:space="0" w:color="auto"/>
                <w:bottom w:val="none" w:sz="0" w:space="0" w:color="auto"/>
                <w:right w:val="none" w:sz="0" w:space="0" w:color="auto"/>
              </w:divBdr>
            </w:div>
            <w:div w:id="1532381435">
              <w:marLeft w:val="0"/>
              <w:marRight w:val="0"/>
              <w:marTop w:val="0"/>
              <w:marBottom w:val="0"/>
              <w:divBdr>
                <w:top w:val="none" w:sz="0" w:space="0" w:color="auto"/>
                <w:left w:val="none" w:sz="0" w:space="0" w:color="auto"/>
                <w:bottom w:val="none" w:sz="0" w:space="0" w:color="auto"/>
                <w:right w:val="none" w:sz="0" w:space="0" w:color="auto"/>
              </w:divBdr>
            </w:div>
            <w:div w:id="1892033405">
              <w:marLeft w:val="0"/>
              <w:marRight w:val="0"/>
              <w:marTop w:val="0"/>
              <w:marBottom w:val="0"/>
              <w:divBdr>
                <w:top w:val="none" w:sz="0" w:space="0" w:color="auto"/>
                <w:left w:val="none" w:sz="0" w:space="0" w:color="auto"/>
                <w:bottom w:val="none" w:sz="0" w:space="0" w:color="auto"/>
                <w:right w:val="none" w:sz="0" w:space="0" w:color="auto"/>
              </w:divBdr>
            </w:div>
            <w:div w:id="143006557">
              <w:marLeft w:val="0"/>
              <w:marRight w:val="0"/>
              <w:marTop w:val="0"/>
              <w:marBottom w:val="0"/>
              <w:divBdr>
                <w:top w:val="none" w:sz="0" w:space="0" w:color="auto"/>
                <w:left w:val="none" w:sz="0" w:space="0" w:color="auto"/>
                <w:bottom w:val="none" w:sz="0" w:space="0" w:color="auto"/>
                <w:right w:val="none" w:sz="0" w:space="0" w:color="auto"/>
              </w:divBdr>
            </w:div>
            <w:div w:id="1415470538">
              <w:marLeft w:val="0"/>
              <w:marRight w:val="0"/>
              <w:marTop w:val="0"/>
              <w:marBottom w:val="0"/>
              <w:divBdr>
                <w:top w:val="none" w:sz="0" w:space="0" w:color="auto"/>
                <w:left w:val="none" w:sz="0" w:space="0" w:color="auto"/>
                <w:bottom w:val="none" w:sz="0" w:space="0" w:color="auto"/>
                <w:right w:val="none" w:sz="0" w:space="0" w:color="auto"/>
              </w:divBdr>
            </w:div>
            <w:div w:id="1132821764">
              <w:marLeft w:val="0"/>
              <w:marRight w:val="0"/>
              <w:marTop w:val="0"/>
              <w:marBottom w:val="0"/>
              <w:divBdr>
                <w:top w:val="none" w:sz="0" w:space="0" w:color="auto"/>
                <w:left w:val="none" w:sz="0" w:space="0" w:color="auto"/>
                <w:bottom w:val="none" w:sz="0" w:space="0" w:color="auto"/>
                <w:right w:val="none" w:sz="0" w:space="0" w:color="auto"/>
              </w:divBdr>
            </w:div>
            <w:div w:id="737745245">
              <w:marLeft w:val="0"/>
              <w:marRight w:val="0"/>
              <w:marTop w:val="0"/>
              <w:marBottom w:val="0"/>
              <w:divBdr>
                <w:top w:val="none" w:sz="0" w:space="0" w:color="auto"/>
                <w:left w:val="none" w:sz="0" w:space="0" w:color="auto"/>
                <w:bottom w:val="none" w:sz="0" w:space="0" w:color="auto"/>
                <w:right w:val="none" w:sz="0" w:space="0" w:color="auto"/>
              </w:divBdr>
            </w:div>
            <w:div w:id="4428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8376">
      <w:bodyDiv w:val="1"/>
      <w:marLeft w:val="0"/>
      <w:marRight w:val="0"/>
      <w:marTop w:val="0"/>
      <w:marBottom w:val="0"/>
      <w:divBdr>
        <w:top w:val="none" w:sz="0" w:space="0" w:color="auto"/>
        <w:left w:val="none" w:sz="0" w:space="0" w:color="auto"/>
        <w:bottom w:val="none" w:sz="0" w:space="0" w:color="auto"/>
        <w:right w:val="none" w:sz="0" w:space="0" w:color="auto"/>
      </w:divBdr>
    </w:div>
    <w:div w:id="1037586796">
      <w:bodyDiv w:val="1"/>
      <w:marLeft w:val="0"/>
      <w:marRight w:val="0"/>
      <w:marTop w:val="0"/>
      <w:marBottom w:val="0"/>
      <w:divBdr>
        <w:top w:val="none" w:sz="0" w:space="0" w:color="auto"/>
        <w:left w:val="none" w:sz="0" w:space="0" w:color="auto"/>
        <w:bottom w:val="none" w:sz="0" w:space="0" w:color="auto"/>
        <w:right w:val="none" w:sz="0" w:space="0" w:color="auto"/>
      </w:divBdr>
    </w:div>
    <w:div w:id="2075081517">
      <w:bodyDiv w:val="1"/>
      <w:marLeft w:val="0"/>
      <w:marRight w:val="0"/>
      <w:marTop w:val="0"/>
      <w:marBottom w:val="0"/>
      <w:divBdr>
        <w:top w:val="none" w:sz="0" w:space="0" w:color="auto"/>
        <w:left w:val="none" w:sz="0" w:space="0" w:color="auto"/>
        <w:bottom w:val="none" w:sz="0" w:space="0" w:color="auto"/>
        <w:right w:val="none" w:sz="0" w:space="0" w:color="auto"/>
      </w:divBdr>
      <w:divsChild>
        <w:div w:id="1812401674">
          <w:marLeft w:val="0"/>
          <w:marRight w:val="0"/>
          <w:marTop w:val="0"/>
          <w:marBottom w:val="0"/>
          <w:divBdr>
            <w:top w:val="none" w:sz="0" w:space="0" w:color="auto"/>
            <w:left w:val="none" w:sz="0" w:space="0" w:color="auto"/>
            <w:bottom w:val="none" w:sz="0" w:space="0" w:color="auto"/>
            <w:right w:val="none" w:sz="0" w:space="0" w:color="auto"/>
          </w:divBdr>
        </w:div>
        <w:div w:id="484443902">
          <w:marLeft w:val="0"/>
          <w:marRight w:val="0"/>
          <w:marTop w:val="0"/>
          <w:marBottom w:val="0"/>
          <w:divBdr>
            <w:top w:val="none" w:sz="0" w:space="0" w:color="auto"/>
            <w:left w:val="none" w:sz="0" w:space="0" w:color="auto"/>
            <w:bottom w:val="none" w:sz="0" w:space="0" w:color="auto"/>
            <w:right w:val="none" w:sz="0" w:space="0" w:color="auto"/>
          </w:divBdr>
        </w:div>
        <w:div w:id="1202593121">
          <w:marLeft w:val="0"/>
          <w:marRight w:val="0"/>
          <w:marTop w:val="0"/>
          <w:marBottom w:val="0"/>
          <w:divBdr>
            <w:top w:val="none" w:sz="0" w:space="0" w:color="auto"/>
            <w:left w:val="none" w:sz="0" w:space="0" w:color="auto"/>
            <w:bottom w:val="none" w:sz="0" w:space="0" w:color="auto"/>
            <w:right w:val="none" w:sz="0" w:space="0" w:color="auto"/>
          </w:divBdr>
        </w:div>
        <w:div w:id="4758777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D3F7-608E-447B-969E-72B707B0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1584</Words>
  <Characters>904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2020-03-18T08:40:00Z</dcterms:created>
  <dc:creator>Indrė Kaminskienė</dc:creator>
  <cp:lastModifiedBy>hp</cp:lastModifiedBy>
  <dcterms:modified xsi:type="dcterms:W3CDTF">2020-03-18T08:40:00Z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-832594869</vt:i4>
  </property>
  <property fmtid="{D5CDD505-2E9C-101B-9397-08002B2CF9AE}" pid="3" name="_NewReviewCycle">
    <vt:lpwstr/>
  </property>
  <property fmtid="{D5CDD505-2E9C-101B-9397-08002B2CF9AE}" pid="4" name="_EmailSubject">
    <vt:lpwstr>?</vt:lpwstr>
  </property>
  <property fmtid="{D5CDD505-2E9C-101B-9397-08002B2CF9AE}" pid="5" name="_AuthorEmail">
    <vt:lpwstr>Jurate.Balciuniene@socmin.lt</vt:lpwstr>
  </property>
  <property fmtid="{D5CDD505-2E9C-101B-9397-08002B2CF9AE}" pid="6" name="_AuthorEmailDisplayName">
    <vt:lpwstr>Jūratė Balčiūnienė</vt:lpwstr>
  </property>
  <property fmtid="{D5CDD505-2E9C-101B-9397-08002B2CF9AE}" pid="7" name="_ReviewingToolsShownOnce">
    <vt:lpwstr/>
  </property>
</Properties>
</file>