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29"/>
        <w:tblW w:w="4084" w:type="dxa"/>
        <w:tblLayout w:type="fixed"/>
        <w:tblLook w:val="04A0" w:firstRow="1" w:lastRow="0" w:firstColumn="1" w:lastColumn="0" w:noHBand="0" w:noVBand="1"/>
      </w:tblPr>
      <w:tblGrid>
        <w:gridCol w:w="4068"/>
        <w:gridCol w:w="16"/>
      </w:tblGrid>
      <w:tr w:rsidR="00944C20">
        <w:trPr>
          <w:cantSplit/>
          <w:trHeight w:val="340"/>
        </w:trPr>
        <w:tc>
          <w:tcPr>
            <w:tcW w:w="4084" w:type="dxa"/>
            <w:gridSpan w:val="2"/>
          </w:tcPr>
          <w:p w:rsidR="00944C20" w:rsidRDefault="004538CF">
            <w:pPr>
              <w:spacing w:after="0"/>
            </w:pPr>
            <w:bookmarkStart w:id="0" w:name="_GoBack"/>
            <w:bookmarkEnd w:id="0"/>
            <w:r>
              <w:t xml:space="preserve">2020-    -     Nr. </w:t>
            </w:r>
          </w:p>
        </w:tc>
      </w:tr>
      <w:tr w:rsidR="00944C20">
        <w:trPr>
          <w:gridAfter w:val="1"/>
          <w:wAfter w:w="16" w:type="dxa"/>
          <w:cantSplit/>
          <w:trHeight w:val="340"/>
        </w:trPr>
        <w:tc>
          <w:tcPr>
            <w:tcW w:w="4068" w:type="dxa"/>
          </w:tcPr>
          <w:p w:rsidR="00944C20" w:rsidRDefault="004538CF">
            <w:pPr>
              <w:spacing w:after="0"/>
            </w:pPr>
            <w:r>
              <w:t xml:space="preserve">Į 2020-04-03 Nr. </w:t>
            </w:r>
            <w:r>
              <w:rPr>
                <w:rFonts w:eastAsia="SimSun"/>
              </w:rPr>
              <w:t>((6.2E-02)-5K-2005649)-6K-2002005</w:t>
            </w:r>
          </w:p>
        </w:tc>
      </w:tr>
    </w:tbl>
    <w:p w:rsidR="00944C20" w:rsidRDefault="004538CF">
      <w:pPr>
        <w:pStyle w:val="Adresas"/>
      </w:pPr>
      <w:r>
        <w:t>Lietuvos Respublikos finansų ministerijai</w:t>
      </w:r>
    </w:p>
    <w:p w:rsidR="00944C20" w:rsidRDefault="00944C20">
      <w:pPr>
        <w:pStyle w:val="Adresas"/>
      </w:pPr>
    </w:p>
    <w:p w:rsidR="00944C20" w:rsidRDefault="00944C20">
      <w:pPr>
        <w:pStyle w:val="Kopija"/>
        <w:ind w:right="0"/>
        <w:jc w:val="both"/>
        <w:rPr>
          <w:b/>
          <w:bCs/>
          <w:caps/>
          <w:color w:val="333333"/>
          <w:shd w:val="clear" w:color="auto" w:fill="FFFFFF"/>
        </w:rPr>
      </w:pPr>
    </w:p>
    <w:p w:rsidR="00944C20" w:rsidRDefault="004538CF">
      <w:pPr>
        <w:pStyle w:val="Kopija"/>
        <w:ind w:right="0"/>
        <w:jc w:val="both"/>
        <w:rPr>
          <w:rFonts w:ascii="Arial" w:hAnsi="Arial" w:cs="Arial"/>
          <w:sz w:val="20"/>
          <w:szCs w:val="20"/>
        </w:rPr>
      </w:pPr>
      <w:r>
        <w:rPr>
          <w:b/>
          <w:bCs/>
          <w:caps/>
          <w:color w:val="333333"/>
          <w:shd w:val="clear" w:color="auto" w:fill="FFFFFF"/>
        </w:rPr>
        <w:t xml:space="preserve">dėl </w:t>
      </w:r>
      <w:r>
        <w:rPr>
          <w:b/>
        </w:rPr>
        <w:t>LIETUVOS RESPUBLIKOS NAUJOJO KORONAVIRUSO (COVID-19) SUKELTŲ PASEKMIŲ POVEIKIO LIETUVOS RESPUBLIKOS JURIDINIŲ ASMENŲ NEMOKUMO ĮSTATYMO</w:t>
      </w:r>
      <w:r>
        <w:rPr>
          <w:b/>
        </w:rPr>
        <w:t xml:space="preserve"> TAIKYMUI ĮSTATYMO PROJEKTO</w:t>
      </w:r>
      <w:r>
        <w:rPr>
          <w:rFonts w:ascii="Arial" w:hAnsi="Arial" w:cs="Arial"/>
          <w:sz w:val="20"/>
          <w:szCs w:val="20"/>
        </w:rPr>
        <w:t xml:space="preserve"> </w:t>
      </w:r>
    </w:p>
    <w:p w:rsidR="00944C20" w:rsidRDefault="004538CF">
      <w:pPr>
        <w:pStyle w:val="Sraopastraipa"/>
        <w:tabs>
          <w:tab w:val="left" w:pos="1134"/>
        </w:tabs>
        <w:spacing w:after="0" w:line="360" w:lineRule="auto"/>
        <w:ind w:left="11" w:firstLineChars="350" w:firstLine="840"/>
        <w:jc w:val="both"/>
        <w:textAlignment w:val="top"/>
        <w:rPr>
          <w:rFonts w:eastAsia="SimSun"/>
          <w:color w:val="000000"/>
          <w:shd w:val="clear" w:color="auto" w:fill="FFFFFF"/>
        </w:rPr>
      </w:pPr>
      <w:r>
        <w:t xml:space="preserve">Lietuvos Respublikos teisingumo ministerija, pagal kompetenciją skubos tvarka įvertinusi derinimui pateiktą </w:t>
      </w:r>
      <w:hyperlink r:id="rId10" w:history="1">
        <w:r>
          <w:rPr>
            <w:rStyle w:val="Hipersaitas"/>
          </w:rPr>
          <w:t>Lietuvos</w:t>
        </w:r>
        <w:r>
          <w:rPr>
            <w:rStyle w:val="Hipersaitas"/>
          </w:rPr>
          <w:t xml:space="preserve"> Respublikos naujojo </w:t>
        </w:r>
        <w:proofErr w:type="spellStart"/>
        <w:r>
          <w:rPr>
            <w:rStyle w:val="Hipersaitas"/>
          </w:rPr>
          <w:t>koronaviruso</w:t>
        </w:r>
        <w:proofErr w:type="spellEnd"/>
        <w:r>
          <w:rPr>
            <w:rStyle w:val="Hipersaitas"/>
          </w:rPr>
          <w:t xml:space="preserve"> (COVID-19) sukeltų pasekmių poveikio Lietuvos Respublikos juridinių asmenų nemokumo įstatymo taikymui </w:t>
        </w:r>
        <w:r>
          <w:rPr>
            <w:rStyle w:val="Hipersaitas"/>
            <w:bCs/>
            <w:shd w:val="clear" w:color="auto" w:fill="FFFFFF"/>
            <w:lang w:eastAsia="lt-LT"/>
          </w:rPr>
          <w:t>įstatymo projektą</w:t>
        </w:r>
      </w:hyperlink>
      <w:r>
        <w:rPr>
          <w:bCs/>
          <w:shd w:val="clear" w:color="auto" w:fill="FFFFFF"/>
          <w:lang w:eastAsia="lt-LT"/>
        </w:rPr>
        <w:t xml:space="preserve"> (toliau – Įstatymo projektas),</w:t>
      </w:r>
      <w:r>
        <w:t xml:space="preserve"> teikia šias esmines pastabas ir pasiūlymus:</w:t>
      </w:r>
    </w:p>
    <w:p w:rsidR="00944C20" w:rsidRDefault="004538CF">
      <w:pPr>
        <w:pStyle w:val="Sraopastraipa"/>
        <w:numPr>
          <w:ilvl w:val="0"/>
          <w:numId w:val="3"/>
        </w:numPr>
        <w:tabs>
          <w:tab w:val="left" w:pos="1134"/>
        </w:tabs>
        <w:spacing w:after="0" w:line="360" w:lineRule="auto"/>
        <w:ind w:left="0" w:firstLine="851"/>
        <w:jc w:val="both"/>
        <w:textAlignment w:val="top"/>
        <w:rPr>
          <w:rFonts w:eastAsia="SimSun"/>
          <w:bCs/>
          <w:color w:val="000000"/>
          <w:spacing w:val="6"/>
          <w:shd w:val="clear" w:color="auto" w:fill="FFFFFF"/>
        </w:rPr>
      </w:pPr>
      <w:r>
        <w:rPr>
          <w:rFonts w:eastAsia="SimSun"/>
          <w:color w:val="000000"/>
          <w:shd w:val="clear" w:color="auto" w:fill="FFFFFF"/>
        </w:rPr>
        <w:t>Pirmiausiai atkreiptinas</w:t>
      </w:r>
      <w:r>
        <w:rPr>
          <w:rFonts w:eastAsia="SimSun"/>
          <w:color w:val="000000"/>
          <w:shd w:val="clear" w:color="auto" w:fill="FFFFFF"/>
        </w:rPr>
        <w:t xml:space="preserve"> dėmesys į tai, kad, nors Įstatymo projekto pavadinimas implikuoja tai, kad jame bus reguliuojami naujojo </w:t>
      </w:r>
      <w:proofErr w:type="spellStart"/>
      <w:r>
        <w:rPr>
          <w:rFonts w:eastAsia="SimSun"/>
          <w:color w:val="000000"/>
          <w:shd w:val="clear" w:color="auto" w:fill="FFFFFF"/>
        </w:rPr>
        <w:t>koronaviruso</w:t>
      </w:r>
      <w:proofErr w:type="spellEnd"/>
      <w:r>
        <w:rPr>
          <w:rFonts w:eastAsia="SimSun"/>
          <w:color w:val="000000"/>
          <w:shd w:val="clear" w:color="auto" w:fill="FFFFFF"/>
        </w:rPr>
        <w:t xml:space="preserve"> (COVID-19) sukeltų pasekmių poveikio Lietuvos Respublikos juridinių asmenų nemokumo įstatymo (toliau – JANĮ) taikymui klausimai, Įstatymo</w:t>
      </w:r>
      <w:r>
        <w:rPr>
          <w:rFonts w:eastAsia="SimSun"/>
          <w:color w:val="000000"/>
          <w:shd w:val="clear" w:color="auto" w:fill="FFFFFF"/>
        </w:rPr>
        <w:t xml:space="preserve"> projekto 1 straipsnyje, apibrėžiant šio įstatymo taikymo sritį, nurodoma, kad jis bus taikomas </w:t>
      </w:r>
      <w:r>
        <w:rPr>
          <w:bCs/>
          <w:spacing w:val="6"/>
        </w:rPr>
        <w:t xml:space="preserve">juridiniams asmenims, patyrusiems neigiamų pasekmių tik dėl Lietuvos Respublikos Vyriausybės sprendimais dėl naujojo </w:t>
      </w:r>
      <w:proofErr w:type="spellStart"/>
      <w:r>
        <w:rPr>
          <w:bCs/>
          <w:spacing w:val="6"/>
        </w:rPr>
        <w:t>koronaviruso</w:t>
      </w:r>
      <w:proofErr w:type="spellEnd"/>
      <w:r>
        <w:rPr>
          <w:bCs/>
          <w:spacing w:val="6"/>
        </w:rPr>
        <w:t xml:space="preserve"> (COVID-19) plitimo grėsmės nus</w:t>
      </w:r>
      <w:r>
        <w:rPr>
          <w:bCs/>
          <w:spacing w:val="6"/>
        </w:rPr>
        <w:t>tatytų veiklos vykdymo ribojimų. Vertinant šias nuostatas, pastebėtina, kad Lietuvos Respublikoje įsteigti ir veikiantys juridiniai asmenys reikšmingų neigiamų pasekmių patiria ne tik dėl Lietuvos Respublikos Vyriausybės sprendimo šalies lygmeniu paskelbti</w:t>
      </w:r>
      <w:r>
        <w:rPr>
          <w:bCs/>
          <w:spacing w:val="6"/>
        </w:rPr>
        <w:t xml:space="preserve"> karantiną ir taikyti konkrečius asmenų veiklos ribojimus, bet ir dėl kitų valstybių taikomų COVID-19 viruso pandemijos valdymo priemonių, uždaromų sienų, dėl to kylančių prekių importo ir eksporto vėlavimų ir kitų priežasčių. Su kai kuriais apsunkinimais,</w:t>
      </w:r>
      <w:r>
        <w:rPr>
          <w:bCs/>
          <w:spacing w:val="6"/>
        </w:rPr>
        <w:t xml:space="preserve"> darančiais neigiamą poveikį mokumui, kai kurios įmonės (pavyzdžiui, turėjusios glaudžių verslo ryšių su Kinija ar kitomis nuo minėto viruso pirmiausiai labiausiai nukentėjusiomis valstybėmis), tikėtina, jau pradėjo susidurti dar iki šalies lygmeniu paskel</w:t>
      </w:r>
      <w:r>
        <w:rPr>
          <w:bCs/>
          <w:spacing w:val="6"/>
        </w:rPr>
        <w:t xml:space="preserve">biant karantiną. </w:t>
      </w:r>
      <w:r>
        <w:rPr>
          <w:bCs/>
          <w:spacing w:val="6"/>
        </w:rPr>
        <w:lastRenderedPageBreak/>
        <w:t>Taigi, neigiamos pasekmės verslui kilo ne tik dėl konkrečių Lietuvos Respublikos Vyriausybės valdant COVID-19 viruso pandemiją priimtų sprendimų, bet ir dėl paties naujojo COVID-19 viruso pandemijos. Atsižvelgiant į tai, siūlytina įvertint</w:t>
      </w:r>
      <w:r>
        <w:rPr>
          <w:bCs/>
          <w:spacing w:val="6"/>
        </w:rPr>
        <w:t xml:space="preserve">i galimybę tikslinti Įstatymo projekto 1 straipsnyje apibrėžtą jo taikymo sritį ją atitinkamai išplečiant ir neigiamas juridinių asmenų patirtas pasekmes siejant su pačiu COVID-19 virusu. </w:t>
      </w:r>
    </w:p>
    <w:p w:rsidR="00944C20" w:rsidRDefault="004538CF">
      <w:pPr>
        <w:pStyle w:val="Sraopastraipa"/>
        <w:numPr>
          <w:ilvl w:val="0"/>
          <w:numId w:val="3"/>
        </w:numPr>
        <w:tabs>
          <w:tab w:val="left" w:pos="1134"/>
        </w:tabs>
        <w:spacing w:after="0" w:line="360" w:lineRule="auto"/>
        <w:ind w:left="0" w:firstLine="851"/>
        <w:jc w:val="both"/>
        <w:textAlignment w:val="top"/>
        <w:rPr>
          <w:rFonts w:eastAsia="SimSun"/>
          <w:bCs/>
          <w:color w:val="000000"/>
          <w:spacing w:val="6"/>
          <w:shd w:val="clear" w:color="auto" w:fill="FFFFFF"/>
        </w:rPr>
      </w:pPr>
      <w:r>
        <w:rPr>
          <w:bCs/>
          <w:spacing w:val="6"/>
        </w:rPr>
        <w:t xml:space="preserve">Iš </w:t>
      </w:r>
      <w:r>
        <w:rPr>
          <w:rFonts w:eastAsia="SimSun"/>
          <w:color w:val="000000"/>
          <w:shd w:val="clear" w:color="auto" w:fill="FFFFFF"/>
        </w:rPr>
        <w:t xml:space="preserve">Įstatymo projekto 1 straipsnio formuluočių taip pat darytina išvada, kad jis būtų taikomas ne visiems su mokumo  problemomis susiduriantiems juridiniams asmenims, bet tik tiems juridiniams asmenims, kurie </w:t>
      </w:r>
      <w:r>
        <w:rPr>
          <w:bCs/>
          <w:spacing w:val="6"/>
        </w:rPr>
        <w:t>patyrė neigiamų pasekmių dėl Lietuvos Respublikos V</w:t>
      </w:r>
      <w:r>
        <w:rPr>
          <w:bCs/>
          <w:spacing w:val="6"/>
        </w:rPr>
        <w:t xml:space="preserve">yriausybės sprendimais dėl naujojo </w:t>
      </w:r>
      <w:proofErr w:type="spellStart"/>
      <w:r>
        <w:rPr>
          <w:bCs/>
          <w:spacing w:val="6"/>
        </w:rPr>
        <w:t>koronaviruso</w:t>
      </w:r>
      <w:proofErr w:type="spellEnd"/>
      <w:r>
        <w:rPr>
          <w:bCs/>
          <w:spacing w:val="6"/>
        </w:rPr>
        <w:t xml:space="preserve"> (COVID-19) plitimo grėsmės nustatytų veiklos vykdymo ribojimų</w:t>
      </w:r>
      <w:r>
        <w:rPr>
          <w:rFonts w:eastAsia="SimSun"/>
          <w:color w:val="000000"/>
          <w:shd w:val="clear" w:color="auto" w:fill="FFFFFF"/>
        </w:rPr>
        <w:t>. Teisingumo ministerijos vertinimu, siūloma nuostata nėra pakankamai aiški, nes nenustato aiškiai apibrėžtų kriterijų, kurie leistų vienareikšmišk</w:t>
      </w:r>
      <w:r>
        <w:rPr>
          <w:rFonts w:eastAsia="SimSun"/>
          <w:color w:val="000000"/>
          <w:shd w:val="clear" w:color="auto" w:fill="FFFFFF"/>
        </w:rPr>
        <w:t xml:space="preserve">ai nustatyti, ar konkretus juridinis asmuo patenka į šio įstatymo taikymo sritį. </w:t>
      </w:r>
      <w:r>
        <w:rPr>
          <w:rFonts w:eastAsia="SimSun"/>
          <w:bCs/>
          <w:color w:val="000000"/>
          <w:spacing w:val="6"/>
          <w:shd w:val="clear" w:color="auto" w:fill="FFFFFF"/>
        </w:rPr>
        <w:t>Atsižvelgiant į tai, kad likusių juridinių asmenų atžvilgiu pilna apimtimi būtų taikomas JANĮ</w:t>
      </w:r>
      <w:r>
        <w:rPr>
          <w:rFonts w:eastAsia="SimSun"/>
          <w:color w:val="000000"/>
          <w:shd w:val="clear" w:color="auto" w:fill="FFFFFF"/>
        </w:rPr>
        <w:t xml:space="preserve">, praktikoje gali kilti painiava ir nevienodo Įstatymo projekto taikymo rizika, </w:t>
      </w:r>
      <w:r>
        <w:rPr>
          <w:rFonts w:eastAsia="SimSun"/>
          <w:color w:val="000000"/>
          <w:shd w:val="clear" w:color="auto" w:fill="FFFFFF"/>
        </w:rPr>
        <w:t>kai tas pačias situacijas ir Įstatymo projekto taikymo galimybę (būtinumą) s</w:t>
      </w:r>
      <w:r>
        <w:rPr>
          <w:rFonts w:eastAsia="SimSun"/>
          <w:bCs/>
          <w:color w:val="000000"/>
          <w:spacing w:val="6"/>
          <w:shd w:val="clear" w:color="auto" w:fill="FFFFFF"/>
        </w:rPr>
        <w:t xml:space="preserve">kirtingai vertintų nemokus juridinis asmuo ir jo kreditoriai. Įstatymo projekto rengėjams siūlytina įvertinti galimybę papildyti Įstatymo projektą bendra prezumpcija, pagal kurią, </w:t>
      </w:r>
      <w:r>
        <w:rPr>
          <w:rFonts w:eastAsia="SimSun"/>
          <w:bCs/>
          <w:color w:val="000000"/>
          <w:spacing w:val="6"/>
          <w:shd w:val="clear" w:color="auto" w:fill="FFFFFF"/>
        </w:rPr>
        <w:t xml:space="preserve">jeigu iki tam tikros datos, pavyzdžiui, iki 2020 m. kovo 11 d., kai Pasaulinė sveikatos organizacija COVID-19 viruso protrūkį paskelbė pandemija, juridinis asmuo buvo mokus, </w:t>
      </w:r>
      <w:r>
        <w:t>vėliau kilęs jo nemokumas laikytinas COVID-19 viruso pandemijos pasekme</w:t>
      </w:r>
      <w:r>
        <w:rPr>
          <w:rStyle w:val="Komentaronuoroda"/>
        </w:rPr>
        <w:t xml:space="preserve"> </w:t>
      </w:r>
      <w:r>
        <w:rPr>
          <w:rStyle w:val="Komentaronuoroda"/>
          <w:sz w:val="24"/>
          <w:szCs w:val="24"/>
        </w:rPr>
        <w:t>(jei regul</w:t>
      </w:r>
      <w:r>
        <w:rPr>
          <w:rStyle w:val="Komentaronuoroda"/>
          <w:sz w:val="24"/>
          <w:szCs w:val="24"/>
        </w:rPr>
        <w:t>iavimas sietų neigiamas pasekmes su COVID-19 pandemija, o ne su karantino paskelbimu)</w:t>
      </w:r>
      <w:r>
        <w:t xml:space="preserve">. Nors tokia prezumpcija atskirais atvejais nebūtų tiksli, ji leistų įnešti į Įstatymo projektu siūlomą teisinį reguliavimą daugiau aiškumo ir apibrėžtumo. </w:t>
      </w:r>
    </w:p>
    <w:p w:rsidR="00944C20" w:rsidRDefault="004538CF">
      <w:pPr>
        <w:spacing w:after="0" w:line="360" w:lineRule="auto"/>
        <w:ind w:firstLine="851"/>
        <w:jc w:val="both"/>
        <w:rPr>
          <w:rFonts w:eastAsia="SimSun"/>
          <w:bCs/>
          <w:color w:val="000000"/>
          <w:spacing w:val="6"/>
          <w:shd w:val="clear" w:color="auto" w:fill="FFFFFF"/>
        </w:rPr>
      </w:pPr>
      <w:r>
        <w:rPr>
          <w:rFonts w:eastAsia="SimSun"/>
          <w:bCs/>
          <w:color w:val="000000"/>
          <w:spacing w:val="6"/>
          <w:shd w:val="clear" w:color="auto" w:fill="FFFFFF"/>
        </w:rPr>
        <w:t>Kaip alternaty</w:t>
      </w:r>
      <w:r>
        <w:rPr>
          <w:rFonts w:eastAsia="SimSun"/>
          <w:bCs/>
          <w:color w:val="000000"/>
          <w:spacing w:val="6"/>
          <w:shd w:val="clear" w:color="auto" w:fill="FFFFFF"/>
        </w:rPr>
        <w:t xml:space="preserve">vą </w:t>
      </w:r>
      <w:r>
        <w:rPr>
          <w:rFonts w:eastAsia="SimSun"/>
          <w:color w:val="000000"/>
          <w:shd w:val="clear" w:color="auto" w:fill="FFFFFF"/>
        </w:rPr>
        <w:t xml:space="preserve">siūlytina įvertinti ir reguliavimą, pagal kurį pats nemokus juridinis asmuo turėtų savo kreditoriams deklaruoti, su kuo siejamas jo </w:t>
      </w:r>
      <w:r>
        <w:rPr>
          <w:rFonts w:eastAsia="SimSun"/>
          <w:bCs/>
          <w:color w:val="000000"/>
          <w:spacing w:val="6"/>
          <w:shd w:val="clear" w:color="auto" w:fill="FFFFFF"/>
        </w:rPr>
        <w:t xml:space="preserve">nemokumas ir ar taikytinos konkrečiu atveju Įstatymo projekto nuostatos. </w:t>
      </w:r>
    </w:p>
    <w:p w:rsidR="00944C20" w:rsidRDefault="004538CF">
      <w:pPr>
        <w:spacing w:after="0" w:line="360" w:lineRule="auto"/>
        <w:ind w:firstLine="851"/>
        <w:jc w:val="both"/>
        <w:rPr>
          <w:bCs/>
          <w:spacing w:val="6"/>
        </w:rPr>
      </w:pPr>
      <w:r>
        <w:t>Siekiant išvengti piktnaudžiavimo atvejų ir užt</w:t>
      </w:r>
      <w:r>
        <w:t xml:space="preserve">ikrinti kreditorių teisių apsaugą, abiem atvejais kreditoriams galėtų būti paliekama galimybė įrodyti teisme, kad nemokumas nesusijęs su </w:t>
      </w:r>
      <w:r>
        <w:rPr>
          <w:bCs/>
          <w:spacing w:val="6"/>
        </w:rPr>
        <w:t>COVID-19 viruso pandemija (ar karantino paskelbimu) ir taikyti bendrąjį JANĮ nustatytą reguliavimą.</w:t>
      </w:r>
    </w:p>
    <w:p w:rsidR="00944C20" w:rsidRDefault="004538CF">
      <w:pPr>
        <w:numPr>
          <w:ilvl w:val="0"/>
          <w:numId w:val="3"/>
        </w:numPr>
        <w:spacing w:after="0" w:line="360" w:lineRule="auto"/>
        <w:ind w:left="0" w:firstLine="851"/>
        <w:jc w:val="both"/>
        <w:rPr>
          <w:bCs/>
          <w:spacing w:val="6"/>
        </w:rPr>
      </w:pPr>
      <w:r>
        <w:rPr>
          <w:bCs/>
          <w:spacing w:val="6"/>
        </w:rPr>
        <w:t>Be to, Įstatymo pro</w:t>
      </w:r>
      <w:r>
        <w:rPr>
          <w:bCs/>
          <w:spacing w:val="6"/>
        </w:rPr>
        <w:t>jekte nėra detalizuojama, kas šiuo atveju laikytina neigiamomis pasekmėmis ir koks jų santykis su JANĮ 2 str. apibrėžtomis juridinių asmenų finansinių sunkumų ir juridinių asmenų nemokumo sąvokomis. Kadangi Įstatymo projektas būtų taikomas tik nemokiems ju</w:t>
      </w:r>
      <w:r>
        <w:rPr>
          <w:bCs/>
          <w:spacing w:val="6"/>
        </w:rPr>
        <w:t>ridiniams asmenims, Įstatymo projekto 1 straipsnyje siūlytina kalbėti apie dėl konkrečių priežasčių atsiradusį juridinio asmens nemokumą.</w:t>
      </w:r>
    </w:p>
    <w:p w:rsidR="00944C20" w:rsidRDefault="004538CF">
      <w:pPr>
        <w:numPr>
          <w:ilvl w:val="0"/>
          <w:numId w:val="3"/>
        </w:numPr>
        <w:spacing w:after="0" w:line="360" w:lineRule="auto"/>
        <w:ind w:left="0" w:firstLine="851"/>
        <w:jc w:val="both"/>
        <w:rPr>
          <w:rFonts w:eastAsia="SimSun"/>
          <w:color w:val="000000"/>
          <w:shd w:val="clear" w:color="auto" w:fill="FFFFFF"/>
        </w:rPr>
      </w:pPr>
      <w:r>
        <w:rPr>
          <w:rFonts w:eastAsia="SimSun"/>
          <w:bCs/>
          <w:color w:val="000000"/>
          <w:spacing w:val="6"/>
          <w:shd w:val="clear" w:color="auto" w:fill="FFFFFF"/>
        </w:rPr>
        <w:lastRenderedPageBreak/>
        <w:t>Įstatymo projektą taip pat tikslinga pildyti nuostatomis, nukreipiančiomis į JANĮ apibrėžtas sąvokas.</w:t>
      </w:r>
    </w:p>
    <w:p w:rsidR="00944C20" w:rsidRDefault="004538CF">
      <w:pPr>
        <w:numPr>
          <w:ilvl w:val="0"/>
          <w:numId w:val="3"/>
        </w:numPr>
        <w:spacing w:after="0" w:line="360" w:lineRule="auto"/>
        <w:ind w:left="0" w:firstLine="851"/>
        <w:jc w:val="both"/>
        <w:rPr>
          <w:rFonts w:eastAsia="SimSun"/>
          <w:color w:val="000000"/>
          <w:shd w:val="clear" w:color="auto" w:fill="FFFFFF"/>
        </w:rPr>
      </w:pPr>
      <w:r>
        <w:rPr>
          <w:rFonts w:eastAsia="SimSun"/>
          <w:bCs/>
          <w:color w:val="000000"/>
          <w:spacing w:val="6"/>
          <w:shd w:val="clear" w:color="auto" w:fill="FFFFFF"/>
        </w:rPr>
        <w:t>Įstatymo projekt</w:t>
      </w:r>
      <w:r>
        <w:rPr>
          <w:rFonts w:eastAsia="SimSun"/>
          <w:bCs/>
          <w:color w:val="000000"/>
          <w:spacing w:val="6"/>
          <w:shd w:val="clear" w:color="auto" w:fill="FFFFFF"/>
        </w:rPr>
        <w:t>o 2 str. 2 d. nuostatos apimtų tik JANĮ 9 str. 3 d. pagrindu nustatytų terminų sudaryti susitarimą dėl pagal</w:t>
      </w:r>
      <w:r>
        <w:rPr>
          <w:rFonts w:eastAsia="SimSun"/>
          <w:color w:val="000000"/>
          <w:shd w:val="clear" w:color="auto" w:fill="FFFFFF"/>
        </w:rPr>
        <w:t>bos pratęsimą. Visgi analogiškos nuostatos, pratęsiančios JANĮ 8 str. 3 d. pagrindu nustatytų terminų pratęsimą, Įstatymo projekte nenumatoma. Sieki</w:t>
      </w:r>
      <w:r>
        <w:rPr>
          <w:rFonts w:eastAsia="SimSun"/>
          <w:color w:val="000000"/>
          <w:shd w:val="clear" w:color="auto" w:fill="FFFFFF"/>
        </w:rPr>
        <w:t>ant abipusiškumo principo, siūlome įvertinti tiek JANĮ 9 str. 3 d., tiek 8 str. 3 d. pagrindu nustatytų terminų stabdymą. Priešingu atveju nemokumo procedūras inicijavus pačiam juridiniam asmeniui, susitarimo dėl pagalbos sudarymo terminas nesikeistų. Taip</w:t>
      </w:r>
      <w:r>
        <w:rPr>
          <w:rFonts w:eastAsia="SimSun"/>
          <w:color w:val="000000"/>
          <w:shd w:val="clear" w:color="auto" w:fill="FFFFFF"/>
        </w:rPr>
        <w:t xml:space="preserve"> pat siūlytume taikyti būtent</w:t>
      </w:r>
      <w:r>
        <w:rPr>
          <w:rFonts w:eastAsia="SimSun"/>
          <w:color w:val="000000"/>
          <w:shd w:val="clear" w:color="auto" w:fill="FFFFFF"/>
        </w:rPr>
        <w:t xml:space="preserve"> terminų</w:t>
      </w:r>
      <w:r>
        <w:rPr>
          <w:rFonts w:eastAsia="SimSun"/>
          <w:color w:val="000000"/>
          <w:shd w:val="clear" w:color="auto" w:fill="FFFFFF"/>
        </w:rPr>
        <w:t xml:space="preserve"> stabdymo institutą, o ne pratęsimo, kadangi tokiu būdu būtų išvengta visų terminų pasibaigimo tą pačią (karantino atšaukimo) dieną.</w:t>
      </w:r>
    </w:p>
    <w:p w:rsidR="00944C20" w:rsidRDefault="004538CF">
      <w:pPr>
        <w:numPr>
          <w:ilvl w:val="0"/>
          <w:numId w:val="3"/>
        </w:numPr>
        <w:spacing w:after="0" w:line="360" w:lineRule="auto"/>
        <w:ind w:left="0" w:firstLine="851"/>
        <w:jc w:val="both"/>
        <w:rPr>
          <w:rFonts w:eastAsia="SimSun"/>
          <w:color w:val="000000"/>
          <w:shd w:val="clear" w:color="auto" w:fill="FFFFFF"/>
        </w:rPr>
      </w:pPr>
      <w:r>
        <w:rPr>
          <w:rFonts w:eastAsia="SimSun"/>
          <w:color w:val="000000"/>
          <w:shd w:val="clear" w:color="auto" w:fill="FFFFFF"/>
        </w:rPr>
        <w:t xml:space="preserve">Pastebėtina, kad Žmonių užkrečiamųjų ligų profilaktikos ir kontrolės įstatymo 21 str. </w:t>
      </w:r>
      <w:r>
        <w:rPr>
          <w:rFonts w:eastAsia="SimSun"/>
          <w:color w:val="000000"/>
          <w:shd w:val="clear" w:color="auto" w:fill="FFFFFF"/>
        </w:rPr>
        <w:t>3 d. kalbama apie karantino atšaukimą, o ne pasibaigimą (Įstatymo projekto 2 str. 2 d.).</w:t>
      </w:r>
    </w:p>
    <w:p w:rsidR="00944C20" w:rsidRDefault="004538CF">
      <w:pPr>
        <w:numPr>
          <w:ilvl w:val="0"/>
          <w:numId w:val="3"/>
        </w:numPr>
        <w:spacing w:after="0" w:line="360" w:lineRule="auto"/>
        <w:ind w:left="0" w:firstLine="851"/>
        <w:jc w:val="both"/>
        <w:rPr>
          <w:rFonts w:eastAsia="SimSun"/>
          <w:color w:val="000000"/>
          <w:shd w:val="clear" w:color="auto" w:fill="FFFFFF"/>
        </w:rPr>
      </w:pPr>
      <w:r>
        <w:rPr>
          <w:rFonts w:eastAsia="SimSun"/>
          <w:color w:val="000000"/>
          <w:shd w:val="clear" w:color="auto" w:fill="FFFFFF"/>
        </w:rPr>
        <w:t>Nesant Įstatymo projekto baigiamųjų nuostatų, lieka neaišku, kaip</w:t>
      </w:r>
      <w:r>
        <w:rPr>
          <w:rFonts w:eastAsia="SimSun"/>
          <w:bCs/>
          <w:color w:val="000000"/>
          <w:shd w:val="clear" w:color="auto" w:fill="FFFFFF"/>
          <w:lang w:eastAsia="lt-LT"/>
        </w:rPr>
        <w:t xml:space="preserve"> </w:t>
      </w:r>
      <w:r>
        <w:rPr>
          <w:rFonts w:eastAsia="SimSun"/>
          <w:color w:val="000000"/>
          <w:shd w:val="clear" w:color="auto" w:fill="FFFFFF"/>
        </w:rPr>
        <w:t>Įstatymo projektas turėtų būti taikomas tais atvejais, kai atitinkamos nemokumo procedūros buvo pradė</w:t>
      </w:r>
      <w:r>
        <w:rPr>
          <w:rFonts w:eastAsia="SimSun"/>
          <w:color w:val="000000"/>
          <w:shd w:val="clear" w:color="auto" w:fill="FFFFFF"/>
        </w:rPr>
        <w:t>tos iki Įstatymo įsigaliojimo ir JANĮ 8 str. 3 d. ir 9 str. 3 d. nustatyti terminai jau būtų pasibaigę, o pareiga kreiptis į teismą juridinio asmens vadovui jau būtų atsiradusi. Pastebėtina, kad nesant Nemokumo įstatyme nustatytų konkrečių pareigos juridin</w:t>
      </w:r>
      <w:r>
        <w:rPr>
          <w:rFonts w:eastAsia="SimSun"/>
          <w:color w:val="000000"/>
          <w:shd w:val="clear" w:color="auto" w:fill="FFFFFF"/>
        </w:rPr>
        <w:t>io asmens vadovui kreiptis į teismą realizavimo terminų tais atvejais, kai susitarimo dėl pagalbos nepavyksta sudaryti, teismų praktikoje suformuota, kad ši pareiga turi būti realizuojama nedelsiant. Atsižvelgiant į tai, tais atvejais, kai pareiga kreiptis</w:t>
      </w:r>
      <w:r>
        <w:rPr>
          <w:rFonts w:eastAsia="SimSun"/>
          <w:color w:val="000000"/>
          <w:shd w:val="clear" w:color="auto" w:fill="FFFFFF"/>
        </w:rPr>
        <w:t xml:space="preserve"> į teismą juridinio asmens vadovui jau buvo atsiradusi, tačiau ji nebuvo tinkamai realizuota, Įstatymo projekto nuostatų taikymas arba netaikymas tais atvejais gali būti svarbus sprendžiant vadovo atsakomybės klausimą (JANĮ 13 str. 1 d.), o Įstatymo projek</w:t>
      </w:r>
      <w:r>
        <w:rPr>
          <w:rFonts w:eastAsia="SimSun"/>
          <w:color w:val="000000"/>
          <w:shd w:val="clear" w:color="auto" w:fill="FFFFFF"/>
        </w:rPr>
        <w:t xml:space="preserve">to normų aiškumas ir apibrėžtumas šiuo atveju ypatingai svarbus. </w:t>
      </w:r>
    </w:p>
    <w:p w:rsidR="00944C20" w:rsidRDefault="00944C20">
      <w:pPr>
        <w:tabs>
          <w:tab w:val="left" w:pos="2662"/>
          <w:tab w:val="right" w:pos="9638"/>
        </w:tabs>
        <w:spacing w:line="25" w:lineRule="atLeast"/>
      </w:pPr>
    </w:p>
    <w:p w:rsidR="00944C20" w:rsidRDefault="004538CF">
      <w:pPr>
        <w:tabs>
          <w:tab w:val="left" w:pos="2662"/>
          <w:tab w:val="right" w:pos="9638"/>
        </w:tabs>
        <w:spacing w:line="25" w:lineRule="atLeast"/>
      </w:pPr>
      <w:r>
        <w:t>Teisingumo ministras</w:t>
      </w:r>
      <w:r>
        <w:tab/>
      </w:r>
      <w:r>
        <w:tab/>
        <w:t>Elvinas Jankevičius</w:t>
      </w:r>
    </w:p>
    <w:p w:rsidR="00944C20" w:rsidRDefault="00944C20">
      <w:pPr>
        <w:tabs>
          <w:tab w:val="decimal" w:pos="9638"/>
        </w:tabs>
      </w:pPr>
    </w:p>
    <w:p w:rsidR="00944C20" w:rsidRDefault="00944C20">
      <w:pPr>
        <w:tabs>
          <w:tab w:val="decimal" w:pos="9638"/>
        </w:tabs>
      </w:pPr>
    </w:p>
    <w:p w:rsidR="00944C20" w:rsidRDefault="00944C20">
      <w:pPr>
        <w:tabs>
          <w:tab w:val="decimal" w:pos="9638"/>
        </w:tabs>
      </w:pPr>
    </w:p>
    <w:p w:rsidR="00944C20" w:rsidRDefault="00944C20">
      <w:pPr>
        <w:tabs>
          <w:tab w:val="decimal" w:pos="9638"/>
        </w:tabs>
        <w:rPr>
          <w:color w:val="000000" w:themeColor="text1"/>
          <w:sz w:val="20"/>
        </w:rPr>
      </w:pPr>
    </w:p>
    <w:p w:rsidR="00944C20" w:rsidRDefault="004538CF">
      <w:pPr>
        <w:tabs>
          <w:tab w:val="decimal" w:pos="9638"/>
        </w:tabs>
        <w:spacing w:after="0"/>
        <w:rPr>
          <w:rStyle w:val="Hipersaitas"/>
          <w:sz w:val="20"/>
        </w:rPr>
      </w:pPr>
      <w:r>
        <w:rPr>
          <w:color w:val="000000" w:themeColor="text1"/>
          <w:sz w:val="20"/>
        </w:rPr>
        <w:t xml:space="preserve">Darius Trinkūnas, (8 5) 266 2912, el. p. </w:t>
      </w:r>
      <w:hyperlink r:id="rId11" w:history="1">
        <w:r>
          <w:rPr>
            <w:rStyle w:val="Hipersaitas"/>
            <w:sz w:val="20"/>
          </w:rPr>
          <w:t>darius.trinkunas@tm.lt</w:t>
        </w:r>
      </w:hyperlink>
    </w:p>
    <w:p w:rsidR="00944C20" w:rsidRDefault="004538CF">
      <w:pPr>
        <w:tabs>
          <w:tab w:val="decimal" w:pos="9638"/>
        </w:tabs>
        <w:spacing w:after="0"/>
        <w:rPr>
          <w:rStyle w:val="Hipersaitas"/>
          <w:sz w:val="20"/>
        </w:rPr>
      </w:pPr>
      <w:r>
        <w:rPr>
          <w:rStyle w:val="Hipersaitas"/>
          <w:color w:val="auto"/>
          <w:sz w:val="20"/>
          <w:u w:val="none"/>
        </w:rPr>
        <w:t xml:space="preserve">Jolita </w:t>
      </w:r>
      <w:proofErr w:type="spellStart"/>
      <w:r>
        <w:rPr>
          <w:rStyle w:val="Hipersaitas"/>
          <w:color w:val="auto"/>
          <w:sz w:val="20"/>
          <w:u w:val="none"/>
        </w:rPr>
        <w:t>Šlikienė</w:t>
      </w:r>
      <w:proofErr w:type="spellEnd"/>
      <w:r>
        <w:rPr>
          <w:rStyle w:val="Hipersaitas"/>
          <w:color w:val="auto"/>
          <w:sz w:val="20"/>
          <w:u w:val="none"/>
        </w:rPr>
        <w:t xml:space="preserve">, (8 5) 266 2918, </w:t>
      </w:r>
      <w:proofErr w:type="spellStart"/>
      <w:r>
        <w:rPr>
          <w:rStyle w:val="Hipersaitas"/>
          <w:color w:val="auto"/>
          <w:sz w:val="20"/>
          <w:u w:val="none"/>
        </w:rPr>
        <w:t>el.p</w:t>
      </w:r>
      <w:proofErr w:type="spellEnd"/>
      <w:r>
        <w:rPr>
          <w:rStyle w:val="Hipersaitas"/>
          <w:color w:val="auto"/>
          <w:sz w:val="20"/>
          <w:u w:val="none"/>
        </w:rPr>
        <w:t xml:space="preserve">. </w:t>
      </w:r>
      <w:hyperlink r:id="rId12" w:history="1">
        <w:r>
          <w:rPr>
            <w:rStyle w:val="Hipersaitas"/>
            <w:sz w:val="20"/>
          </w:rPr>
          <w:t>jolita.slikiene@tm.lt</w:t>
        </w:r>
      </w:hyperlink>
    </w:p>
    <w:p w:rsidR="00944C20" w:rsidRDefault="004538CF">
      <w:pPr>
        <w:tabs>
          <w:tab w:val="decimal" w:pos="9638"/>
        </w:tabs>
        <w:spacing w:after="0"/>
        <w:rPr>
          <w:rStyle w:val="Hipersaitas"/>
          <w:sz w:val="20"/>
        </w:rPr>
      </w:pPr>
      <w:r>
        <w:rPr>
          <w:rStyle w:val="Hipersaitas"/>
          <w:color w:val="auto"/>
          <w:sz w:val="20"/>
          <w:u w:val="none"/>
        </w:rPr>
        <w:t>Vytautė Kazlauskaitė-</w:t>
      </w:r>
      <w:proofErr w:type="spellStart"/>
      <w:r>
        <w:rPr>
          <w:rStyle w:val="Hipersaitas"/>
          <w:color w:val="auto"/>
          <w:sz w:val="20"/>
          <w:u w:val="none"/>
        </w:rPr>
        <w:t>Švenčionienė</w:t>
      </w:r>
      <w:proofErr w:type="spellEnd"/>
      <w:r>
        <w:rPr>
          <w:rStyle w:val="Hipersaitas"/>
          <w:color w:val="auto"/>
          <w:sz w:val="20"/>
          <w:u w:val="none"/>
        </w:rPr>
        <w:t xml:space="preserve">, el. p. </w:t>
      </w:r>
      <w:r>
        <w:rPr>
          <w:rStyle w:val="Hipersaitas"/>
          <w:sz w:val="20"/>
        </w:rPr>
        <w:t>vytaute.kazlauskaite@tm.lt</w:t>
      </w:r>
    </w:p>
    <w:p w:rsidR="00944C20" w:rsidRDefault="00944C20">
      <w:pPr>
        <w:tabs>
          <w:tab w:val="decimal" w:pos="9638"/>
        </w:tabs>
        <w:rPr>
          <w:color w:val="0000FF"/>
          <w:sz w:val="20"/>
          <w:u w:val="single"/>
        </w:rPr>
      </w:pPr>
    </w:p>
    <w:sectPr w:rsidR="00944C20">
      <w:head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38CF">
      <w:pPr>
        <w:spacing w:after="0" w:line="240" w:lineRule="auto"/>
      </w:pPr>
      <w:r>
        <w:separator/>
      </w:r>
    </w:p>
  </w:endnote>
  <w:endnote w:type="continuationSeparator" w:id="0">
    <w:p w:rsidR="00000000" w:rsidRDefault="0045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20" w:rsidRDefault="004538CF">
    <w:pPr>
      <w:pStyle w:val="Porat"/>
      <w:tabs>
        <w:tab w:val="clear" w:pos="8306"/>
        <w:tab w:val="left" w:pos="8080"/>
        <w:tab w:val="right" w:pos="9356"/>
      </w:tabs>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944C20" w:rsidRDefault="004538CF">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38CF">
      <w:pPr>
        <w:spacing w:after="0" w:line="240" w:lineRule="auto"/>
      </w:pPr>
      <w:r>
        <w:separator/>
      </w:r>
    </w:p>
  </w:footnote>
  <w:footnote w:type="continuationSeparator" w:id="0">
    <w:p w:rsidR="00000000" w:rsidRDefault="00453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20" w:rsidRDefault="00944C20">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20" w:rsidRDefault="004538CF">
    <w:pPr>
      <w:tabs>
        <w:tab w:val="right" w:pos="8306"/>
      </w:tabs>
      <w:suppressAutoHyphens w:val="0"/>
      <w:jc w:val="center"/>
      <w:rPr>
        <w:sz w:val="28"/>
        <w:szCs w:val="28"/>
        <w:lang w:eastAsia="en-US"/>
      </w:rPr>
    </w:pPr>
    <w:r>
      <w:rPr>
        <w:noProof/>
        <w:sz w:val="28"/>
        <w:szCs w:val="28"/>
        <w:lang w:eastAsia="lt-LT"/>
      </w:rPr>
      <w:drawing>
        <wp:inline distT="0" distB="0" distL="0" distR="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944C20" w:rsidRDefault="004538CF">
    <w:pPr>
      <w:suppressAutoHyphens w:val="0"/>
      <w:jc w:val="center"/>
      <w:rPr>
        <w:b/>
        <w:bCs/>
        <w:sz w:val="26"/>
        <w:lang w:eastAsia="en-US"/>
      </w:rPr>
    </w:pPr>
    <w:r>
      <w:rPr>
        <w:b/>
        <w:bCs/>
        <w:sz w:val="26"/>
        <w:lang w:eastAsia="en-US"/>
      </w:rPr>
      <w:t>LIETUVOS</w:t>
    </w:r>
    <w:r>
      <w:rPr>
        <w:b/>
        <w:bCs/>
        <w:sz w:val="26"/>
        <w:lang w:eastAsia="en-US"/>
      </w:rPr>
      <w:t xml:space="preserve"> RESPUBLIKOS TEISINGUMO MINISTERIJA</w:t>
    </w:r>
  </w:p>
  <w:p w:rsidR="00944C20" w:rsidRDefault="004538CF">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rsidR="00944C20" w:rsidRDefault="004538CF">
    <w:pPr>
      <w:pBdr>
        <w:bottom w:val="single" w:sz="4" w:space="1" w:color="auto"/>
      </w:pBdr>
      <w:suppressAutoHyphens w:val="0"/>
      <w:spacing w:after="0" w:line="240" w:lineRule="auto"/>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944C20" w:rsidRDefault="004538CF">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944C20" w:rsidRDefault="004538CF">
    <w:pPr>
      <w:pBdr>
        <w:bottom w:val="single" w:sz="4" w:space="1" w:color="auto"/>
      </w:pBdr>
      <w:suppressAutoHyphens w:val="0"/>
      <w:spacing w:after="0" w:line="240" w:lineRule="auto"/>
      <w:jc w:val="center"/>
      <w:rPr>
        <w:sz w:val="20"/>
        <w:lang w:eastAsia="en-US"/>
      </w:rPr>
    </w:pPr>
    <w:r>
      <w:rPr>
        <w:sz w:val="20"/>
        <w:lang w:eastAsia="en-US"/>
      </w:rPr>
      <w:t xml:space="preserve">Duomenys kaupiami ir </w:t>
    </w:r>
    <w:r>
      <w:rPr>
        <w:sz w:val="20"/>
        <w:lang w:eastAsia="en-US"/>
      </w:rPr>
      <w:t>saugomi Juridinių asmenų registre, kodas 188604955</w:t>
    </w:r>
  </w:p>
  <w:p w:rsidR="00944C20" w:rsidRDefault="00944C20">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CFD22"/>
    <w:multiLevelType w:val="singleLevel"/>
    <w:tmpl w:val="A7FCFD22"/>
    <w:lvl w:ilvl="0">
      <w:start w:val="1"/>
      <w:numFmt w:val="decimal"/>
      <w:lvlText w:val="%1."/>
      <w:lvlJc w:val="left"/>
      <w:pPr>
        <w:ind w:left="360" w:hanging="360"/>
      </w:pPr>
    </w:lvl>
  </w:abstractNum>
  <w:abstractNum w:abstractNumId="1">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rawingGridVerticalSpacing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57F55"/>
    <w:rsid w:val="0006186E"/>
    <w:rsid w:val="00072919"/>
    <w:rsid w:val="000756A8"/>
    <w:rsid w:val="00093791"/>
    <w:rsid w:val="00095F50"/>
    <w:rsid w:val="000B0D10"/>
    <w:rsid w:val="000B1ECA"/>
    <w:rsid w:val="000B67D8"/>
    <w:rsid w:val="000D0B1C"/>
    <w:rsid w:val="000D3171"/>
    <w:rsid w:val="000E24D7"/>
    <w:rsid w:val="000E34D4"/>
    <w:rsid w:val="000E4A76"/>
    <w:rsid w:val="000E6E4F"/>
    <w:rsid w:val="000E7556"/>
    <w:rsid w:val="00106269"/>
    <w:rsid w:val="00110A05"/>
    <w:rsid w:val="00133358"/>
    <w:rsid w:val="00137EFF"/>
    <w:rsid w:val="00163C9F"/>
    <w:rsid w:val="00190B04"/>
    <w:rsid w:val="0019694E"/>
    <w:rsid w:val="001A2BEB"/>
    <w:rsid w:val="001B28DE"/>
    <w:rsid w:val="001C1840"/>
    <w:rsid w:val="001E0731"/>
    <w:rsid w:val="001E192A"/>
    <w:rsid w:val="001E213B"/>
    <w:rsid w:val="001E6F39"/>
    <w:rsid w:val="001F4940"/>
    <w:rsid w:val="00216724"/>
    <w:rsid w:val="00224C7E"/>
    <w:rsid w:val="00225009"/>
    <w:rsid w:val="00247655"/>
    <w:rsid w:val="00271BCA"/>
    <w:rsid w:val="00273085"/>
    <w:rsid w:val="0027526A"/>
    <w:rsid w:val="002C0406"/>
    <w:rsid w:val="002D24DA"/>
    <w:rsid w:val="002F357E"/>
    <w:rsid w:val="00314884"/>
    <w:rsid w:val="0031547F"/>
    <w:rsid w:val="00335E75"/>
    <w:rsid w:val="00345C41"/>
    <w:rsid w:val="00350171"/>
    <w:rsid w:val="0035263F"/>
    <w:rsid w:val="00357B11"/>
    <w:rsid w:val="00374572"/>
    <w:rsid w:val="00392BAA"/>
    <w:rsid w:val="003A0D57"/>
    <w:rsid w:val="003A403B"/>
    <w:rsid w:val="003A6CAA"/>
    <w:rsid w:val="003A7861"/>
    <w:rsid w:val="003C1BC9"/>
    <w:rsid w:val="003C76FB"/>
    <w:rsid w:val="00422F55"/>
    <w:rsid w:val="004400C5"/>
    <w:rsid w:val="00444D3C"/>
    <w:rsid w:val="004473FF"/>
    <w:rsid w:val="004538CF"/>
    <w:rsid w:val="00477775"/>
    <w:rsid w:val="004C157C"/>
    <w:rsid w:val="004E0354"/>
    <w:rsid w:val="004E4C97"/>
    <w:rsid w:val="004F7E5E"/>
    <w:rsid w:val="00503401"/>
    <w:rsid w:val="0051548F"/>
    <w:rsid w:val="00520A82"/>
    <w:rsid w:val="00526983"/>
    <w:rsid w:val="005468FA"/>
    <w:rsid w:val="00561D92"/>
    <w:rsid w:val="005934F7"/>
    <w:rsid w:val="005A2039"/>
    <w:rsid w:val="005A32E3"/>
    <w:rsid w:val="005B22EF"/>
    <w:rsid w:val="005B71DB"/>
    <w:rsid w:val="005D1339"/>
    <w:rsid w:val="005E7F01"/>
    <w:rsid w:val="005F6849"/>
    <w:rsid w:val="005F70CA"/>
    <w:rsid w:val="006202AA"/>
    <w:rsid w:val="00631354"/>
    <w:rsid w:val="00632C30"/>
    <w:rsid w:val="00652B29"/>
    <w:rsid w:val="006540F2"/>
    <w:rsid w:val="00674F0A"/>
    <w:rsid w:val="00685024"/>
    <w:rsid w:val="0069038C"/>
    <w:rsid w:val="00692B0B"/>
    <w:rsid w:val="006A0169"/>
    <w:rsid w:val="006A3AEE"/>
    <w:rsid w:val="006B70BD"/>
    <w:rsid w:val="006E2FF8"/>
    <w:rsid w:val="0070100A"/>
    <w:rsid w:val="007155A1"/>
    <w:rsid w:val="00735C7F"/>
    <w:rsid w:val="0074745C"/>
    <w:rsid w:val="00755247"/>
    <w:rsid w:val="0075689A"/>
    <w:rsid w:val="00775BDF"/>
    <w:rsid w:val="007A34D4"/>
    <w:rsid w:val="007B1F82"/>
    <w:rsid w:val="007B3C8C"/>
    <w:rsid w:val="007B4A13"/>
    <w:rsid w:val="007D2E15"/>
    <w:rsid w:val="007D3DA3"/>
    <w:rsid w:val="007F7B9B"/>
    <w:rsid w:val="00816511"/>
    <w:rsid w:val="008309E8"/>
    <w:rsid w:val="008766F2"/>
    <w:rsid w:val="008A5254"/>
    <w:rsid w:val="008C162A"/>
    <w:rsid w:val="00921A20"/>
    <w:rsid w:val="009302F1"/>
    <w:rsid w:val="00935287"/>
    <w:rsid w:val="00944C20"/>
    <w:rsid w:val="00967916"/>
    <w:rsid w:val="00977F51"/>
    <w:rsid w:val="009A11A6"/>
    <w:rsid w:val="009B0944"/>
    <w:rsid w:val="009B4576"/>
    <w:rsid w:val="009D5D3E"/>
    <w:rsid w:val="009E11EE"/>
    <w:rsid w:val="009E135C"/>
    <w:rsid w:val="009E17B2"/>
    <w:rsid w:val="00A17E41"/>
    <w:rsid w:val="00A36467"/>
    <w:rsid w:val="00A40CD2"/>
    <w:rsid w:val="00A43DDD"/>
    <w:rsid w:val="00A45A83"/>
    <w:rsid w:val="00A500C7"/>
    <w:rsid w:val="00A5068D"/>
    <w:rsid w:val="00A51241"/>
    <w:rsid w:val="00A80649"/>
    <w:rsid w:val="00A94549"/>
    <w:rsid w:val="00AC27D6"/>
    <w:rsid w:val="00AD37E3"/>
    <w:rsid w:val="00AE0614"/>
    <w:rsid w:val="00AE3511"/>
    <w:rsid w:val="00B25502"/>
    <w:rsid w:val="00B32DFC"/>
    <w:rsid w:val="00B40D2F"/>
    <w:rsid w:val="00B45255"/>
    <w:rsid w:val="00B669E7"/>
    <w:rsid w:val="00B7339D"/>
    <w:rsid w:val="00B942CE"/>
    <w:rsid w:val="00BA60D3"/>
    <w:rsid w:val="00BB10CF"/>
    <w:rsid w:val="00BB1BC1"/>
    <w:rsid w:val="00BB4D0A"/>
    <w:rsid w:val="00BD01B6"/>
    <w:rsid w:val="00BD62CA"/>
    <w:rsid w:val="00BF4400"/>
    <w:rsid w:val="00C2360C"/>
    <w:rsid w:val="00C26D5D"/>
    <w:rsid w:val="00C43A57"/>
    <w:rsid w:val="00C52D99"/>
    <w:rsid w:val="00C843F3"/>
    <w:rsid w:val="00CB1D28"/>
    <w:rsid w:val="00CC742A"/>
    <w:rsid w:val="00CD660D"/>
    <w:rsid w:val="00CD6679"/>
    <w:rsid w:val="00CE3240"/>
    <w:rsid w:val="00D2173F"/>
    <w:rsid w:val="00D22358"/>
    <w:rsid w:val="00D22A39"/>
    <w:rsid w:val="00D2544A"/>
    <w:rsid w:val="00D519E9"/>
    <w:rsid w:val="00D553A0"/>
    <w:rsid w:val="00D6461F"/>
    <w:rsid w:val="00D9324E"/>
    <w:rsid w:val="00DA10E1"/>
    <w:rsid w:val="00DA16FD"/>
    <w:rsid w:val="00DB7EC6"/>
    <w:rsid w:val="00E03B24"/>
    <w:rsid w:val="00E04931"/>
    <w:rsid w:val="00E214C4"/>
    <w:rsid w:val="00E32D88"/>
    <w:rsid w:val="00E35543"/>
    <w:rsid w:val="00E36636"/>
    <w:rsid w:val="00E37334"/>
    <w:rsid w:val="00E63465"/>
    <w:rsid w:val="00E75D83"/>
    <w:rsid w:val="00E81F28"/>
    <w:rsid w:val="00E843B1"/>
    <w:rsid w:val="00E96B50"/>
    <w:rsid w:val="00EA3009"/>
    <w:rsid w:val="00ED73D6"/>
    <w:rsid w:val="00EE5859"/>
    <w:rsid w:val="00EF07A0"/>
    <w:rsid w:val="00EF5630"/>
    <w:rsid w:val="00F05FB4"/>
    <w:rsid w:val="00F613B9"/>
    <w:rsid w:val="00F6147E"/>
    <w:rsid w:val="00F62B9E"/>
    <w:rsid w:val="00F73A02"/>
    <w:rsid w:val="00F85A80"/>
    <w:rsid w:val="00F947AC"/>
    <w:rsid w:val="00FB183B"/>
    <w:rsid w:val="00FB295F"/>
    <w:rsid w:val="00FB41D3"/>
    <w:rsid w:val="00FB5D01"/>
    <w:rsid w:val="00FC0237"/>
    <w:rsid w:val="00FC0E93"/>
    <w:rsid w:val="00FD2FDD"/>
    <w:rsid w:val="00FE2B69"/>
    <w:rsid w:val="00FE5AFA"/>
    <w:rsid w:val="00FF75F2"/>
    <w:rsid w:val="0CB341F4"/>
    <w:rsid w:val="10E34060"/>
    <w:rsid w:val="13BE6970"/>
    <w:rsid w:val="203444DF"/>
    <w:rsid w:val="25EF3DCB"/>
    <w:rsid w:val="2B5953F0"/>
    <w:rsid w:val="2FDD151E"/>
    <w:rsid w:val="37807B0D"/>
    <w:rsid w:val="3F813E2E"/>
    <w:rsid w:val="41997176"/>
    <w:rsid w:val="47300469"/>
    <w:rsid w:val="5B953DC6"/>
    <w:rsid w:val="62C63A74"/>
    <w:rsid w:val="7DCC19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lsdException w:name="caption" w:qFormat="1"/>
    <w:lsdException w:name="annotation reference"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pPr>
      <w:spacing w:after="160" w:line="259" w:lineRule="auto"/>
    </w:pPr>
    <w:rPr>
      <w:sz w:val="20"/>
      <w:szCs w:val="20"/>
    </w:rPr>
  </w:style>
  <w:style w:type="paragraph" w:styleId="Komentarotema">
    <w:name w:val="annotation subject"/>
    <w:basedOn w:val="Komentarotekstas"/>
    <w:next w:val="Komentarotekstas"/>
    <w:link w:val="KomentarotemaDiagrama"/>
    <w:semiHidden/>
    <w:unhideWhenUsed/>
    <w:qFormat/>
    <w:pPr>
      <w:spacing w:after="0" w:line="240" w:lineRule="auto"/>
    </w:pPr>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qFormat/>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spacing w:after="160" w:line="259" w:lineRule="auto"/>
      <w:ind w:left="720"/>
      <w:contextualSpacing/>
    </w:pPr>
  </w:style>
  <w:style w:type="character" w:customStyle="1" w:styleId="SraopastraipaDiagrama">
    <w:name w:val="Sąrašo pastraipa Diagrama"/>
    <w:link w:val="Sraopastraipa"/>
    <w:uiPriority w:val="34"/>
    <w:qFormat/>
    <w:rPr>
      <w:sz w:val="24"/>
      <w:szCs w:val="24"/>
      <w:lang w:eastAsia="ar-SA"/>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lsdException w:name="caption" w:qFormat="1"/>
    <w:lsdException w:name="annotation reference"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pPr>
      <w:spacing w:after="160" w:line="259" w:lineRule="auto"/>
    </w:pPr>
    <w:rPr>
      <w:sz w:val="20"/>
      <w:szCs w:val="20"/>
    </w:rPr>
  </w:style>
  <w:style w:type="paragraph" w:styleId="Komentarotema">
    <w:name w:val="annotation subject"/>
    <w:basedOn w:val="Komentarotekstas"/>
    <w:next w:val="Komentarotekstas"/>
    <w:link w:val="KomentarotemaDiagrama"/>
    <w:semiHidden/>
    <w:unhideWhenUsed/>
    <w:qFormat/>
    <w:pPr>
      <w:spacing w:after="0" w:line="240" w:lineRule="auto"/>
    </w:pPr>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qFormat/>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spacing w:after="160" w:line="259" w:lineRule="auto"/>
      <w:ind w:left="720"/>
      <w:contextualSpacing/>
    </w:pPr>
  </w:style>
  <w:style w:type="character" w:customStyle="1" w:styleId="SraopastraipaDiagrama">
    <w:name w:val="Sąrašo pastraipa Diagrama"/>
    <w:link w:val="Sraopastraipa"/>
    <w:uiPriority w:val="34"/>
    <w:qFormat/>
    <w:rPr>
      <w:sz w:val="24"/>
      <w:szCs w:val="24"/>
      <w:lang w:eastAsia="ar-SA"/>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olita.slikiene@t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trinkunas@tm.l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e-seimas.lrs.lt/portal/legalAct/lt/TAP/830968e075af11eaa38ed97835ec4df6?jfwid=-1cf20o1ie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A09FF-38D6-432E-A4A6-4B2977B5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4614</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Rasa Stanislovaitienė</cp:lastModifiedBy>
  <cp:revision>2</cp:revision>
  <cp:lastPrinted>2020-01-13T12:15:00Z</cp:lastPrinted>
  <dcterms:created xsi:type="dcterms:W3CDTF">2020-04-06T16:15:00Z</dcterms:created>
  <dcterms:modified xsi:type="dcterms:W3CDTF">2020-04-06T16:15:00Z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