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963C1" w14:textId="77777777" w:rsidR="009F2365" w:rsidRPr="00A6448C" w:rsidRDefault="009F2365">
      <w:pPr>
        <w:tabs>
          <w:tab w:val="center" w:pos="4153"/>
          <w:tab w:val="right" w:pos="8306"/>
        </w:tabs>
        <w:rPr>
          <w:rFonts w:ascii="TimesLT" w:hAnsi="TimesLT"/>
        </w:rPr>
      </w:pPr>
    </w:p>
    <w:p w14:paraId="4C34EA22" w14:textId="77777777" w:rsidR="009F2365" w:rsidRPr="00A6448C" w:rsidRDefault="009F2365">
      <w:pPr>
        <w:jc w:val="center"/>
        <w:rPr>
          <w:caps/>
          <w:sz w:val="22"/>
        </w:rPr>
      </w:pPr>
    </w:p>
    <w:p w14:paraId="2507007B" w14:textId="77777777" w:rsidR="009F2365" w:rsidRPr="00A6448C" w:rsidRDefault="009F2365">
      <w:pPr>
        <w:jc w:val="center"/>
        <w:rPr>
          <w:caps/>
          <w:sz w:val="12"/>
          <w:szCs w:val="12"/>
        </w:rPr>
      </w:pPr>
    </w:p>
    <w:p w14:paraId="18AA3844" w14:textId="77777777" w:rsidR="009F2365" w:rsidRPr="00A6448C" w:rsidRDefault="006C0D75">
      <w:pPr>
        <w:jc w:val="center"/>
        <w:rPr>
          <w:b/>
          <w:bCs/>
          <w:caps/>
        </w:rPr>
      </w:pPr>
      <w:r w:rsidRPr="00A6448C">
        <w:rPr>
          <w:b/>
          <w:bCs/>
          <w:caps/>
        </w:rPr>
        <w:t>LIETUVOS RESPUBLIKOS</w:t>
      </w:r>
    </w:p>
    <w:p w14:paraId="553D4A6A" w14:textId="77777777" w:rsidR="00EB5116" w:rsidRDefault="006C0D75">
      <w:pPr>
        <w:jc w:val="center"/>
        <w:rPr>
          <w:b/>
          <w:caps/>
        </w:rPr>
      </w:pPr>
      <w:r w:rsidRPr="00A6448C">
        <w:rPr>
          <w:b/>
          <w:caps/>
        </w:rPr>
        <w:t xml:space="preserve">VIDAUS TARNYBOS STATUTO </w:t>
      </w:r>
      <w:r w:rsidR="001E58C2">
        <w:rPr>
          <w:b/>
          <w:caps/>
        </w:rPr>
        <w:t xml:space="preserve">39, </w:t>
      </w:r>
      <w:r w:rsidR="00D62D7B" w:rsidRPr="00A6448C">
        <w:rPr>
          <w:b/>
          <w:caps/>
        </w:rPr>
        <w:t xml:space="preserve">53, </w:t>
      </w:r>
      <w:r w:rsidR="00752004" w:rsidRPr="00A6448C">
        <w:rPr>
          <w:b/>
          <w:caps/>
        </w:rPr>
        <w:t>61</w:t>
      </w:r>
      <w:r w:rsidR="00BB62AF" w:rsidRPr="00A6448C">
        <w:rPr>
          <w:b/>
          <w:caps/>
        </w:rPr>
        <w:t xml:space="preserve"> </w:t>
      </w:r>
      <w:r w:rsidR="00E21895">
        <w:rPr>
          <w:b/>
          <w:caps/>
        </w:rPr>
        <w:t xml:space="preserve">STRAIPSNIŲ </w:t>
      </w:r>
      <w:r w:rsidR="00D62D7B" w:rsidRPr="00A6448C">
        <w:rPr>
          <w:b/>
          <w:caps/>
        </w:rPr>
        <w:t xml:space="preserve">ir priedo </w:t>
      </w:r>
      <w:r w:rsidRPr="00A6448C">
        <w:rPr>
          <w:b/>
          <w:caps/>
        </w:rPr>
        <w:t>PAKEITIMO</w:t>
      </w:r>
    </w:p>
    <w:p w14:paraId="2B5CA9D0" w14:textId="77777777" w:rsidR="009F2365" w:rsidRPr="00A6448C" w:rsidRDefault="006C0D75">
      <w:pPr>
        <w:jc w:val="center"/>
        <w:rPr>
          <w:caps/>
        </w:rPr>
      </w:pPr>
      <w:r w:rsidRPr="00A6448C">
        <w:rPr>
          <w:b/>
          <w:caps/>
        </w:rPr>
        <w:t>ĮSTATYMAS</w:t>
      </w:r>
    </w:p>
    <w:p w14:paraId="1CEB5A38" w14:textId="77777777" w:rsidR="009F2365" w:rsidRPr="00A6448C" w:rsidRDefault="009F2365">
      <w:pPr>
        <w:jc w:val="center"/>
        <w:rPr>
          <w:b/>
          <w:caps/>
        </w:rPr>
      </w:pPr>
    </w:p>
    <w:p w14:paraId="0BF0DF07" w14:textId="77777777" w:rsidR="009F2365" w:rsidRPr="00A6448C" w:rsidRDefault="006C0D75">
      <w:pPr>
        <w:jc w:val="center"/>
        <w:rPr>
          <w:szCs w:val="24"/>
        </w:rPr>
      </w:pPr>
      <w:r w:rsidRPr="00A6448C">
        <w:rPr>
          <w:szCs w:val="24"/>
        </w:rPr>
        <w:t xml:space="preserve">Nr. </w:t>
      </w:r>
    </w:p>
    <w:p w14:paraId="32A8CA5D" w14:textId="77777777" w:rsidR="009F2365" w:rsidRPr="00A6448C" w:rsidRDefault="006C0D75">
      <w:pPr>
        <w:jc w:val="center"/>
        <w:rPr>
          <w:szCs w:val="24"/>
        </w:rPr>
      </w:pPr>
      <w:r w:rsidRPr="00A6448C">
        <w:rPr>
          <w:szCs w:val="24"/>
        </w:rPr>
        <w:t>Vilnius</w:t>
      </w:r>
    </w:p>
    <w:p w14:paraId="10681BD1" w14:textId="77777777" w:rsidR="007156CF" w:rsidRPr="00A6448C" w:rsidRDefault="007156CF" w:rsidP="007E1163">
      <w:pPr>
        <w:spacing w:line="360" w:lineRule="auto"/>
        <w:ind w:left="2127" w:hanging="1407"/>
        <w:jc w:val="both"/>
        <w:rPr>
          <w:b/>
          <w:szCs w:val="24"/>
        </w:rPr>
      </w:pPr>
    </w:p>
    <w:p w14:paraId="04FFE617" w14:textId="77777777" w:rsidR="001E58C2" w:rsidRPr="00A6448C" w:rsidRDefault="001E58C2" w:rsidP="001E58C2">
      <w:pPr>
        <w:spacing w:line="360" w:lineRule="auto"/>
        <w:ind w:left="2127" w:hanging="1407"/>
        <w:jc w:val="both"/>
        <w:rPr>
          <w:b/>
          <w:szCs w:val="24"/>
        </w:rPr>
      </w:pPr>
      <w:r>
        <w:rPr>
          <w:b/>
          <w:szCs w:val="24"/>
        </w:rPr>
        <w:t>1</w:t>
      </w:r>
      <w:r w:rsidRPr="00A6448C">
        <w:rPr>
          <w:b/>
          <w:szCs w:val="24"/>
        </w:rPr>
        <w:t xml:space="preserve"> straipsnis. 39 straipsnio pakeitimas</w:t>
      </w:r>
    </w:p>
    <w:p w14:paraId="682AA691" w14:textId="77777777" w:rsidR="001E58C2" w:rsidRPr="00A6448C" w:rsidRDefault="001E58C2" w:rsidP="001E58C2">
      <w:pPr>
        <w:spacing w:line="360" w:lineRule="auto"/>
        <w:ind w:firstLine="720"/>
        <w:jc w:val="both"/>
        <w:rPr>
          <w:szCs w:val="24"/>
          <w:lang w:eastAsia="lt-LT"/>
        </w:rPr>
      </w:pPr>
      <w:r w:rsidRPr="00A6448C">
        <w:rPr>
          <w:szCs w:val="24"/>
        </w:rPr>
        <w:t xml:space="preserve">1. </w:t>
      </w:r>
      <w:r w:rsidRPr="00A6448C">
        <w:rPr>
          <w:szCs w:val="24"/>
          <w:lang w:eastAsia="lt-LT"/>
        </w:rPr>
        <w:t>Pakeisti 39 straipsnio 1 dalį ir ją išdėstyti taip:</w:t>
      </w:r>
    </w:p>
    <w:p w14:paraId="4744FAF1" w14:textId="77777777" w:rsidR="001E58C2" w:rsidRDefault="001E58C2" w:rsidP="001E58C2">
      <w:pPr>
        <w:spacing w:line="360" w:lineRule="auto"/>
        <w:ind w:firstLine="709"/>
        <w:jc w:val="both"/>
        <w:rPr>
          <w:szCs w:val="24"/>
          <w:lang w:eastAsia="lt-LT"/>
        </w:rPr>
      </w:pPr>
      <w:r w:rsidRPr="00A6448C">
        <w:rPr>
          <w:szCs w:val="24"/>
        </w:rPr>
        <w:t xml:space="preserve">„1. </w:t>
      </w:r>
      <w:r w:rsidRPr="00A6448C">
        <w:rPr>
          <w:szCs w:val="24"/>
          <w:lang w:eastAsia="lt-LT"/>
        </w:rPr>
        <w:t>Už tarnybinius nusižengimus skiriamos tarnybinės nuobaudos. Tarnybinė nuobauda skiriama atsižvelgiant į tarnybinį nusižengimą padariusio pareigūno kaltę, tarnybinio nusižengimo padarymo priežastis, aplinkybes ir padarinius, į pareigūno veiklą iki tarnybinio nusižengimo padarymo, tarnybinę atsakomybę lengvinančias ir sunkinančias aplinkybes</w:t>
      </w:r>
      <w:r w:rsidRPr="00A6448C">
        <w:rPr>
          <w:strike/>
          <w:szCs w:val="24"/>
          <w:lang w:eastAsia="lt-LT"/>
        </w:rPr>
        <w:t>, į Lietuvos Respublikos korupcijos prevencijos įstatyme ar Lietuvos Respublikos kriminalinės žvalgybos įstatyme nustatytais atvejais ir tvarka gautą informaciją</w:t>
      </w:r>
      <w:r w:rsidRPr="00F451CD">
        <w:rPr>
          <w:strike/>
          <w:szCs w:val="24"/>
          <w:lang w:eastAsia="lt-LT"/>
        </w:rPr>
        <w:t>. Pagal Korupcijos prevencijos įstatymą gauta informacija gali būti panaudota skiriant pareigūnui</w:t>
      </w:r>
      <w:r w:rsidRPr="00F451CD">
        <w:rPr>
          <w:strike/>
          <w:color w:val="008000"/>
          <w:szCs w:val="24"/>
          <w:lang w:eastAsia="lt-LT"/>
        </w:rPr>
        <w:t xml:space="preserve"> </w:t>
      </w:r>
      <w:r w:rsidRPr="00F451CD">
        <w:rPr>
          <w:strike/>
          <w:szCs w:val="24"/>
          <w:lang w:eastAsia="lt-LT"/>
        </w:rPr>
        <w:t>tarnybinę nuobaudą tik tuo atveju, kai ši informacija išslaptinama</w:t>
      </w:r>
      <w:r w:rsidRPr="00F451CD">
        <w:rPr>
          <w:szCs w:val="24"/>
          <w:lang w:eastAsia="lt-LT"/>
        </w:rPr>
        <w:t>.“</w:t>
      </w:r>
    </w:p>
    <w:p w14:paraId="3C5BC977" w14:textId="77777777" w:rsidR="001E58C2" w:rsidRPr="00A6448C" w:rsidRDefault="001E58C2" w:rsidP="001E58C2">
      <w:pPr>
        <w:spacing w:line="360" w:lineRule="auto"/>
        <w:ind w:left="2127" w:hanging="1407"/>
        <w:jc w:val="both"/>
        <w:rPr>
          <w:szCs w:val="24"/>
        </w:rPr>
      </w:pPr>
      <w:r>
        <w:rPr>
          <w:szCs w:val="24"/>
        </w:rPr>
        <w:t>2</w:t>
      </w:r>
      <w:r w:rsidRPr="00A6448C">
        <w:rPr>
          <w:szCs w:val="24"/>
        </w:rPr>
        <w:t>. Papildyti 39 straipsnį 9</w:t>
      </w:r>
      <w:r w:rsidRPr="00A6448C">
        <w:rPr>
          <w:szCs w:val="24"/>
          <w:vertAlign w:val="superscript"/>
        </w:rPr>
        <w:t>1</w:t>
      </w:r>
      <w:r w:rsidRPr="00A6448C">
        <w:rPr>
          <w:szCs w:val="24"/>
        </w:rPr>
        <w:t xml:space="preserve"> dalimi:</w:t>
      </w:r>
    </w:p>
    <w:p w14:paraId="284CB2DF" w14:textId="77777777" w:rsidR="001E58C2" w:rsidRDefault="001E58C2" w:rsidP="001E58C2">
      <w:pPr>
        <w:pStyle w:val="western"/>
        <w:spacing w:before="0" w:beforeAutospacing="0" w:after="0" w:afterAutospacing="0" w:line="360" w:lineRule="auto"/>
        <w:ind w:firstLine="720"/>
        <w:jc w:val="both"/>
      </w:pPr>
      <w:r w:rsidRPr="00A6448C">
        <w:t>„</w:t>
      </w:r>
      <w:r w:rsidRPr="00A6448C">
        <w:rPr>
          <w:b/>
        </w:rPr>
        <w:t>9</w:t>
      </w:r>
      <w:r w:rsidRPr="00A6448C">
        <w:rPr>
          <w:b/>
          <w:vertAlign w:val="superscript"/>
        </w:rPr>
        <w:t>1</w:t>
      </w:r>
      <w:r w:rsidRPr="00A6448C">
        <w:rPr>
          <w:b/>
        </w:rPr>
        <w:t>. Pareigūnas</w:t>
      </w:r>
      <w:r>
        <w:rPr>
          <w:b/>
        </w:rPr>
        <w:t xml:space="preserve"> ir iš vidaus tarnybos atleistas pareigūnas</w:t>
      </w:r>
      <w:r w:rsidRPr="00A6448C">
        <w:rPr>
          <w:b/>
        </w:rPr>
        <w:t>, dėl kurio pradėtas tarnybinis patikrinimas, turi teisę turėti atstovą,</w:t>
      </w:r>
      <w:r w:rsidRPr="00ED69EA">
        <w:rPr>
          <w:b/>
        </w:rPr>
        <w:t xml:space="preserve"> </w:t>
      </w:r>
      <w:r>
        <w:rPr>
          <w:b/>
        </w:rPr>
        <w:t xml:space="preserve">turintį tokias pačias teises, kaip ir </w:t>
      </w:r>
      <w:r w:rsidR="00AD6727">
        <w:rPr>
          <w:b/>
        </w:rPr>
        <w:t>asmuo</w:t>
      </w:r>
      <w:r>
        <w:rPr>
          <w:b/>
        </w:rPr>
        <w:t>, kuriam jis atstovauja;</w:t>
      </w:r>
      <w:r w:rsidRPr="00A6448C">
        <w:rPr>
          <w:b/>
        </w:rPr>
        <w:t xml:space="preserve"> būti raštu informuotas apie pradėtą tarnybinį patikrinimą dėl jo galimai padaryto tarnybinio nusižengimo</w:t>
      </w:r>
      <w:r w:rsidR="00AD20CB">
        <w:rPr>
          <w:b/>
        </w:rPr>
        <w:t xml:space="preserve"> ir jo prašymu susipažinti su statutinės įstaigos turimais neįslaptintais duomenimis apie jo galimai padarytą tarnybinį nusižengimą arba gauti šiuos duomenis</w:t>
      </w:r>
      <w:r>
        <w:rPr>
          <w:b/>
        </w:rPr>
        <w:t>;</w:t>
      </w:r>
      <w:r w:rsidRPr="00A6448C">
        <w:rPr>
          <w:b/>
        </w:rPr>
        <w:t xml:space="preserve"> teikti paaiškinimus, prašymus ir įrodymus</w:t>
      </w:r>
      <w:r>
        <w:rPr>
          <w:b/>
        </w:rPr>
        <w:t xml:space="preserve"> ar kitą informaciją dėl jo galimai padaryto tarnybinio nusižengimo;</w:t>
      </w:r>
      <w:r w:rsidRPr="00A6448C">
        <w:rPr>
          <w:b/>
        </w:rPr>
        <w:t xml:space="preserve"> </w:t>
      </w:r>
      <w:r>
        <w:rPr>
          <w:b/>
        </w:rPr>
        <w:t xml:space="preserve">dalyvauti tikrinant su jo galimai padarytu tarnybiniu nusižengimu susijusius faktinius duomenis vietoje; pareikšti </w:t>
      </w:r>
      <w:r w:rsidR="00AD20CB">
        <w:rPr>
          <w:b/>
        </w:rPr>
        <w:t xml:space="preserve">motyvuotą </w:t>
      </w:r>
      <w:r>
        <w:rPr>
          <w:b/>
        </w:rPr>
        <w:t xml:space="preserve">nušalinimą tarnybinį nusižengimą tirti įgaliotiems asmenims dėl jų galimo nešališkumo ir </w:t>
      </w:r>
      <w:r w:rsidRPr="00A6448C">
        <w:rPr>
          <w:b/>
        </w:rPr>
        <w:t xml:space="preserve">apskųsti </w:t>
      </w:r>
      <w:r>
        <w:rPr>
          <w:b/>
        </w:rPr>
        <w:t>šių asmenų</w:t>
      </w:r>
      <w:r w:rsidRPr="00A6448C">
        <w:rPr>
          <w:b/>
        </w:rPr>
        <w:t xml:space="preserve"> veik</w:t>
      </w:r>
      <w:r>
        <w:rPr>
          <w:b/>
        </w:rPr>
        <w:t>imą</w:t>
      </w:r>
      <w:r w:rsidRPr="00A6448C">
        <w:rPr>
          <w:b/>
        </w:rPr>
        <w:t xml:space="preserve"> ar neveikimą</w:t>
      </w:r>
      <w:r>
        <w:rPr>
          <w:b/>
        </w:rPr>
        <w:t>;</w:t>
      </w:r>
      <w:r w:rsidRPr="00A6448C">
        <w:rPr>
          <w:b/>
        </w:rPr>
        <w:t xml:space="preserve"> baigus tarnybinį patikrinimą</w:t>
      </w:r>
      <w:r w:rsidR="00BF1C1F">
        <w:rPr>
          <w:b/>
        </w:rPr>
        <w:t>, gauti priimtą sprendimą, jo prašymu</w:t>
      </w:r>
      <w:r w:rsidRPr="00A6448C">
        <w:rPr>
          <w:b/>
        </w:rPr>
        <w:t xml:space="preserve"> susipažinti su </w:t>
      </w:r>
      <w:r w:rsidR="00BF1C1F">
        <w:rPr>
          <w:b/>
        </w:rPr>
        <w:t xml:space="preserve">neįslaptinta </w:t>
      </w:r>
      <w:r w:rsidRPr="00A6448C">
        <w:rPr>
          <w:b/>
        </w:rPr>
        <w:t xml:space="preserve">tarnybinio patikrinimo </w:t>
      </w:r>
      <w:r w:rsidR="00BF1C1F">
        <w:rPr>
          <w:b/>
        </w:rPr>
        <w:t xml:space="preserve">medžiaga arba </w:t>
      </w:r>
      <w:r w:rsidRPr="00A6448C">
        <w:rPr>
          <w:b/>
        </w:rPr>
        <w:t xml:space="preserve">gauti </w:t>
      </w:r>
      <w:r w:rsidR="00BF1C1F">
        <w:rPr>
          <w:b/>
        </w:rPr>
        <w:t>jos</w:t>
      </w:r>
      <w:r w:rsidRPr="00A6448C">
        <w:rPr>
          <w:b/>
        </w:rPr>
        <w:t xml:space="preserve"> kopij</w:t>
      </w:r>
      <w:r w:rsidR="00BF1C1F">
        <w:rPr>
          <w:b/>
        </w:rPr>
        <w:t>ą; skųsti sprendimus, priimtus baigus tarnybinį patikrinimą.</w:t>
      </w:r>
      <w:r w:rsidRPr="00A6448C">
        <w:t>“</w:t>
      </w:r>
    </w:p>
    <w:p w14:paraId="2176EA48" w14:textId="77777777" w:rsidR="001E58C2" w:rsidRPr="00A6448C" w:rsidRDefault="001E58C2" w:rsidP="001E58C2">
      <w:pPr>
        <w:pStyle w:val="western"/>
        <w:spacing w:before="0" w:beforeAutospacing="0" w:after="0" w:afterAutospacing="0" w:line="360" w:lineRule="auto"/>
        <w:ind w:firstLine="720"/>
        <w:jc w:val="both"/>
      </w:pPr>
    </w:p>
    <w:p w14:paraId="6A069AC1" w14:textId="77777777" w:rsidR="009D37F5" w:rsidRPr="00A6448C" w:rsidRDefault="001E58C2" w:rsidP="009D37F5">
      <w:pPr>
        <w:spacing w:line="360" w:lineRule="auto"/>
        <w:ind w:left="2127" w:hanging="1407"/>
        <w:jc w:val="both"/>
        <w:rPr>
          <w:b/>
          <w:szCs w:val="24"/>
        </w:rPr>
      </w:pPr>
      <w:r>
        <w:rPr>
          <w:b/>
          <w:szCs w:val="24"/>
        </w:rPr>
        <w:t>2</w:t>
      </w:r>
      <w:r w:rsidR="009D37F5" w:rsidRPr="00A6448C">
        <w:rPr>
          <w:b/>
          <w:szCs w:val="24"/>
        </w:rPr>
        <w:t xml:space="preserve"> straipsnis. 53 straipsnio pakeitimas</w:t>
      </w:r>
    </w:p>
    <w:p w14:paraId="1A6BCCB6" w14:textId="77777777" w:rsidR="00F47DB9" w:rsidRPr="00A6448C" w:rsidRDefault="00F47DB9" w:rsidP="00F47DB9">
      <w:pPr>
        <w:spacing w:line="360" w:lineRule="auto"/>
        <w:ind w:firstLine="720"/>
        <w:jc w:val="both"/>
        <w:rPr>
          <w:szCs w:val="24"/>
        </w:rPr>
      </w:pPr>
      <w:r w:rsidRPr="00A6448C">
        <w:rPr>
          <w:szCs w:val="24"/>
        </w:rPr>
        <w:t>Pakeisti 53 straipsnio 1 dalį ir ją išdėstyti taip:</w:t>
      </w:r>
    </w:p>
    <w:p w14:paraId="3499197D" w14:textId="77777777" w:rsidR="00F47DB9" w:rsidRPr="00A6448C" w:rsidRDefault="00F47DB9" w:rsidP="00F47DB9">
      <w:pPr>
        <w:spacing w:line="360" w:lineRule="auto"/>
        <w:ind w:firstLine="720"/>
        <w:jc w:val="both"/>
        <w:rPr>
          <w:spacing w:val="2"/>
          <w:szCs w:val="24"/>
          <w:lang w:eastAsia="lt-LT"/>
        </w:rPr>
      </w:pPr>
      <w:r w:rsidRPr="00A6448C">
        <w:rPr>
          <w:szCs w:val="24"/>
        </w:rPr>
        <w:t>„</w:t>
      </w:r>
      <w:r w:rsidRPr="00A6448C">
        <w:rPr>
          <w:szCs w:val="24"/>
          <w:lang w:eastAsia="lt-LT"/>
        </w:rPr>
        <w:t>1. Pareigūno pareiginė alga nustatoma taikant šio statuto pried</w:t>
      </w:r>
      <w:r w:rsidRPr="00A6448C">
        <w:rPr>
          <w:bCs/>
          <w:szCs w:val="24"/>
          <w:lang w:eastAsia="lt-LT"/>
        </w:rPr>
        <w:t>e tai pareigūno pareigybei nustatytą pareiginės algos koeficientą</w:t>
      </w:r>
      <w:r w:rsidR="00CB61C7" w:rsidRPr="00A6448C">
        <w:rPr>
          <w:bCs/>
          <w:szCs w:val="24"/>
          <w:lang w:eastAsia="lt-LT"/>
        </w:rPr>
        <w:t xml:space="preserve"> </w:t>
      </w:r>
      <w:r w:rsidRPr="00A6448C">
        <w:rPr>
          <w:bCs/>
          <w:szCs w:val="24"/>
          <w:lang w:eastAsia="lt-LT"/>
        </w:rPr>
        <w:t>iš atitinkamos pareigybių grupės pareigybėms nustatytų pareiginės algos koeficientų intervalo</w:t>
      </w:r>
      <w:r w:rsidRPr="00A6448C">
        <w:rPr>
          <w:szCs w:val="24"/>
          <w:lang w:eastAsia="lt-LT"/>
        </w:rPr>
        <w:t xml:space="preserve">. </w:t>
      </w:r>
      <w:r w:rsidRPr="00A6448C">
        <w:rPr>
          <w:bCs/>
          <w:szCs w:val="24"/>
        </w:rPr>
        <w:t xml:space="preserve">Finansinių nusikaltimų tyrimo tarnybos ir Vadovybės </w:t>
      </w:r>
      <w:r w:rsidRPr="00A6448C">
        <w:rPr>
          <w:bCs/>
          <w:szCs w:val="24"/>
        </w:rPr>
        <w:lastRenderedPageBreak/>
        <w:t>apsaugos departamento pareigūnams, kurių pareigybės priskirtos 5, 6 pareigybių grupėms, taikomas papildomas koeficientas – 1, kurių pareigybės priskirtos 7, 8, 9, 10, 11 pareigybių grupėms, – papildomas koeficientas – 1,2. Šioje dalyje nurodytas papildomas koeficientas pridedamas prie šio statuto priede nurodytų pareigūnų pareiginės algos koeficientų, atitinkamai keičiant pareiginės algos koeficientų intervalo minimalią ir maksimalią ribas.</w:t>
      </w:r>
      <w:r w:rsidRPr="00A6448C">
        <w:rPr>
          <w:szCs w:val="24"/>
          <w:lang w:eastAsia="lt-LT"/>
        </w:rPr>
        <w:t xml:space="preserve"> </w:t>
      </w:r>
      <w:r w:rsidRPr="00A6448C">
        <w:rPr>
          <w:spacing w:val="2"/>
          <w:szCs w:val="24"/>
          <w:lang w:eastAsia="lt-LT"/>
        </w:rPr>
        <w:t xml:space="preserve">Pareiginės algos koeficiento vienetas yra lygus </w:t>
      </w:r>
      <w:r w:rsidRPr="00A6448C">
        <w:rPr>
          <w:szCs w:val="24"/>
          <w:lang w:eastAsia="lt-LT"/>
        </w:rPr>
        <w:t>Lietuvos Respublikos Seimo patvirtintam atitinkamų metų Lietuvos Respublikos valstybės politikų, teisėjų, valstybės pareigūnų, valstybės tarnautojų, valstybės ir savivaldybių biudžetinių įstaigų darbuotojų pareiginės algos (atlyginimo) baziniam dydžiui (toliau – bazinis dydis</w:t>
      </w:r>
      <w:r w:rsidRPr="00A6448C">
        <w:rPr>
          <w:spacing w:val="2"/>
          <w:szCs w:val="24"/>
          <w:lang w:eastAsia="lt-LT"/>
        </w:rPr>
        <w:t>). Pareiginė alga apskaičiuojama atitinkamą pareiginės algos koeficientą dauginant iš bazinio dydžio.</w:t>
      </w:r>
      <w:r w:rsidR="00621669" w:rsidRPr="00A6448C">
        <w:rPr>
          <w:spacing w:val="2"/>
          <w:szCs w:val="24"/>
          <w:lang w:eastAsia="lt-LT"/>
        </w:rPr>
        <w:t xml:space="preserve"> </w:t>
      </w:r>
      <w:r w:rsidR="00766D77" w:rsidRPr="00A6448C">
        <w:rPr>
          <w:b/>
          <w:spacing w:val="2"/>
        </w:rPr>
        <w:t>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w:t>
      </w:r>
      <w:r w:rsidR="00E072DA" w:rsidRPr="00A6448C">
        <w:rPr>
          <w:b/>
          <w:spacing w:val="2"/>
        </w:rPr>
        <w:t xml:space="preserve">. </w:t>
      </w:r>
      <w:r w:rsidR="00766D77" w:rsidRPr="00A6448C">
        <w:rPr>
          <w:b/>
          <w:spacing w:val="2"/>
        </w:rPr>
        <w:t>Nacionalinėje kolektyvinėje sutartyje sulygtą bazinį dydį tvirtina Seimas iki Seimo pavasario sesijos pabaigos. Jeigu nacionalinė kolektyvinė sutartis nėra sudaryta arba pakeista iki einamųjų metų birželio 1</w:t>
      </w:r>
      <w:r w:rsidR="00103CA4">
        <w:rPr>
          <w:b/>
          <w:spacing w:val="2"/>
        </w:rPr>
        <w:t> </w:t>
      </w:r>
      <w:r w:rsidR="00766D77" w:rsidRPr="00A6448C">
        <w:rPr>
          <w:b/>
          <w:spacing w:val="2"/>
        </w:rPr>
        <w:t>dienos, ateinančių finansinių metų bazinį dydį Vyriausybės teikimu, įvertindamas ir atsižvelgdamas į šioje dalyje numatytas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r w:rsidR="00766D77" w:rsidRPr="00A6448C">
        <w:rPr>
          <w:spacing w:val="2"/>
        </w:rPr>
        <w:t>.</w:t>
      </w:r>
      <w:r w:rsidRPr="00A6448C">
        <w:rPr>
          <w:spacing w:val="2"/>
          <w:szCs w:val="24"/>
          <w:lang w:eastAsia="lt-LT"/>
        </w:rPr>
        <w:t>“</w:t>
      </w:r>
    </w:p>
    <w:p w14:paraId="7073B32A" w14:textId="77777777" w:rsidR="00094361" w:rsidRDefault="00094361" w:rsidP="00BA38F2">
      <w:pPr>
        <w:spacing w:line="360" w:lineRule="auto"/>
        <w:ind w:left="2127" w:hanging="1407"/>
        <w:jc w:val="both"/>
        <w:rPr>
          <w:b/>
          <w:szCs w:val="24"/>
        </w:rPr>
      </w:pPr>
    </w:p>
    <w:p w14:paraId="21AD3B89" w14:textId="77777777" w:rsidR="00BA38F2" w:rsidRPr="00A6448C" w:rsidRDefault="001E58C2" w:rsidP="00BA38F2">
      <w:pPr>
        <w:spacing w:line="360" w:lineRule="auto"/>
        <w:ind w:left="2127" w:hanging="1407"/>
        <w:jc w:val="both"/>
        <w:rPr>
          <w:b/>
          <w:szCs w:val="24"/>
        </w:rPr>
      </w:pPr>
      <w:r>
        <w:rPr>
          <w:b/>
          <w:szCs w:val="24"/>
        </w:rPr>
        <w:t>3</w:t>
      </w:r>
      <w:r w:rsidR="00BA38F2" w:rsidRPr="00A6448C">
        <w:rPr>
          <w:b/>
          <w:szCs w:val="24"/>
        </w:rPr>
        <w:t xml:space="preserve"> straipsnis. 61 straipsnio pakeitimas</w:t>
      </w:r>
    </w:p>
    <w:p w14:paraId="0DD1B231" w14:textId="77777777" w:rsidR="00BA38F2" w:rsidRPr="00A6448C" w:rsidRDefault="00BA38F2" w:rsidP="0014131F">
      <w:pPr>
        <w:spacing w:line="360" w:lineRule="auto"/>
        <w:ind w:firstLine="720"/>
        <w:jc w:val="both"/>
        <w:rPr>
          <w:szCs w:val="24"/>
        </w:rPr>
      </w:pPr>
      <w:r w:rsidRPr="00A6448C">
        <w:rPr>
          <w:szCs w:val="24"/>
        </w:rPr>
        <w:t>Pakeisti 61 straipsnio 3 dalį ir ją išdėstyti taip:</w:t>
      </w:r>
    </w:p>
    <w:p w14:paraId="40ADB6DA" w14:textId="77777777" w:rsidR="0014131F" w:rsidRPr="00A6448C" w:rsidRDefault="0014131F" w:rsidP="0014131F">
      <w:pPr>
        <w:spacing w:line="360" w:lineRule="auto"/>
        <w:ind w:firstLine="720"/>
        <w:jc w:val="both"/>
        <w:rPr>
          <w:szCs w:val="24"/>
          <w:lang w:eastAsia="lt-LT"/>
        </w:rPr>
      </w:pPr>
      <w:r w:rsidRPr="00A6448C">
        <w:rPr>
          <w:color w:val="000000"/>
          <w:szCs w:val="24"/>
          <w:lang w:eastAsia="lt-LT"/>
        </w:rPr>
        <w:t>„</w:t>
      </w:r>
      <w:r w:rsidRPr="00A6448C">
        <w:rPr>
          <w:szCs w:val="24"/>
          <w:lang w:eastAsia="lt-LT"/>
        </w:rPr>
        <w:t xml:space="preserve">3. </w:t>
      </w:r>
      <w:r w:rsidRPr="00A6448C">
        <w:rPr>
          <w:b/>
          <w:bCs/>
          <w:szCs w:val="24"/>
          <w:lang w:eastAsia="lt-LT"/>
        </w:rPr>
        <w:t>Statutinės įstaigos kolektyvinė sutartis yra rašytinis susitarimas, kurį sudaro statutinės įstaigos vadovas arba jo įgaliotas asmuo ir pareigūnams atstovaujančios</w:t>
      </w:r>
      <w:r w:rsidR="00103CA4">
        <w:rPr>
          <w:b/>
          <w:bCs/>
          <w:szCs w:val="24"/>
          <w:lang w:eastAsia="lt-LT"/>
        </w:rPr>
        <w:t xml:space="preserve"> </w:t>
      </w:r>
      <w:r w:rsidRPr="00A6448C">
        <w:rPr>
          <w:b/>
          <w:bCs/>
          <w:szCs w:val="24"/>
          <w:lang w:eastAsia="lt-LT"/>
        </w:rPr>
        <w:t>statutinėje įstaigoje veikiančios profesinės sąjungos ir kuriame nustatomos statutinės įstaigos pareigūnų tarnybos (darbo)</w:t>
      </w:r>
      <w:r w:rsidR="00F56286">
        <w:rPr>
          <w:b/>
          <w:bCs/>
          <w:szCs w:val="24"/>
          <w:lang w:eastAsia="lt-LT"/>
        </w:rPr>
        <w:t xml:space="preserve"> ir poilsio laiko</w:t>
      </w:r>
      <w:r w:rsidRPr="00A6448C">
        <w:rPr>
          <w:b/>
          <w:bCs/>
          <w:szCs w:val="24"/>
          <w:lang w:eastAsia="lt-LT"/>
        </w:rPr>
        <w:t xml:space="preserve"> ir kitos socialinės bei ekonominės sąlygos. Statutinės įstaigos kolektyvinėje sutartyje negali būti nustatyta papildomų sąlygų, susijusių su papildomomis valstybės ir savivaldybių biudžetų ir valstybės pinigų fondų lėšomis.</w:t>
      </w:r>
      <w:r w:rsidRPr="00A6448C">
        <w:rPr>
          <w:bCs/>
          <w:szCs w:val="24"/>
          <w:lang w:eastAsia="lt-LT"/>
        </w:rPr>
        <w:t xml:space="preserve"> Šakos kolektyvinė sutartis yra profesinių sąjungų organizacijų (susivienijimo, federacijos, centro ir kitų), atstovaujančių vienoje viešojo administravimo veiklos srityje tarnaujantiems pareigūnams, ir Vyriausybės ar jos įgaliotos institucijos rašytinis susitarimas, kuriame nustatomos visų tos viešojo administravimo veiklos srities pareigūnų darbo užmokesčio, tarnybos (darbo) ir poilsio laiko ir kitos socialinės bei ekonominės sąlygos. </w:t>
      </w:r>
      <w:r w:rsidRPr="00A6448C">
        <w:rPr>
          <w:bCs/>
          <w:strike/>
          <w:szCs w:val="24"/>
          <w:lang w:eastAsia="lt-LT"/>
        </w:rPr>
        <w:t xml:space="preserve">Statutinės įstaigos kolektyvinė sutartis yra rašytinis susitarimas, kurį sudaro statutinės įstaigos vadovas arba jo įgaliotas asmuo ir pareigūnams atstovaujančios statutinėje įstaigoje </w:t>
      </w:r>
      <w:r w:rsidRPr="00A6448C">
        <w:rPr>
          <w:bCs/>
          <w:strike/>
          <w:szCs w:val="24"/>
          <w:lang w:eastAsia="lt-LT"/>
        </w:rPr>
        <w:lastRenderedPageBreak/>
        <w:t>veikiančios profesinės sąjungos ir kuriame nustatomos statutinės įstaigos pareigūnų tarnybos (darbo) ir kitos socialinės bei ekonominės sąlygos. Statutinės įstaigos kolektyvinėje sutartyje negali būti nustatyta papildomų sąlygų, susijusių su papildomomis valstybės ir savivaldybių biudžetų ir valstybės pinigų fondų lėšomis.</w:t>
      </w:r>
      <w:r w:rsidRPr="00A6448C">
        <w:rPr>
          <w:bCs/>
          <w:szCs w:val="24"/>
          <w:lang w:eastAsia="lt-LT"/>
        </w:rPr>
        <w:t xml:space="preserve"> </w:t>
      </w:r>
      <w:r w:rsidR="0081250F" w:rsidRPr="00A6448C">
        <w:rPr>
          <w:b/>
          <w:bCs/>
          <w:szCs w:val="24"/>
          <w:lang w:eastAsia="lt-LT"/>
        </w:rPr>
        <w:t>Pareigūnams</w:t>
      </w:r>
      <w:r w:rsidRPr="00A6448C">
        <w:rPr>
          <w:b/>
          <w:bCs/>
          <w:szCs w:val="24"/>
          <w:lang w:eastAsia="lt-LT"/>
        </w:rPr>
        <w:t xml:space="preserve"> taikoma </w:t>
      </w:r>
      <w:r w:rsidRPr="00A6448C">
        <w:rPr>
          <w:b/>
          <w:szCs w:val="24"/>
          <w:lang w:eastAsia="lt-LT"/>
        </w:rPr>
        <w:t>nacionalinė kolektyvinė sutartis, sudaryta tarp profesinių sąjungų organizacijų (susivienijimo, federacijos, centro ir kt.), atstovaujančių valstybės tarnautojams, ir Vyriausybės</w:t>
      </w:r>
      <w:r w:rsidR="003364CC">
        <w:rPr>
          <w:b/>
          <w:szCs w:val="24"/>
          <w:lang w:eastAsia="lt-LT"/>
        </w:rPr>
        <w:t xml:space="preserve">, </w:t>
      </w:r>
      <w:r w:rsidR="003364CC" w:rsidRPr="00847219">
        <w:rPr>
          <w:b/>
          <w:szCs w:val="24"/>
          <w:lang w:eastAsia="lt-LT"/>
        </w:rPr>
        <w:t>kurioje</w:t>
      </w:r>
      <w:r w:rsidR="00103CA4">
        <w:rPr>
          <w:b/>
          <w:szCs w:val="24"/>
          <w:lang w:eastAsia="lt-LT"/>
        </w:rPr>
        <w:t xml:space="preserve"> </w:t>
      </w:r>
      <w:r w:rsidRPr="00A6448C">
        <w:rPr>
          <w:b/>
          <w:szCs w:val="24"/>
          <w:lang w:eastAsia="lt-LT"/>
        </w:rPr>
        <w:t>nustatomi Lietuvos valstybės tarnautojų darbo užmokesčio, tarnybos (darbo), poilsio laiko ir kitos s</w:t>
      </w:r>
      <w:r w:rsidR="0081250F" w:rsidRPr="00A6448C">
        <w:rPr>
          <w:b/>
          <w:szCs w:val="24"/>
          <w:lang w:eastAsia="lt-LT"/>
        </w:rPr>
        <w:t>ocialinės ir ekonominės sąlygos</w:t>
      </w:r>
      <w:r w:rsidR="00103CA4">
        <w:rPr>
          <w:b/>
          <w:szCs w:val="24"/>
          <w:lang w:eastAsia="lt-LT"/>
        </w:rPr>
        <w:t>.</w:t>
      </w:r>
      <w:r w:rsidR="0081250F" w:rsidRPr="00A72F56">
        <w:rPr>
          <w:szCs w:val="24"/>
          <w:lang w:eastAsia="lt-LT"/>
        </w:rPr>
        <w:t>“</w:t>
      </w:r>
    </w:p>
    <w:p w14:paraId="634C93BF" w14:textId="77777777" w:rsidR="0014131F" w:rsidRPr="00A6448C" w:rsidRDefault="0014131F" w:rsidP="0014131F">
      <w:pPr>
        <w:spacing w:line="360" w:lineRule="auto"/>
        <w:ind w:firstLine="720"/>
        <w:jc w:val="both"/>
        <w:rPr>
          <w:szCs w:val="24"/>
          <w:lang w:eastAsia="lt-LT"/>
        </w:rPr>
      </w:pPr>
    </w:p>
    <w:p w14:paraId="0BCCFC54" w14:textId="77777777" w:rsidR="005B3F1A" w:rsidRPr="00A6448C" w:rsidRDefault="001E58C2" w:rsidP="005B3F1A">
      <w:pPr>
        <w:spacing w:line="360" w:lineRule="auto"/>
        <w:ind w:left="2127" w:hanging="1407"/>
        <w:jc w:val="both"/>
        <w:rPr>
          <w:b/>
          <w:szCs w:val="24"/>
        </w:rPr>
      </w:pPr>
      <w:r>
        <w:rPr>
          <w:b/>
          <w:szCs w:val="24"/>
        </w:rPr>
        <w:t>4</w:t>
      </w:r>
      <w:r w:rsidR="005B3F1A" w:rsidRPr="00A6448C">
        <w:rPr>
          <w:b/>
          <w:szCs w:val="24"/>
        </w:rPr>
        <w:t xml:space="preserve"> straipsnis. </w:t>
      </w:r>
      <w:r w:rsidR="004F695F">
        <w:rPr>
          <w:b/>
          <w:szCs w:val="24"/>
        </w:rPr>
        <w:t>Statuto p</w:t>
      </w:r>
      <w:r w:rsidR="005B3F1A" w:rsidRPr="00A6448C">
        <w:rPr>
          <w:b/>
          <w:szCs w:val="24"/>
        </w:rPr>
        <w:t>riedo pakeitimas</w:t>
      </w:r>
    </w:p>
    <w:p w14:paraId="51F8D23F" w14:textId="77777777" w:rsidR="005B3F1A" w:rsidRPr="00A6448C" w:rsidRDefault="005B3F1A" w:rsidP="005B3F1A">
      <w:pPr>
        <w:spacing w:line="360" w:lineRule="auto"/>
        <w:ind w:firstLine="720"/>
        <w:jc w:val="both"/>
        <w:rPr>
          <w:szCs w:val="24"/>
        </w:rPr>
      </w:pPr>
      <w:r w:rsidRPr="00A6448C">
        <w:rPr>
          <w:szCs w:val="24"/>
        </w:rPr>
        <w:t xml:space="preserve">Pakeisti </w:t>
      </w:r>
      <w:r w:rsidR="004F695F">
        <w:rPr>
          <w:szCs w:val="24"/>
        </w:rPr>
        <w:t xml:space="preserve">Statuto </w:t>
      </w:r>
      <w:r w:rsidRPr="00A6448C">
        <w:rPr>
          <w:szCs w:val="24"/>
        </w:rPr>
        <w:t>priedą ir jį išdėstyti taip:</w:t>
      </w:r>
    </w:p>
    <w:p w14:paraId="51A68969" w14:textId="77777777" w:rsidR="005B3F1A" w:rsidRPr="00A6448C" w:rsidRDefault="005B3F1A" w:rsidP="005B3F1A">
      <w:pPr>
        <w:spacing w:line="360" w:lineRule="auto"/>
        <w:jc w:val="center"/>
        <w:rPr>
          <w:b/>
          <w:bCs/>
          <w:szCs w:val="24"/>
          <w:lang w:eastAsia="lt-LT"/>
        </w:rPr>
      </w:pPr>
    </w:p>
    <w:p w14:paraId="7CF268C4" w14:textId="77777777" w:rsidR="005B3F1A" w:rsidRPr="00A6448C" w:rsidRDefault="005B3F1A" w:rsidP="005B3F1A">
      <w:pPr>
        <w:spacing w:line="360" w:lineRule="auto"/>
        <w:jc w:val="center"/>
        <w:rPr>
          <w:b/>
          <w:bCs/>
          <w:color w:val="000000"/>
          <w:szCs w:val="24"/>
          <w:lang w:eastAsia="lt-LT"/>
        </w:rPr>
      </w:pPr>
      <w:r w:rsidRPr="00A6448C">
        <w:rPr>
          <w:bCs/>
          <w:szCs w:val="24"/>
          <w:lang w:eastAsia="lt-LT"/>
        </w:rPr>
        <w:t xml:space="preserve">„VIDAUS TARNYBOS SISTEMOS PAREIGŪNŲ PAREIGINIŲ ALGŲ </w:t>
      </w:r>
      <w:r w:rsidRPr="00A6448C">
        <w:rPr>
          <w:bCs/>
          <w:color w:val="000000"/>
          <w:szCs w:val="24"/>
          <w:lang w:eastAsia="lt-LT"/>
        </w:rPr>
        <w:t>KOEFICIENTAI</w:t>
      </w:r>
    </w:p>
    <w:p w14:paraId="7AAA2F6B" w14:textId="77777777" w:rsidR="005B3F1A" w:rsidRPr="00A6448C" w:rsidRDefault="005B3F1A" w:rsidP="005B3F1A">
      <w:pPr>
        <w:spacing w:line="240" w:lineRule="atLeast"/>
        <w:jc w:val="center"/>
        <w:rPr>
          <w:bCs/>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5B3F1A" w:rsidRPr="00A6448C" w14:paraId="56354141" w14:textId="77777777" w:rsidTr="00315559">
        <w:trPr>
          <w:cantSplit/>
          <w:trHeight w:val="340"/>
          <w:tblHeader/>
        </w:trPr>
        <w:tc>
          <w:tcPr>
            <w:tcW w:w="712" w:type="pct"/>
            <w:vMerge w:val="restart"/>
            <w:vAlign w:val="center"/>
          </w:tcPr>
          <w:p w14:paraId="6DEA24C3" w14:textId="77777777" w:rsidR="005B3F1A" w:rsidRPr="00A6448C" w:rsidRDefault="005B3F1A" w:rsidP="00315559">
            <w:pPr>
              <w:jc w:val="center"/>
              <w:rPr>
                <w:szCs w:val="24"/>
                <w:lang w:eastAsia="lt-LT"/>
              </w:rPr>
            </w:pPr>
            <w:r w:rsidRPr="00A6448C">
              <w:rPr>
                <w:szCs w:val="24"/>
                <w:lang w:eastAsia="lt-LT"/>
              </w:rPr>
              <w:t>Pareigybių grupė</w:t>
            </w:r>
          </w:p>
        </w:tc>
        <w:tc>
          <w:tcPr>
            <w:tcW w:w="2693" w:type="pct"/>
            <w:vMerge w:val="restart"/>
            <w:vAlign w:val="center"/>
          </w:tcPr>
          <w:p w14:paraId="4A9147A6" w14:textId="77777777" w:rsidR="005B3F1A" w:rsidRPr="00A6448C" w:rsidRDefault="005B3F1A" w:rsidP="00315559">
            <w:pPr>
              <w:jc w:val="center"/>
              <w:rPr>
                <w:szCs w:val="24"/>
                <w:lang w:eastAsia="lt-LT"/>
              </w:rPr>
            </w:pPr>
            <w:r w:rsidRPr="00A6448C">
              <w:rPr>
                <w:szCs w:val="24"/>
                <w:lang w:eastAsia="lt-LT"/>
              </w:rPr>
              <w:t>Pareigybės pavadinimas</w:t>
            </w:r>
          </w:p>
        </w:tc>
        <w:tc>
          <w:tcPr>
            <w:tcW w:w="1595" w:type="pct"/>
            <w:gridSpan w:val="2"/>
          </w:tcPr>
          <w:p w14:paraId="42767A0E" w14:textId="77777777" w:rsidR="005B3F1A" w:rsidRPr="00A6448C" w:rsidRDefault="005B3F1A" w:rsidP="00315559">
            <w:pPr>
              <w:jc w:val="center"/>
              <w:rPr>
                <w:szCs w:val="24"/>
                <w:lang w:eastAsia="lt-LT"/>
              </w:rPr>
            </w:pPr>
            <w:r w:rsidRPr="00A6448C">
              <w:rPr>
                <w:szCs w:val="24"/>
                <w:lang w:eastAsia="lt-LT"/>
              </w:rPr>
              <w:t>Įstaigų grupė</w:t>
            </w:r>
          </w:p>
        </w:tc>
      </w:tr>
      <w:tr w:rsidR="005B3F1A" w:rsidRPr="00A6448C" w14:paraId="75CE0225" w14:textId="77777777" w:rsidTr="00315559">
        <w:trPr>
          <w:cantSplit/>
          <w:trHeight w:val="340"/>
          <w:tblHeader/>
        </w:trPr>
        <w:tc>
          <w:tcPr>
            <w:tcW w:w="712" w:type="pct"/>
            <w:vMerge/>
          </w:tcPr>
          <w:p w14:paraId="5415301B" w14:textId="77777777" w:rsidR="005B3F1A" w:rsidRPr="00A6448C" w:rsidRDefault="005B3F1A" w:rsidP="00315559">
            <w:pPr>
              <w:jc w:val="center"/>
              <w:rPr>
                <w:szCs w:val="24"/>
                <w:lang w:eastAsia="lt-LT"/>
              </w:rPr>
            </w:pPr>
          </w:p>
        </w:tc>
        <w:tc>
          <w:tcPr>
            <w:tcW w:w="2693" w:type="pct"/>
            <w:vMerge/>
          </w:tcPr>
          <w:p w14:paraId="4BE35F50" w14:textId="77777777" w:rsidR="005B3F1A" w:rsidRPr="00A6448C" w:rsidRDefault="005B3F1A" w:rsidP="00315559">
            <w:pPr>
              <w:jc w:val="center"/>
              <w:rPr>
                <w:szCs w:val="24"/>
                <w:lang w:eastAsia="lt-LT"/>
              </w:rPr>
            </w:pPr>
          </w:p>
        </w:tc>
        <w:tc>
          <w:tcPr>
            <w:tcW w:w="798" w:type="pct"/>
          </w:tcPr>
          <w:p w14:paraId="6CCC624B" w14:textId="77777777" w:rsidR="005B3F1A" w:rsidRPr="00A6448C" w:rsidRDefault="005B3F1A" w:rsidP="00315559">
            <w:pPr>
              <w:jc w:val="center"/>
              <w:rPr>
                <w:szCs w:val="24"/>
                <w:lang w:eastAsia="lt-LT"/>
              </w:rPr>
            </w:pPr>
            <w:r w:rsidRPr="00A6448C">
              <w:rPr>
                <w:szCs w:val="24"/>
                <w:lang w:eastAsia="lt-LT"/>
              </w:rPr>
              <w:t>II</w:t>
            </w:r>
          </w:p>
        </w:tc>
        <w:tc>
          <w:tcPr>
            <w:tcW w:w="797" w:type="pct"/>
          </w:tcPr>
          <w:p w14:paraId="77E3B61A" w14:textId="77777777" w:rsidR="005B3F1A" w:rsidRPr="00A6448C" w:rsidRDefault="005B3F1A" w:rsidP="00315559">
            <w:pPr>
              <w:jc w:val="center"/>
              <w:rPr>
                <w:szCs w:val="24"/>
                <w:lang w:eastAsia="lt-LT"/>
              </w:rPr>
            </w:pPr>
            <w:r w:rsidRPr="00A6448C">
              <w:rPr>
                <w:szCs w:val="24"/>
                <w:lang w:eastAsia="lt-LT"/>
              </w:rPr>
              <w:t>III</w:t>
            </w:r>
          </w:p>
        </w:tc>
      </w:tr>
      <w:tr w:rsidR="005B3F1A" w:rsidRPr="00A6448C" w14:paraId="28CD9505" w14:textId="77777777" w:rsidTr="00315559">
        <w:trPr>
          <w:cantSplit/>
          <w:trHeight w:val="340"/>
          <w:tblHeader/>
        </w:trPr>
        <w:tc>
          <w:tcPr>
            <w:tcW w:w="712" w:type="pct"/>
            <w:vMerge/>
          </w:tcPr>
          <w:p w14:paraId="7B354BA2" w14:textId="77777777" w:rsidR="005B3F1A" w:rsidRPr="00A6448C" w:rsidRDefault="005B3F1A" w:rsidP="00315559">
            <w:pPr>
              <w:jc w:val="center"/>
              <w:rPr>
                <w:szCs w:val="24"/>
                <w:lang w:eastAsia="lt-LT"/>
              </w:rPr>
            </w:pPr>
          </w:p>
        </w:tc>
        <w:tc>
          <w:tcPr>
            <w:tcW w:w="2693" w:type="pct"/>
            <w:vMerge/>
          </w:tcPr>
          <w:p w14:paraId="46A39258" w14:textId="77777777" w:rsidR="005B3F1A" w:rsidRPr="00A6448C" w:rsidRDefault="005B3F1A" w:rsidP="00315559">
            <w:pPr>
              <w:jc w:val="center"/>
              <w:rPr>
                <w:szCs w:val="24"/>
                <w:lang w:eastAsia="lt-LT"/>
              </w:rPr>
            </w:pPr>
          </w:p>
        </w:tc>
        <w:tc>
          <w:tcPr>
            <w:tcW w:w="798" w:type="pct"/>
          </w:tcPr>
          <w:p w14:paraId="0C3203A0" w14:textId="77777777" w:rsidR="005B3F1A" w:rsidRPr="00A6448C" w:rsidRDefault="005B3F1A" w:rsidP="00315559">
            <w:pPr>
              <w:jc w:val="center"/>
              <w:rPr>
                <w:szCs w:val="24"/>
                <w:lang w:eastAsia="lt-LT"/>
              </w:rPr>
            </w:pPr>
            <w:r w:rsidRPr="00A6448C">
              <w:rPr>
                <w:szCs w:val="24"/>
                <w:lang w:eastAsia="lt-LT"/>
              </w:rPr>
              <w:t>Koeficientas</w:t>
            </w:r>
          </w:p>
        </w:tc>
        <w:tc>
          <w:tcPr>
            <w:tcW w:w="797" w:type="pct"/>
          </w:tcPr>
          <w:p w14:paraId="75C1D9CD" w14:textId="77777777" w:rsidR="005B3F1A" w:rsidRPr="00A6448C" w:rsidRDefault="005B3F1A" w:rsidP="00315559">
            <w:pPr>
              <w:jc w:val="center"/>
              <w:rPr>
                <w:szCs w:val="24"/>
                <w:lang w:eastAsia="lt-LT"/>
              </w:rPr>
            </w:pPr>
            <w:r w:rsidRPr="00A6448C">
              <w:rPr>
                <w:szCs w:val="24"/>
                <w:lang w:eastAsia="lt-LT"/>
              </w:rPr>
              <w:t>Koeficientas</w:t>
            </w:r>
          </w:p>
        </w:tc>
      </w:tr>
      <w:tr w:rsidR="005B3F1A" w:rsidRPr="00A6448C" w14:paraId="0E127E3D" w14:textId="77777777" w:rsidTr="00315559">
        <w:trPr>
          <w:cantSplit/>
          <w:trHeight w:val="2793"/>
        </w:trPr>
        <w:tc>
          <w:tcPr>
            <w:tcW w:w="712" w:type="pct"/>
            <w:vAlign w:val="center"/>
          </w:tcPr>
          <w:p w14:paraId="71DAAAEB" w14:textId="77777777" w:rsidR="005B3F1A" w:rsidRPr="00A6448C" w:rsidRDefault="005B3F1A" w:rsidP="00315559">
            <w:pPr>
              <w:jc w:val="center"/>
              <w:rPr>
                <w:lang w:eastAsia="lt-LT"/>
              </w:rPr>
            </w:pPr>
            <w:r w:rsidRPr="00A6448C">
              <w:rPr>
                <w:lang w:eastAsia="lt-LT"/>
              </w:rPr>
              <w:t>1</w:t>
            </w:r>
          </w:p>
        </w:tc>
        <w:tc>
          <w:tcPr>
            <w:tcW w:w="2693" w:type="pct"/>
            <w:vAlign w:val="center"/>
          </w:tcPr>
          <w:p w14:paraId="6CDBEBDC" w14:textId="77777777" w:rsidR="005B3F1A" w:rsidRPr="00A6448C" w:rsidRDefault="005B3F1A" w:rsidP="00315559">
            <w:pPr>
              <w:rPr>
                <w:lang w:eastAsia="lt-LT"/>
              </w:rPr>
            </w:pPr>
            <w:r w:rsidRPr="00A6448C">
              <w:rPr>
                <w:lang w:eastAsia="lt-LT"/>
              </w:rPr>
              <w:t>Valstybės sienos apsaugos tarnybos prie Vidaus reikalų ministerijos vadas, Viešojo saugumo tarnybos prie Vidaus reikalų ministerijos vadas, Priešgaisrinės apsaugos ir gelbėjimo departamento prie Vidaus reikalų ministerijos direktorius, Vadovybės apsaugos departamento prie Vidaus reikalų ministerijos direktorius, Finansinių nusikaltimų tyrimo tarnybos prie Vidaus reikalų ministerijos direktorius, policijos generalinis komisaras, Muitinės departamento prie Finansų ministerijos generalinis direktorius, Kalėjimų departamento prie Lietuvos Respublikos teisingumo ministerijos direktorius</w:t>
            </w:r>
          </w:p>
        </w:tc>
        <w:tc>
          <w:tcPr>
            <w:tcW w:w="798" w:type="pct"/>
            <w:vAlign w:val="center"/>
          </w:tcPr>
          <w:p w14:paraId="4BF445BE" w14:textId="77777777" w:rsidR="005B3F1A" w:rsidRPr="00A6448C" w:rsidRDefault="005B3F1A" w:rsidP="00315559">
            <w:pPr>
              <w:jc w:val="center"/>
              <w:rPr>
                <w:lang w:eastAsia="lt-LT"/>
              </w:rPr>
            </w:pPr>
            <w:r w:rsidRPr="00A6448C">
              <w:rPr>
                <w:lang w:eastAsia="lt-LT"/>
              </w:rPr>
              <w:t>15</w:t>
            </w:r>
            <w:r w:rsidR="009B1259" w:rsidRPr="00A6448C">
              <w:rPr>
                <w:b/>
                <w:lang w:eastAsia="lt-LT"/>
              </w:rPr>
              <w:t>,2</w:t>
            </w:r>
            <w:r w:rsidRPr="00A6448C">
              <w:rPr>
                <w:lang w:eastAsia="lt-LT"/>
              </w:rPr>
              <w:t>–19</w:t>
            </w:r>
          </w:p>
        </w:tc>
        <w:tc>
          <w:tcPr>
            <w:tcW w:w="797" w:type="pct"/>
            <w:vAlign w:val="center"/>
          </w:tcPr>
          <w:p w14:paraId="7524565F" w14:textId="77777777" w:rsidR="005B3F1A" w:rsidRPr="00A6448C" w:rsidRDefault="005B3F1A" w:rsidP="00315559">
            <w:pPr>
              <w:jc w:val="center"/>
              <w:rPr>
                <w:lang w:eastAsia="lt-LT"/>
              </w:rPr>
            </w:pPr>
          </w:p>
        </w:tc>
      </w:tr>
      <w:tr w:rsidR="005B3F1A" w:rsidRPr="00A6448C" w14:paraId="0A8CBF8C" w14:textId="77777777" w:rsidTr="00315559">
        <w:trPr>
          <w:cantSplit/>
          <w:trHeight w:val="2845"/>
        </w:trPr>
        <w:tc>
          <w:tcPr>
            <w:tcW w:w="712" w:type="pct"/>
            <w:vAlign w:val="center"/>
          </w:tcPr>
          <w:p w14:paraId="7681AA39" w14:textId="77777777" w:rsidR="005B3F1A" w:rsidRPr="00A6448C" w:rsidRDefault="005B3F1A" w:rsidP="00315559">
            <w:pPr>
              <w:jc w:val="center"/>
              <w:rPr>
                <w:lang w:eastAsia="lt-LT"/>
              </w:rPr>
            </w:pPr>
            <w:r w:rsidRPr="00A6448C">
              <w:rPr>
                <w:lang w:eastAsia="lt-LT"/>
              </w:rPr>
              <w:t>2</w:t>
            </w:r>
          </w:p>
        </w:tc>
        <w:tc>
          <w:tcPr>
            <w:tcW w:w="2693" w:type="pct"/>
            <w:vAlign w:val="center"/>
          </w:tcPr>
          <w:p w14:paraId="676C3228" w14:textId="77777777" w:rsidR="005B3F1A" w:rsidRPr="00A6448C" w:rsidRDefault="005B3F1A" w:rsidP="00315559">
            <w:pPr>
              <w:rPr>
                <w:lang w:eastAsia="lt-LT"/>
              </w:rPr>
            </w:pPr>
            <w:r w:rsidRPr="00A6448C">
              <w:rPr>
                <w:lang w:eastAsia="lt-LT"/>
              </w:rPr>
              <w:t>Valstybės sienos apsaugos tarnybos prie Vidaus reikalų ministerijos vado pavaduotojas, Viešojo saugumo tarnybos prie Vidaus reikalų ministerijos vado pavaduotojas, Priešgaisrinės apsaugos ir gelbėjimo departamento prie Vidaus reikalų ministerijos direktoriaus pavaduotojas, Vadovybės apsaugos departamento prie Vidaus reikalų ministerijos direktoriaus pavaduotojas, Finansinių nusikaltimų tyrimo tarnybos prie Vidaus reikalų ministerijos direktoriaus pavaduotojas, policijos generalinio komisaro pavaduotojas, Muitinės departamento prie Finansų ministerijos generalinio direktoriaus pavaduotojas, Kalėjimų departamento prie Lietuvos Respublikos teisingumo ministerijos direktoriaus pavaduotojas</w:t>
            </w:r>
          </w:p>
        </w:tc>
        <w:tc>
          <w:tcPr>
            <w:tcW w:w="798" w:type="pct"/>
            <w:vAlign w:val="center"/>
          </w:tcPr>
          <w:p w14:paraId="3CCD26A3" w14:textId="77777777" w:rsidR="005B3F1A" w:rsidRPr="00A6448C" w:rsidRDefault="005B3F1A" w:rsidP="00315559">
            <w:pPr>
              <w:jc w:val="center"/>
              <w:rPr>
                <w:lang w:eastAsia="lt-LT"/>
              </w:rPr>
            </w:pPr>
            <w:r w:rsidRPr="00A6448C">
              <w:rPr>
                <w:lang w:eastAsia="lt-LT"/>
              </w:rPr>
              <w:t>13</w:t>
            </w:r>
            <w:r w:rsidR="009B1259" w:rsidRPr="00A6448C">
              <w:rPr>
                <w:b/>
                <w:lang w:eastAsia="lt-LT"/>
              </w:rPr>
              <w:t>,2</w:t>
            </w:r>
            <w:r w:rsidRPr="00A6448C">
              <w:rPr>
                <w:lang w:eastAsia="lt-LT"/>
              </w:rPr>
              <w:t>–18</w:t>
            </w:r>
          </w:p>
        </w:tc>
        <w:tc>
          <w:tcPr>
            <w:tcW w:w="797" w:type="pct"/>
            <w:vAlign w:val="center"/>
          </w:tcPr>
          <w:p w14:paraId="25500997" w14:textId="77777777" w:rsidR="005B3F1A" w:rsidRPr="00A6448C" w:rsidRDefault="005B3F1A" w:rsidP="00315559">
            <w:pPr>
              <w:jc w:val="center"/>
              <w:rPr>
                <w:lang w:eastAsia="lt-LT"/>
              </w:rPr>
            </w:pPr>
          </w:p>
        </w:tc>
      </w:tr>
      <w:tr w:rsidR="005B3F1A" w:rsidRPr="00A6448C" w14:paraId="6A9F9EFB" w14:textId="77777777" w:rsidTr="00315559">
        <w:trPr>
          <w:cantSplit/>
          <w:trHeight w:val="3007"/>
        </w:trPr>
        <w:tc>
          <w:tcPr>
            <w:tcW w:w="712" w:type="pct"/>
            <w:tcBorders>
              <w:top w:val="single" w:sz="4" w:space="0" w:color="auto"/>
              <w:right w:val="single" w:sz="4" w:space="0" w:color="auto"/>
            </w:tcBorders>
            <w:vAlign w:val="center"/>
          </w:tcPr>
          <w:p w14:paraId="549D2198" w14:textId="77777777" w:rsidR="005B3F1A" w:rsidRPr="00A6448C" w:rsidRDefault="005B3F1A" w:rsidP="00315559">
            <w:pPr>
              <w:jc w:val="center"/>
              <w:rPr>
                <w:lang w:eastAsia="lt-LT"/>
              </w:rPr>
            </w:pPr>
            <w:r w:rsidRPr="00A6448C">
              <w:rPr>
                <w:lang w:eastAsia="lt-LT"/>
              </w:rPr>
              <w:lastRenderedPageBreak/>
              <w:t>3</w:t>
            </w:r>
          </w:p>
        </w:tc>
        <w:tc>
          <w:tcPr>
            <w:tcW w:w="2693" w:type="pct"/>
            <w:tcBorders>
              <w:top w:val="single" w:sz="4" w:space="0" w:color="auto"/>
              <w:left w:val="single" w:sz="4" w:space="0" w:color="auto"/>
              <w:bottom w:val="single" w:sz="4" w:space="0" w:color="auto"/>
              <w:right w:val="single" w:sz="4" w:space="0" w:color="auto"/>
            </w:tcBorders>
          </w:tcPr>
          <w:p w14:paraId="2B1EA5DA" w14:textId="77777777" w:rsidR="005B3F1A" w:rsidRPr="00A6448C" w:rsidRDefault="005B3F1A" w:rsidP="00315559">
            <w:pPr>
              <w:rPr>
                <w:b/>
                <w:szCs w:val="24"/>
                <w:lang w:eastAsia="lt-LT"/>
              </w:rPr>
            </w:pPr>
            <w:r w:rsidRPr="00A6448C">
              <w:t xml:space="preserve">Viršininkas (statutinės įstaigos vadovas), direktorius (statutinės įstaigos vadovas), Valstybės sienos apsaugos tarnybos prie Vidaus reikalų ministerijos pasienio rinktinės vadas, mokyklos viršininkas, vyriausiojo policijos komisariato viršininkas (taikoma struktūriniam padaliniui, kuris nėra kitame struktūriniame padalinyje), biuro viršininkas, rinktinės vadas (statutinės įstaigos vadovas), Priešgaisrinės apsaugos ir gelbėjimo departamento prie Vidaus reikalų ministerijos Priešgaisrinės gelbėjimo valdybos viršininkas </w:t>
            </w:r>
          </w:p>
        </w:tc>
        <w:tc>
          <w:tcPr>
            <w:tcW w:w="798" w:type="pct"/>
            <w:tcBorders>
              <w:left w:val="single" w:sz="4" w:space="0" w:color="auto"/>
            </w:tcBorders>
            <w:vAlign w:val="center"/>
          </w:tcPr>
          <w:p w14:paraId="51CD69AC" w14:textId="77777777" w:rsidR="005B3F1A" w:rsidRPr="00A6448C" w:rsidRDefault="005B3F1A" w:rsidP="00315559">
            <w:pPr>
              <w:jc w:val="center"/>
              <w:rPr>
                <w:color w:val="000000"/>
                <w:szCs w:val="24"/>
                <w:lang w:eastAsia="lt-LT"/>
              </w:rPr>
            </w:pPr>
            <w:r w:rsidRPr="00A6448C">
              <w:rPr>
                <w:color w:val="000000"/>
                <w:szCs w:val="24"/>
                <w:lang w:eastAsia="lt-LT"/>
              </w:rPr>
              <w:t>13</w:t>
            </w:r>
            <w:r w:rsidR="009B1259" w:rsidRPr="00A6448C">
              <w:rPr>
                <w:b/>
                <w:color w:val="000000"/>
                <w:szCs w:val="24"/>
                <w:lang w:eastAsia="lt-LT"/>
              </w:rPr>
              <w:t>,2</w:t>
            </w:r>
            <w:r w:rsidRPr="00A6448C">
              <w:rPr>
                <w:color w:val="000000"/>
                <w:szCs w:val="24"/>
                <w:lang w:eastAsia="lt-LT"/>
              </w:rPr>
              <w:t>–17,5</w:t>
            </w:r>
          </w:p>
        </w:tc>
        <w:tc>
          <w:tcPr>
            <w:tcW w:w="797" w:type="pct"/>
            <w:vAlign w:val="center"/>
          </w:tcPr>
          <w:p w14:paraId="505BBE48" w14:textId="77777777" w:rsidR="005B3F1A" w:rsidRPr="00A6448C" w:rsidRDefault="005B3F1A" w:rsidP="009B1259">
            <w:pPr>
              <w:jc w:val="center"/>
              <w:rPr>
                <w:color w:val="000000"/>
                <w:szCs w:val="24"/>
                <w:lang w:eastAsia="lt-LT"/>
              </w:rPr>
            </w:pPr>
            <w:r w:rsidRPr="00A6448C">
              <w:rPr>
                <w:color w:val="000000"/>
                <w:szCs w:val="24"/>
                <w:lang w:eastAsia="lt-LT"/>
              </w:rPr>
              <w:t>13</w:t>
            </w:r>
            <w:r w:rsidR="00FD7734" w:rsidRPr="00A6448C">
              <w:rPr>
                <w:b/>
                <w:color w:val="000000"/>
                <w:szCs w:val="24"/>
                <w:lang w:eastAsia="lt-LT"/>
              </w:rPr>
              <w:t>,</w:t>
            </w:r>
            <w:r w:rsidR="009B1259" w:rsidRPr="00A6448C">
              <w:rPr>
                <w:b/>
                <w:color w:val="000000"/>
                <w:szCs w:val="24"/>
                <w:lang w:eastAsia="lt-LT"/>
              </w:rPr>
              <w:t>2</w:t>
            </w:r>
            <w:r w:rsidRPr="00A6448C">
              <w:rPr>
                <w:color w:val="000000"/>
                <w:szCs w:val="24"/>
                <w:lang w:eastAsia="lt-LT"/>
              </w:rPr>
              <w:t>–17,5</w:t>
            </w:r>
          </w:p>
        </w:tc>
      </w:tr>
      <w:tr w:rsidR="005B3F1A" w:rsidRPr="00A6448C" w14:paraId="0BA00EB5" w14:textId="77777777" w:rsidTr="00315559">
        <w:trPr>
          <w:cantSplit/>
          <w:trHeight w:val="2388"/>
        </w:trPr>
        <w:tc>
          <w:tcPr>
            <w:tcW w:w="712" w:type="pct"/>
            <w:tcBorders>
              <w:bottom w:val="single" w:sz="4" w:space="0" w:color="auto"/>
            </w:tcBorders>
            <w:vAlign w:val="center"/>
          </w:tcPr>
          <w:p w14:paraId="08A2E053" w14:textId="77777777" w:rsidR="005B3F1A" w:rsidRPr="00A6448C" w:rsidRDefault="005B3F1A" w:rsidP="00315559">
            <w:pPr>
              <w:jc w:val="center"/>
              <w:rPr>
                <w:szCs w:val="24"/>
                <w:lang w:eastAsia="lt-LT"/>
              </w:rPr>
            </w:pPr>
            <w:r w:rsidRPr="00A6448C">
              <w:rPr>
                <w:szCs w:val="24"/>
                <w:lang w:eastAsia="lt-LT"/>
              </w:rPr>
              <w:t>4</w:t>
            </w:r>
          </w:p>
        </w:tc>
        <w:tc>
          <w:tcPr>
            <w:tcW w:w="2693" w:type="pct"/>
            <w:tcBorders>
              <w:top w:val="single" w:sz="4" w:space="0" w:color="auto"/>
              <w:bottom w:val="single" w:sz="4" w:space="0" w:color="auto"/>
            </w:tcBorders>
            <w:vAlign w:val="center"/>
          </w:tcPr>
          <w:p w14:paraId="6B847B29" w14:textId="77777777" w:rsidR="005B3F1A" w:rsidRPr="00A6448C" w:rsidRDefault="005B3F1A" w:rsidP="00315559">
            <w:pPr>
              <w:rPr>
                <w:szCs w:val="24"/>
                <w:lang w:eastAsia="lt-LT"/>
              </w:rPr>
            </w:pPr>
            <w:r w:rsidRPr="00A6448C">
              <w:t>Dalinio vadas, štabo viršininkas, viršininko pavaduotojas (statutinės įstaigos vadovo pavaduotojas), direktoriaus pavaduotojas (statutinės įstaigos vadovo pavaduotojas),</w:t>
            </w:r>
            <w:r w:rsidRPr="00A6448C">
              <w:rPr>
                <w:b/>
                <w:bCs/>
              </w:rPr>
              <w:t xml:space="preserve"> </w:t>
            </w:r>
            <w:r w:rsidRPr="00A6448C">
              <w:t>Valstybės sienos apsaugos tarnybos prie Vidaus reikalų ministerijos Pasienio rinktinės vado pavaduotojas, mokyklos viršininko pavaduotojas, patarėjas (statutinės įstaigos patarėjas), biuro viršininko pavaduotojas, vyriausiojo policijos komisariato viršininko pavaduotojas (taikoma struktūriniam padaliniui, kuris nėra kitame struktūriniame padalinyje), rinktinės vado pavaduotojas (statutinės įstaigos vadovo pavaduotojas), Priešgaisrinės apsaugos ir gelbėjimo departamento prie Vidaus reikalų ministerijos Priešgaisrinės gelbėjimo valdybos viršininko pavaduotojas</w:t>
            </w:r>
          </w:p>
        </w:tc>
        <w:tc>
          <w:tcPr>
            <w:tcW w:w="798" w:type="pct"/>
            <w:vAlign w:val="center"/>
          </w:tcPr>
          <w:p w14:paraId="5475B7C6" w14:textId="77777777" w:rsidR="005B3F1A" w:rsidRPr="00A6448C" w:rsidRDefault="005B3F1A" w:rsidP="00315559">
            <w:pPr>
              <w:jc w:val="center"/>
              <w:rPr>
                <w:color w:val="000000"/>
                <w:szCs w:val="24"/>
                <w:lang w:eastAsia="lt-LT"/>
              </w:rPr>
            </w:pPr>
            <w:r w:rsidRPr="00A6448C">
              <w:rPr>
                <w:color w:val="000000"/>
                <w:szCs w:val="24"/>
                <w:lang w:eastAsia="lt-LT"/>
              </w:rPr>
              <w:t>12</w:t>
            </w:r>
            <w:r w:rsidR="009B1259" w:rsidRPr="00A6448C">
              <w:rPr>
                <w:b/>
                <w:color w:val="000000"/>
                <w:szCs w:val="24"/>
                <w:lang w:eastAsia="lt-LT"/>
              </w:rPr>
              <w:t>,2</w:t>
            </w:r>
            <w:r w:rsidRPr="00A6448C">
              <w:rPr>
                <w:color w:val="000000"/>
                <w:szCs w:val="24"/>
                <w:lang w:eastAsia="lt-LT"/>
              </w:rPr>
              <w:t>–16,5</w:t>
            </w:r>
          </w:p>
        </w:tc>
        <w:tc>
          <w:tcPr>
            <w:tcW w:w="797" w:type="pct"/>
            <w:vAlign w:val="center"/>
          </w:tcPr>
          <w:p w14:paraId="431805B7" w14:textId="77777777" w:rsidR="005B3F1A" w:rsidRPr="00A6448C" w:rsidRDefault="005B3F1A" w:rsidP="00315559">
            <w:pPr>
              <w:jc w:val="center"/>
              <w:rPr>
                <w:color w:val="000000"/>
                <w:szCs w:val="24"/>
                <w:lang w:eastAsia="lt-LT"/>
              </w:rPr>
            </w:pPr>
            <w:r w:rsidRPr="00A6448C">
              <w:rPr>
                <w:color w:val="000000"/>
                <w:szCs w:val="24"/>
                <w:lang w:eastAsia="lt-LT"/>
              </w:rPr>
              <w:t>11</w:t>
            </w:r>
            <w:r w:rsidR="009B1259" w:rsidRPr="00A6448C">
              <w:rPr>
                <w:b/>
                <w:color w:val="000000"/>
                <w:szCs w:val="24"/>
                <w:lang w:eastAsia="lt-LT"/>
              </w:rPr>
              <w:t>,2</w:t>
            </w:r>
            <w:r w:rsidRPr="00A6448C">
              <w:rPr>
                <w:color w:val="000000"/>
                <w:szCs w:val="24"/>
                <w:lang w:eastAsia="lt-LT"/>
              </w:rPr>
              <w:t>–16</w:t>
            </w:r>
          </w:p>
        </w:tc>
      </w:tr>
      <w:tr w:rsidR="005B3F1A" w:rsidRPr="00A6448C" w14:paraId="577DB5AD" w14:textId="77777777" w:rsidTr="00315559">
        <w:trPr>
          <w:cantSplit/>
          <w:trHeight w:val="609"/>
        </w:trPr>
        <w:tc>
          <w:tcPr>
            <w:tcW w:w="712" w:type="pct"/>
            <w:vAlign w:val="center"/>
          </w:tcPr>
          <w:p w14:paraId="1660E556" w14:textId="77777777" w:rsidR="005B3F1A" w:rsidRPr="00A6448C" w:rsidRDefault="005B3F1A" w:rsidP="00315559">
            <w:pPr>
              <w:jc w:val="center"/>
              <w:rPr>
                <w:szCs w:val="24"/>
                <w:lang w:eastAsia="lt-LT"/>
              </w:rPr>
            </w:pPr>
            <w:r w:rsidRPr="00A6448C">
              <w:rPr>
                <w:szCs w:val="24"/>
                <w:lang w:eastAsia="lt-LT"/>
              </w:rPr>
              <w:t>5</w:t>
            </w:r>
          </w:p>
        </w:tc>
        <w:tc>
          <w:tcPr>
            <w:tcW w:w="2693" w:type="pct"/>
            <w:vAlign w:val="center"/>
          </w:tcPr>
          <w:p w14:paraId="1E4AD4D5" w14:textId="77777777" w:rsidR="005B3F1A" w:rsidRPr="00A6448C" w:rsidRDefault="005B3F1A" w:rsidP="00315559">
            <w:pPr>
              <w:rPr>
                <w:lang w:eastAsia="lt-LT"/>
              </w:rPr>
            </w:pPr>
            <w:r w:rsidRPr="00A6448C">
              <w:rPr>
                <w:lang w:eastAsia="lt-LT"/>
              </w:rPr>
              <w:t>Dalinio vado pavaduotojas, valdybos viršininkas, patarėjas, specialusis atašė</w:t>
            </w:r>
          </w:p>
        </w:tc>
        <w:tc>
          <w:tcPr>
            <w:tcW w:w="798" w:type="pct"/>
            <w:vAlign w:val="center"/>
          </w:tcPr>
          <w:p w14:paraId="37D3B8E2" w14:textId="77777777" w:rsidR="005B3F1A" w:rsidRPr="00A6448C" w:rsidRDefault="005B3F1A" w:rsidP="00315559">
            <w:pPr>
              <w:jc w:val="center"/>
              <w:rPr>
                <w:color w:val="000000"/>
                <w:szCs w:val="24"/>
                <w:lang w:eastAsia="lt-LT"/>
              </w:rPr>
            </w:pPr>
            <w:r w:rsidRPr="00A6448C">
              <w:rPr>
                <w:color w:val="000000"/>
                <w:szCs w:val="24"/>
                <w:lang w:eastAsia="lt-LT"/>
              </w:rPr>
              <w:t>11</w:t>
            </w:r>
            <w:r w:rsidR="009B1259" w:rsidRPr="00A6448C">
              <w:rPr>
                <w:b/>
                <w:color w:val="000000"/>
                <w:szCs w:val="24"/>
                <w:lang w:eastAsia="lt-LT"/>
              </w:rPr>
              <w:t>,2</w:t>
            </w:r>
            <w:r w:rsidRPr="00A6448C">
              <w:rPr>
                <w:color w:val="000000"/>
                <w:szCs w:val="24"/>
                <w:lang w:eastAsia="lt-LT"/>
              </w:rPr>
              <w:t>–15,5</w:t>
            </w:r>
          </w:p>
        </w:tc>
        <w:tc>
          <w:tcPr>
            <w:tcW w:w="797" w:type="pct"/>
            <w:vAlign w:val="center"/>
          </w:tcPr>
          <w:p w14:paraId="50689735" w14:textId="77777777" w:rsidR="005B3F1A" w:rsidRPr="00A6448C" w:rsidRDefault="005B3F1A" w:rsidP="00315559">
            <w:pPr>
              <w:jc w:val="center"/>
              <w:rPr>
                <w:color w:val="000000"/>
                <w:szCs w:val="24"/>
                <w:lang w:eastAsia="lt-LT"/>
              </w:rPr>
            </w:pPr>
            <w:r w:rsidRPr="00A6448C">
              <w:rPr>
                <w:color w:val="000000"/>
                <w:szCs w:val="24"/>
                <w:lang w:eastAsia="lt-LT"/>
              </w:rPr>
              <w:t>10</w:t>
            </w:r>
            <w:r w:rsidR="009B1259" w:rsidRPr="00A6448C">
              <w:rPr>
                <w:b/>
                <w:color w:val="000000"/>
                <w:szCs w:val="24"/>
                <w:lang w:eastAsia="lt-LT"/>
              </w:rPr>
              <w:t>,2</w:t>
            </w:r>
            <w:r w:rsidRPr="00A6448C">
              <w:rPr>
                <w:color w:val="000000"/>
                <w:szCs w:val="24"/>
                <w:lang w:eastAsia="lt-LT"/>
              </w:rPr>
              <w:t>–15</w:t>
            </w:r>
          </w:p>
        </w:tc>
      </w:tr>
      <w:tr w:rsidR="005B3F1A" w:rsidRPr="00A6448C" w14:paraId="720EB5C3" w14:textId="77777777" w:rsidTr="00315559">
        <w:trPr>
          <w:cantSplit/>
          <w:trHeight w:val="1126"/>
        </w:trPr>
        <w:tc>
          <w:tcPr>
            <w:tcW w:w="712" w:type="pct"/>
            <w:vAlign w:val="center"/>
          </w:tcPr>
          <w:p w14:paraId="0CAF9D7F" w14:textId="77777777" w:rsidR="005B3F1A" w:rsidRPr="00A6448C" w:rsidRDefault="005B3F1A" w:rsidP="00315559">
            <w:pPr>
              <w:jc w:val="center"/>
              <w:rPr>
                <w:szCs w:val="24"/>
                <w:lang w:eastAsia="lt-LT"/>
              </w:rPr>
            </w:pPr>
            <w:r w:rsidRPr="00A6448C">
              <w:rPr>
                <w:szCs w:val="24"/>
                <w:lang w:eastAsia="lt-LT"/>
              </w:rPr>
              <w:t>6</w:t>
            </w:r>
          </w:p>
        </w:tc>
        <w:tc>
          <w:tcPr>
            <w:tcW w:w="2693" w:type="pct"/>
            <w:vAlign w:val="center"/>
          </w:tcPr>
          <w:p w14:paraId="4839B6FA" w14:textId="77777777" w:rsidR="005B3F1A" w:rsidRPr="00A6448C" w:rsidRDefault="005B3F1A" w:rsidP="00315559">
            <w:pPr>
              <w:rPr>
                <w:lang w:eastAsia="lt-LT"/>
              </w:rPr>
            </w:pPr>
            <w:r w:rsidRPr="00A6448C">
              <w:rPr>
                <w:lang w:eastAsia="lt-LT"/>
              </w:rPr>
              <w:t>Komisariato viršininkas, užkardos vadas, tarnybos viršininkas, skyriaus viršininkas (taikoma struktūriniam padaliniui, kuris nėra kitame struktūriniame padalinyje), valdybos viršininko pavaduotojas, posto viršininkas, eskadrilės vadas, orlaivio vadas</w:t>
            </w:r>
          </w:p>
        </w:tc>
        <w:tc>
          <w:tcPr>
            <w:tcW w:w="798" w:type="pct"/>
            <w:vAlign w:val="center"/>
          </w:tcPr>
          <w:p w14:paraId="692D643E" w14:textId="77777777" w:rsidR="005B3F1A" w:rsidRPr="00A6448C" w:rsidRDefault="005B3F1A" w:rsidP="00315559">
            <w:pPr>
              <w:jc w:val="center"/>
              <w:rPr>
                <w:color w:val="000000"/>
                <w:szCs w:val="24"/>
                <w:lang w:eastAsia="lt-LT"/>
              </w:rPr>
            </w:pPr>
            <w:r w:rsidRPr="00A6448C">
              <w:rPr>
                <w:color w:val="000000"/>
                <w:szCs w:val="24"/>
                <w:lang w:eastAsia="lt-LT"/>
              </w:rPr>
              <w:t>9</w:t>
            </w:r>
            <w:r w:rsidR="009B1259" w:rsidRPr="00A6448C">
              <w:rPr>
                <w:b/>
                <w:color w:val="000000"/>
                <w:szCs w:val="24"/>
                <w:lang w:eastAsia="lt-LT"/>
              </w:rPr>
              <w:t>,4</w:t>
            </w:r>
            <w:r w:rsidRPr="00A6448C">
              <w:rPr>
                <w:color w:val="000000"/>
                <w:szCs w:val="24"/>
                <w:lang w:eastAsia="lt-LT"/>
              </w:rPr>
              <w:t>–15</w:t>
            </w:r>
          </w:p>
        </w:tc>
        <w:tc>
          <w:tcPr>
            <w:tcW w:w="797" w:type="pct"/>
            <w:vAlign w:val="center"/>
          </w:tcPr>
          <w:p w14:paraId="0D6B8D0C" w14:textId="77777777" w:rsidR="005B3F1A" w:rsidRPr="00A6448C" w:rsidRDefault="005B3F1A" w:rsidP="00315559">
            <w:pPr>
              <w:jc w:val="center"/>
              <w:rPr>
                <w:color w:val="000000"/>
                <w:szCs w:val="24"/>
                <w:lang w:eastAsia="lt-LT"/>
              </w:rPr>
            </w:pPr>
            <w:r w:rsidRPr="00A6448C">
              <w:rPr>
                <w:color w:val="000000"/>
                <w:szCs w:val="24"/>
                <w:lang w:eastAsia="lt-LT"/>
              </w:rPr>
              <w:t>8</w:t>
            </w:r>
            <w:r w:rsidR="009B1259" w:rsidRPr="00A6448C">
              <w:rPr>
                <w:b/>
                <w:color w:val="000000"/>
                <w:szCs w:val="24"/>
                <w:lang w:eastAsia="lt-LT"/>
              </w:rPr>
              <w:t>,4</w:t>
            </w:r>
            <w:r w:rsidRPr="00A6448C">
              <w:rPr>
                <w:color w:val="000000"/>
                <w:szCs w:val="24"/>
                <w:lang w:eastAsia="lt-LT"/>
              </w:rPr>
              <w:t>–14,5</w:t>
            </w:r>
          </w:p>
        </w:tc>
      </w:tr>
      <w:tr w:rsidR="005B3F1A" w:rsidRPr="00A6448C" w14:paraId="2719D42A" w14:textId="77777777" w:rsidTr="00315559">
        <w:trPr>
          <w:cantSplit/>
          <w:trHeight w:val="1128"/>
        </w:trPr>
        <w:tc>
          <w:tcPr>
            <w:tcW w:w="712" w:type="pct"/>
            <w:vAlign w:val="center"/>
          </w:tcPr>
          <w:p w14:paraId="395FE0B8" w14:textId="77777777" w:rsidR="005B3F1A" w:rsidRPr="00A6448C" w:rsidRDefault="005B3F1A" w:rsidP="00315559">
            <w:pPr>
              <w:jc w:val="center"/>
              <w:rPr>
                <w:szCs w:val="24"/>
                <w:lang w:eastAsia="lt-LT"/>
              </w:rPr>
            </w:pPr>
            <w:r w:rsidRPr="00A6448C">
              <w:rPr>
                <w:szCs w:val="24"/>
                <w:lang w:eastAsia="lt-LT"/>
              </w:rPr>
              <w:t>7</w:t>
            </w:r>
          </w:p>
        </w:tc>
        <w:tc>
          <w:tcPr>
            <w:tcW w:w="2693" w:type="pct"/>
            <w:vAlign w:val="center"/>
          </w:tcPr>
          <w:p w14:paraId="2E3CB575" w14:textId="77777777" w:rsidR="005B3F1A" w:rsidRPr="00A6448C" w:rsidRDefault="005B3F1A" w:rsidP="00315559">
            <w:pPr>
              <w:rPr>
                <w:lang w:eastAsia="lt-LT"/>
              </w:rPr>
            </w:pPr>
            <w:r w:rsidRPr="00A6448C">
              <w:rPr>
                <w:lang w:eastAsia="lt-LT"/>
              </w:rPr>
              <w:t>Skyriaus viršininkas (taikoma struktūriniam padaliniui, kuris yra kitame struktūriniame padalinyje), centro viršininkas, rinktinės vadas, posto viršininko pavaduotojas, vyriausiasis lakūnas</w:t>
            </w:r>
          </w:p>
        </w:tc>
        <w:tc>
          <w:tcPr>
            <w:tcW w:w="798" w:type="pct"/>
            <w:vAlign w:val="center"/>
          </w:tcPr>
          <w:p w14:paraId="6A0A0F56" w14:textId="77777777" w:rsidR="005B3F1A" w:rsidRPr="00A6448C" w:rsidRDefault="005B3F1A" w:rsidP="00315559">
            <w:pPr>
              <w:jc w:val="center"/>
              <w:rPr>
                <w:color w:val="000000"/>
                <w:szCs w:val="24"/>
                <w:lang w:eastAsia="lt-LT"/>
              </w:rPr>
            </w:pPr>
            <w:r w:rsidRPr="00A6448C">
              <w:rPr>
                <w:strike/>
                <w:color w:val="000000"/>
                <w:szCs w:val="24"/>
                <w:lang w:eastAsia="lt-LT"/>
              </w:rPr>
              <w:t>8,5</w:t>
            </w:r>
            <w:r w:rsidR="00E05DF4" w:rsidRPr="00A6448C">
              <w:rPr>
                <w:color w:val="000000"/>
                <w:szCs w:val="24"/>
                <w:lang w:eastAsia="lt-LT"/>
              </w:rPr>
              <w:t xml:space="preserve"> </w:t>
            </w:r>
            <w:r w:rsidR="009B1259" w:rsidRPr="00A6448C">
              <w:rPr>
                <w:b/>
                <w:color w:val="000000"/>
                <w:szCs w:val="24"/>
                <w:lang w:eastAsia="lt-LT"/>
              </w:rPr>
              <w:t>8,</w:t>
            </w:r>
            <w:r w:rsidR="00FD7734" w:rsidRPr="00A6448C">
              <w:rPr>
                <w:b/>
                <w:color w:val="000000"/>
                <w:szCs w:val="24"/>
                <w:lang w:eastAsia="lt-LT"/>
              </w:rPr>
              <w:t>9</w:t>
            </w:r>
            <w:r w:rsidRPr="00A6448C">
              <w:rPr>
                <w:color w:val="000000"/>
                <w:szCs w:val="24"/>
                <w:lang w:eastAsia="lt-LT"/>
              </w:rPr>
              <w:t>–14,5</w:t>
            </w:r>
          </w:p>
        </w:tc>
        <w:tc>
          <w:tcPr>
            <w:tcW w:w="797" w:type="pct"/>
            <w:vAlign w:val="center"/>
          </w:tcPr>
          <w:p w14:paraId="1EFB3B2C" w14:textId="77777777" w:rsidR="005B3F1A" w:rsidRPr="00A6448C" w:rsidRDefault="005B3F1A" w:rsidP="00315559">
            <w:pPr>
              <w:jc w:val="center"/>
              <w:rPr>
                <w:color w:val="000000"/>
                <w:szCs w:val="24"/>
                <w:lang w:eastAsia="lt-LT"/>
              </w:rPr>
            </w:pPr>
            <w:r w:rsidRPr="00A6448C">
              <w:rPr>
                <w:strike/>
                <w:color w:val="000000"/>
                <w:szCs w:val="24"/>
                <w:lang w:eastAsia="lt-LT"/>
              </w:rPr>
              <w:t>7,5</w:t>
            </w:r>
            <w:r w:rsidR="00E05DF4" w:rsidRPr="00A6448C">
              <w:rPr>
                <w:color w:val="000000"/>
                <w:szCs w:val="24"/>
                <w:lang w:eastAsia="lt-LT"/>
              </w:rPr>
              <w:t xml:space="preserve"> </w:t>
            </w:r>
            <w:r w:rsidR="009B1259" w:rsidRPr="00A6448C">
              <w:rPr>
                <w:b/>
                <w:color w:val="000000"/>
                <w:szCs w:val="24"/>
                <w:lang w:eastAsia="lt-LT"/>
              </w:rPr>
              <w:t>7,9</w:t>
            </w:r>
            <w:r w:rsidRPr="00A6448C">
              <w:rPr>
                <w:color w:val="000000"/>
                <w:szCs w:val="24"/>
                <w:lang w:eastAsia="lt-LT"/>
              </w:rPr>
              <w:t>–14</w:t>
            </w:r>
          </w:p>
        </w:tc>
      </w:tr>
      <w:tr w:rsidR="005B3F1A" w:rsidRPr="00A6448C" w14:paraId="2853E128" w14:textId="77777777" w:rsidTr="00315559">
        <w:trPr>
          <w:cantSplit/>
          <w:trHeight w:val="2246"/>
        </w:trPr>
        <w:tc>
          <w:tcPr>
            <w:tcW w:w="712" w:type="pct"/>
            <w:vAlign w:val="center"/>
          </w:tcPr>
          <w:p w14:paraId="24ED062F" w14:textId="77777777" w:rsidR="005B3F1A" w:rsidRPr="00A6448C" w:rsidRDefault="005B3F1A" w:rsidP="00315559">
            <w:pPr>
              <w:jc w:val="center"/>
              <w:rPr>
                <w:szCs w:val="24"/>
                <w:lang w:eastAsia="lt-LT"/>
              </w:rPr>
            </w:pPr>
            <w:r w:rsidRPr="00A6448C">
              <w:rPr>
                <w:szCs w:val="24"/>
                <w:lang w:eastAsia="lt-LT"/>
              </w:rPr>
              <w:t>8</w:t>
            </w:r>
          </w:p>
        </w:tc>
        <w:tc>
          <w:tcPr>
            <w:tcW w:w="2693" w:type="pct"/>
            <w:tcBorders>
              <w:bottom w:val="single" w:sz="4" w:space="0" w:color="auto"/>
            </w:tcBorders>
            <w:vAlign w:val="center"/>
          </w:tcPr>
          <w:p w14:paraId="3412F205" w14:textId="77777777" w:rsidR="005B3F1A" w:rsidRPr="00A6448C" w:rsidRDefault="005B3F1A" w:rsidP="00315559">
            <w:pPr>
              <w:rPr>
                <w:szCs w:val="24"/>
                <w:lang w:eastAsia="lt-LT"/>
              </w:rPr>
            </w:pPr>
            <w:r w:rsidRPr="00A6448C">
              <w:rPr>
                <w:bCs/>
                <w:szCs w:val="24"/>
                <w:lang w:eastAsia="lt-LT"/>
              </w:rPr>
              <w:t>Skyriaus viršininko pavaduotojas (taikoma struktūriniam padaliniui, kuris nėra kitame struktūriniame padalinyje), poskyrio viršininkas, vyriausiasis tyrėjas, vyriausiasis detektyvas, vyriausiasis agentas, laivo vadas, tarnybos viršininko pavaduotojas, centro viršininko pavaduotojas, komandos viršininkas, užkardos vado pavaduotojas, vyresnysis lakūnas</w:t>
            </w:r>
          </w:p>
        </w:tc>
        <w:tc>
          <w:tcPr>
            <w:tcW w:w="798" w:type="pct"/>
            <w:vAlign w:val="center"/>
          </w:tcPr>
          <w:p w14:paraId="55DB8574" w14:textId="77777777" w:rsidR="005B3F1A" w:rsidRPr="00A6448C" w:rsidRDefault="005B3F1A" w:rsidP="00315559">
            <w:pPr>
              <w:jc w:val="center"/>
              <w:rPr>
                <w:color w:val="000000"/>
                <w:szCs w:val="24"/>
                <w:lang w:eastAsia="lt-LT"/>
              </w:rPr>
            </w:pPr>
            <w:r w:rsidRPr="00A6448C">
              <w:rPr>
                <w:color w:val="000000"/>
                <w:szCs w:val="24"/>
                <w:lang w:eastAsia="lt-LT"/>
              </w:rPr>
              <w:t>8</w:t>
            </w:r>
            <w:r w:rsidR="009B1259" w:rsidRPr="00A6448C">
              <w:rPr>
                <w:b/>
                <w:color w:val="000000"/>
                <w:szCs w:val="24"/>
                <w:lang w:eastAsia="lt-LT"/>
              </w:rPr>
              <w:t>,6</w:t>
            </w:r>
            <w:r w:rsidRPr="00A6448C">
              <w:rPr>
                <w:color w:val="000000"/>
                <w:szCs w:val="24"/>
                <w:lang w:eastAsia="lt-LT"/>
              </w:rPr>
              <w:t>–14</w:t>
            </w:r>
          </w:p>
        </w:tc>
        <w:tc>
          <w:tcPr>
            <w:tcW w:w="797" w:type="pct"/>
            <w:vAlign w:val="center"/>
          </w:tcPr>
          <w:p w14:paraId="619B9299" w14:textId="77777777" w:rsidR="005B3F1A" w:rsidRPr="00A6448C" w:rsidRDefault="005B3F1A" w:rsidP="009B1259">
            <w:pPr>
              <w:jc w:val="center"/>
              <w:rPr>
                <w:color w:val="000000"/>
                <w:szCs w:val="24"/>
                <w:lang w:eastAsia="lt-LT"/>
              </w:rPr>
            </w:pPr>
            <w:r w:rsidRPr="00A6448C">
              <w:rPr>
                <w:color w:val="000000"/>
                <w:szCs w:val="24"/>
                <w:lang w:eastAsia="lt-LT"/>
              </w:rPr>
              <w:t>7</w:t>
            </w:r>
            <w:r w:rsidR="00FD7734" w:rsidRPr="00A6448C">
              <w:rPr>
                <w:b/>
                <w:color w:val="000000"/>
                <w:szCs w:val="24"/>
                <w:lang w:eastAsia="lt-LT"/>
              </w:rPr>
              <w:t>,</w:t>
            </w:r>
            <w:r w:rsidR="009B1259" w:rsidRPr="00A6448C">
              <w:rPr>
                <w:b/>
                <w:color w:val="000000"/>
                <w:szCs w:val="24"/>
                <w:lang w:eastAsia="lt-LT"/>
              </w:rPr>
              <w:t>6</w:t>
            </w:r>
            <w:r w:rsidRPr="00A6448C">
              <w:rPr>
                <w:color w:val="000000"/>
                <w:szCs w:val="24"/>
                <w:lang w:eastAsia="lt-LT"/>
              </w:rPr>
              <w:t>–13,5</w:t>
            </w:r>
          </w:p>
        </w:tc>
      </w:tr>
      <w:tr w:rsidR="005B3F1A" w:rsidRPr="00A6448C" w14:paraId="680B086A" w14:textId="77777777" w:rsidTr="00315559">
        <w:trPr>
          <w:cantSplit/>
          <w:trHeight w:val="1884"/>
        </w:trPr>
        <w:tc>
          <w:tcPr>
            <w:tcW w:w="712" w:type="pct"/>
            <w:tcBorders>
              <w:top w:val="single" w:sz="4" w:space="0" w:color="auto"/>
            </w:tcBorders>
            <w:vAlign w:val="center"/>
          </w:tcPr>
          <w:p w14:paraId="34F192C0" w14:textId="77777777" w:rsidR="005B3F1A" w:rsidRPr="00A6448C" w:rsidRDefault="005B3F1A" w:rsidP="00315559">
            <w:pPr>
              <w:jc w:val="center"/>
              <w:rPr>
                <w:szCs w:val="24"/>
                <w:lang w:eastAsia="lt-LT"/>
              </w:rPr>
            </w:pPr>
            <w:r w:rsidRPr="00A6448C">
              <w:rPr>
                <w:szCs w:val="24"/>
                <w:lang w:eastAsia="lt-LT"/>
              </w:rPr>
              <w:lastRenderedPageBreak/>
              <w:t>9</w:t>
            </w:r>
          </w:p>
        </w:tc>
        <w:tc>
          <w:tcPr>
            <w:tcW w:w="2693" w:type="pct"/>
            <w:tcBorders>
              <w:top w:val="single" w:sz="4" w:space="0" w:color="auto"/>
            </w:tcBorders>
            <w:vAlign w:val="center"/>
          </w:tcPr>
          <w:p w14:paraId="329793B6" w14:textId="77777777" w:rsidR="005B3F1A" w:rsidRPr="00A6448C" w:rsidRDefault="005B3F1A" w:rsidP="00315559">
            <w:pPr>
              <w:rPr>
                <w:b/>
                <w:szCs w:val="24"/>
                <w:lang w:eastAsia="lt-LT"/>
              </w:rPr>
            </w:pPr>
            <w:r w:rsidRPr="00A6448C">
              <w:rPr>
                <w:bCs/>
                <w:szCs w:val="24"/>
                <w:lang w:eastAsia="lt-LT"/>
              </w:rPr>
              <w:t>Skyriaus viršininko pavaduotojas (taikoma struktūriniam padaliniui, kuris yra kitame struktūriniame padalinyje), nuovados viršininkas, kuopos vadas, vyriausiasis inspektorius, vyriausiasis budėtojas, vyriausiasis specialistas, komandos viršininko pavaduotojas, poskyrio viršininko pavaduotojas, posto pamainos viršininkas, vyriausiasis laivavedys, lakūnas</w:t>
            </w:r>
          </w:p>
        </w:tc>
        <w:tc>
          <w:tcPr>
            <w:tcW w:w="798" w:type="pct"/>
            <w:tcBorders>
              <w:top w:val="single" w:sz="4" w:space="0" w:color="auto"/>
            </w:tcBorders>
            <w:vAlign w:val="center"/>
          </w:tcPr>
          <w:p w14:paraId="7C0A7D4A" w14:textId="77777777" w:rsidR="005B3F1A" w:rsidRPr="00A6448C" w:rsidRDefault="005B3F1A" w:rsidP="00315559">
            <w:pPr>
              <w:jc w:val="center"/>
              <w:rPr>
                <w:color w:val="000000"/>
                <w:szCs w:val="24"/>
                <w:lang w:eastAsia="lt-LT"/>
              </w:rPr>
            </w:pPr>
            <w:r w:rsidRPr="00A6448C">
              <w:rPr>
                <w:color w:val="000000"/>
                <w:szCs w:val="24"/>
                <w:lang w:eastAsia="lt-LT"/>
              </w:rPr>
              <w:t>7</w:t>
            </w:r>
            <w:r w:rsidR="009B1259" w:rsidRPr="00A6448C">
              <w:rPr>
                <w:b/>
                <w:color w:val="000000"/>
                <w:szCs w:val="24"/>
                <w:lang w:eastAsia="lt-LT"/>
              </w:rPr>
              <w:t>,6</w:t>
            </w:r>
            <w:r w:rsidRPr="00A6448C">
              <w:rPr>
                <w:color w:val="000000"/>
                <w:szCs w:val="24"/>
                <w:lang w:eastAsia="lt-LT"/>
              </w:rPr>
              <w:t>–13,5</w:t>
            </w:r>
          </w:p>
        </w:tc>
        <w:tc>
          <w:tcPr>
            <w:tcW w:w="797" w:type="pct"/>
            <w:tcBorders>
              <w:top w:val="single" w:sz="4" w:space="0" w:color="auto"/>
            </w:tcBorders>
            <w:vAlign w:val="center"/>
          </w:tcPr>
          <w:p w14:paraId="3975675C" w14:textId="77777777" w:rsidR="005B3F1A" w:rsidRPr="00A6448C" w:rsidRDefault="005B3F1A" w:rsidP="00315559">
            <w:pPr>
              <w:jc w:val="center"/>
              <w:rPr>
                <w:color w:val="000000"/>
                <w:szCs w:val="24"/>
                <w:lang w:eastAsia="lt-LT"/>
              </w:rPr>
            </w:pPr>
            <w:r w:rsidRPr="00A6448C">
              <w:rPr>
                <w:color w:val="000000"/>
                <w:szCs w:val="24"/>
                <w:lang w:eastAsia="lt-LT"/>
              </w:rPr>
              <w:t>6</w:t>
            </w:r>
            <w:r w:rsidR="009B1259" w:rsidRPr="00A6448C">
              <w:rPr>
                <w:b/>
                <w:color w:val="000000"/>
                <w:szCs w:val="24"/>
                <w:lang w:eastAsia="lt-LT"/>
              </w:rPr>
              <w:t>,6</w:t>
            </w:r>
            <w:r w:rsidRPr="00A6448C">
              <w:rPr>
                <w:color w:val="000000"/>
                <w:szCs w:val="24"/>
                <w:lang w:eastAsia="lt-LT"/>
              </w:rPr>
              <w:t>–13</w:t>
            </w:r>
          </w:p>
        </w:tc>
      </w:tr>
      <w:tr w:rsidR="005B3F1A" w:rsidRPr="00A6448C" w14:paraId="7372FA54" w14:textId="77777777" w:rsidTr="00315559">
        <w:trPr>
          <w:cantSplit/>
          <w:trHeight w:val="818"/>
        </w:trPr>
        <w:tc>
          <w:tcPr>
            <w:tcW w:w="712" w:type="pct"/>
            <w:vAlign w:val="center"/>
          </w:tcPr>
          <w:p w14:paraId="0A4EBC1A" w14:textId="77777777" w:rsidR="005B3F1A" w:rsidRPr="00A6448C" w:rsidRDefault="005B3F1A" w:rsidP="00315559">
            <w:pPr>
              <w:jc w:val="center"/>
              <w:rPr>
                <w:szCs w:val="24"/>
                <w:lang w:eastAsia="lt-LT"/>
              </w:rPr>
            </w:pPr>
            <w:r w:rsidRPr="00A6448C">
              <w:rPr>
                <w:szCs w:val="24"/>
                <w:lang w:eastAsia="lt-LT"/>
              </w:rPr>
              <w:t>10</w:t>
            </w:r>
          </w:p>
        </w:tc>
        <w:tc>
          <w:tcPr>
            <w:tcW w:w="2693" w:type="pct"/>
          </w:tcPr>
          <w:p w14:paraId="0992F303" w14:textId="77777777" w:rsidR="005B3F1A" w:rsidRPr="00A6448C" w:rsidRDefault="005B3F1A" w:rsidP="00315559">
            <w:pPr>
              <w:rPr>
                <w:szCs w:val="24"/>
                <w:lang w:eastAsia="lt-LT"/>
              </w:rPr>
            </w:pPr>
            <w:r w:rsidRPr="00A6448C">
              <w:rPr>
                <w:bCs/>
                <w:szCs w:val="24"/>
                <w:lang w:eastAsia="lt-LT"/>
              </w:rPr>
              <w:t>Vyresnysis laivavedys, vyresnysis tyrėjas, vyresnysis detektyvas, vyresnysis agentas, kuopos vado pavaduotojas, vyresnysis specialistas</w:t>
            </w:r>
          </w:p>
        </w:tc>
        <w:tc>
          <w:tcPr>
            <w:tcW w:w="798" w:type="pct"/>
            <w:vAlign w:val="center"/>
          </w:tcPr>
          <w:p w14:paraId="65816B17" w14:textId="77777777" w:rsidR="005B3F1A" w:rsidRPr="00A6448C" w:rsidRDefault="005B3F1A" w:rsidP="00315559">
            <w:pPr>
              <w:jc w:val="center"/>
              <w:rPr>
                <w:color w:val="000000"/>
                <w:szCs w:val="24"/>
                <w:lang w:eastAsia="lt-LT"/>
              </w:rPr>
            </w:pPr>
            <w:r w:rsidRPr="00A6448C">
              <w:rPr>
                <w:strike/>
                <w:color w:val="000000"/>
                <w:szCs w:val="24"/>
                <w:lang w:eastAsia="lt-LT"/>
              </w:rPr>
              <w:t>6,6</w:t>
            </w:r>
            <w:r w:rsidR="001811F7" w:rsidRPr="00A6448C">
              <w:rPr>
                <w:color w:val="000000"/>
                <w:szCs w:val="24"/>
                <w:lang w:eastAsia="lt-LT"/>
              </w:rPr>
              <w:t xml:space="preserve"> </w:t>
            </w:r>
            <w:r w:rsidR="00FD7734" w:rsidRPr="00A6448C">
              <w:rPr>
                <w:b/>
                <w:color w:val="000000"/>
                <w:szCs w:val="24"/>
                <w:lang w:eastAsia="lt-LT"/>
              </w:rPr>
              <w:t>7</w:t>
            </w:r>
            <w:r w:rsidR="009B1259" w:rsidRPr="00A6448C">
              <w:rPr>
                <w:b/>
                <w:color w:val="000000"/>
                <w:szCs w:val="24"/>
                <w:lang w:eastAsia="lt-LT"/>
              </w:rPr>
              <w:t>,3</w:t>
            </w:r>
            <w:r w:rsidRPr="00A6448C">
              <w:rPr>
                <w:color w:val="000000"/>
                <w:szCs w:val="24"/>
                <w:lang w:eastAsia="lt-LT"/>
              </w:rPr>
              <w:t>–13</w:t>
            </w:r>
          </w:p>
        </w:tc>
        <w:tc>
          <w:tcPr>
            <w:tcW w:w="797" w:type="pct"/>
            <w:vAlign w:val="center"/>
          </w:tcPr>
          <w:p w14:paraId="30F6499E" w14:textId="77777777" w:rsidR="005B3F1A" w:rsidRPr="00A6448C" w:rsidRDefault="005B3F1A" w:rsidP="00296EB6">
            <w:pPr>
              <w:jc w:val="center"/>
              <w:rPr>
                <w:color w:val="000000"/>
                <w:szCs w:val="24"/>
                <w:lang w:eastAsia="lt-LT"/>
              </w:rPr>
            </w:pPr>
            <w:r w:rsidRPr="00A6448C">
              <w:rPr>
                <w:strike/>
                <w:color w:val="000000"/>
                <w:szCs w:val="24"/>
                <w:lang w:eastAsia="lt-LT"/>
              </w:rPr>
              <w:t>5,9</w:t>
            </w:r>
            <w:r w:rsidR="001811F7" w:rsidRPr="00A6448C">
              <w:rPr>
                <w:color w:val="000000"/>
                <w:szCs w:val="24"/>
                <w:lang w:eastAsia="lt-LT"/>
              </w:rPr>
              <w:t xml:space="preserve"> </w:t>
            </w:r>
            <w:r w:rsidR="00FD7734" w:rsidRPr="00A6448C">
              <w:rPr>
                <w:b/>
                <w:color w:val="000000"/>
                <w:szCs w:val="24"/>
                <w:lang w:eastAsia="lt-LT"/>
              </w:rPr>
              <w:t>6</w:t>
            </w:r>
            <w:r w:rsidR="009B1259" w:rsidRPr="00A6448C">
              <w:rPr>
                <w:b/>
                <w:color w:val="000000"/>
                <w:szCs w:val="24"/>
                <w:lang w:eastAsia="lt-LT"/>
              </w:rPr>
              <w:t>,</w:t>
            </w:r>
            <w:r w:rsidR="00296EB6" w:rsidRPr="00A6448C">
              <w:rPr>
                <w:b/>
                <w:color w:val="000000"/>
                <w:szCs w:val="24"/>
                <w:lang w:eastAsia="lt-LT"/>
              </w:rPr>
              <w:t>5</w:t>
            </w:r>
            <w:r w:rsidRPr="00A6448C">
              <w:rPr>
                <w:color w:val="000000"/>
                <w:szCs w:val="24"/>
                <w:lang w:eastAsia="lt-LT"/>
              </w:rPr>
              <w:t>–12,5</w:t>
            </w:r>
          </w:p>
        </w:tc>
      </w:tr>
      <w:tr w:rsidR="005B3F1A" w:rsidRPr="00A6448C" w14:paraId="7624EF0A" w14:textId="77777777" w:rsidTr="00315559">
        <w:trPr>
          <w:cantSplit/>
          <w:trHeight w:val="642"/>
        </w:trPr>
        <w:tc>
          <w:tcPr>
            <w:tcW w:w="712" w:type="pct"/>
            <w:vAlign w:val="center"/>
          </w:tcPr>
          <w:p w14:paraId="1CFA50BE" w14:textId="77777777" w:rsidR="005B3F1A" w:rsidRPr="00A6448C" w:rsidRDefault="005B3F1A" w:rsidP="00315559">
            <w:pPr>
              <w:jc w:val="center"/>
              <w:rPr>
                <w:szCs w:val="24"/>
                <w:lang w:eastAsia="lt-LT"/>
              </w:rPr>
            </w:pPr>
            <w:r w:rsidRPr="00A6448C">
              <w:rPr>
                <w:szCs w:val="24"/>
                <w:lang w:eastAsia="lt-LT"/>
              </w:rPr>
              <w:t>11</w:t>
            </w:r>
          </w:p>
        </w:tc>
        <w:tc>
          <w:tcPr>
            <w:tcW w:w="2693" w:type="pct"/>
          </w:tcPr>
          <w:p w14:paraId="49F855F9" w14:textId="77777777" w:rsidR="005B3F1A" w:rsidRPr="00A6448C" w:rsidRDefault="005B3F1A" w:rsidP="00315559">
            <w:pPr>
              <w:rPr>
                <w:szCs w:val="24"/>
                <w:lang w:eastAsia="lt-LT"/>
              </w:rPr>
            </w:pPr>
            <w:r w:rsidRPr="00A6448C">
              <w:rPr>
                <w:bCs/>
                <w:szCs w:val="24"/>
                <w:lang w:eastAsia="lt-LT"/>
              </w:rPr>
              <w:t>Būrio vadas, vyresnysis inspektorius, laivavedys, tyrėjas, detektyvas, agentas</w:t>
            </w:r>
          </w:p>
        </w:tc>
        <w:tc>
          <w:tcPr>
            <w:tcW w:w="798" w:type="pct"/>
            <w:vAlign w:val="center"/>
          </w:tcPr>
          <w:p w14:paraId="57072033" w14:textId="77777777" w:rsidR="005B3F1A" w:rsidRPr="00A6448C" w:rsidRDefault="005B3F1A" w:rsidP="00315559">
            <w:pPr>
              <w:jc w:val="center"/>
              <w:rPr>
                <w:color w:val="000000"/>
                <w:szCs w:val="24"/>
                <w:lang w:eastAsia="lt-LT"/>
              </w:rPr>
            </w:pPr>
            <w:r w:rsidRPr="00A6448C">
              <w:rPr>
                <w:strike/>
                <w:color w:val="000000"/>
                <w:szCs w:val="24"/>
                <w:lang w:eastAsia="lt-LT"/>
              </w:rPr>
              <w:t>6,3</w:t>
            </w:r>
            <w:r w:rsidR="001811F7" w:rsidRPr="00A6448C">
              <w:rPr>
                <w:color w:val="000000"/>
                <w:szCs w:val="24"/>
                <w:lang w:eastAsia="lt-LT"/>
              </w:rPr>
              <w:t xml:space="preserve"> </w:t>
            </w:r>
            <w:r w:rsidR="009B1259" w:rsidRPr="00A6448C">
              <w:rPr>
                <w:b/>
                <w:color w:val="000000"/>
                <w:szCs w:val="24"/>
                <w:lang w:eastAsia="lt-LT"/>
              </w:rPr>
              <w:t>7</w:t>
            </w:r>
            <w:r w:rsidRPr="00A6448C">
              <w:rPr>
                <w:color w:val="000000"/>
                <w:szCs w:val="24"/>
                <w:lang w:eastAsia="lt-LT"/>
              </w:rPr>
              <w:t>–12,5</w:t>
            </w:r>
          </w:p>
        </w:tc>
        <w:tc>
          <w:tcPr>
            <w:tcW w:w="797" w:type="pct"/>
            <w:vAlign w:val="center"/>
          </w:tcPr>
          <w:p w14:paraId="476B3033" w14:textId="77777777" w:rsidR="005B3F1A" w:rsidRPr="00A6448C" w:rsidRDefault="005B3F1A" w:rsidP="00315559">
            <w:pPr>
              <w:jc w:val="center"/>
              <w:rPr>
                <w:color w:val="000000"/>
                <w:szCs w:val="24"/>
                <w:lang w:eastAsia="lt-LT"/>
              </w:rPr>
            </w:pPr>
            <w:r w:rsidRPr="00A6448C">
              <w:rPr>
                <w:strike/>
                <w:color w:val="000000"/>
                <w:szCs w:val="24"/>
                <w:lang w:eastAsia="lt-LT"/>
              </w:rPr>
              <w:t>5,3</w:t>
            </w:r>
            <w:r w:rsidR="001811F7" w:rsidRPr="00A6448C">
              <w:rPr>
                <w:color w:val="000000"/>
                <w:szCs w:val="24"/>
                <w:lang w:eastAsia="lt-LT"/>
              </w:rPr>
              <w:t xml:space="preserve"> </w:t>
            </w:r>
            <w:r w:rsidR="002D5356" w:rsidRPr="00A6448C">
              <w:rPr>
                <w:b/>
                <w:color w:val="000000"/>
                <w:szCs w:val="24"/>
                <w:lang w:eastAsia="lt-LT"/>
              </w:rPr>
              <w:t>6</w:t>
            </w:r>
            <w:r w:rsidRPr="00A6448C">
              <w:rPr>
                <w:color w:val="000000"/>
                <w:szCs w:val="24"/>
                <w:lang w:eastAsia="lt-LT"/>
              </w:rPr>
              <w:t>–12</w:t>
            </w:r>
          </w:p>
        </w:tc>
      </w:tr>
      <w:tr w:rsidR="005B3F1A" w:rsidRPr="00A6448C" w14:paraId="50D7ACA1" w14:textId="77777777" w:rsidTr="00315559">
        <w:trPr>
          <w:cantSplit/>
          <w:trHeight w:val="564"/>
        </w:trPr>
        <w:tc>
          <w:tcPr>
            <w:tcW w:w="712" w:type="pct"/>
            <w:vAlign w:val="center"/>
          </w:tcPr>
          <w:p w14:paraId="01F33CA9" w14:textId="77777777" w:rsidR="005B3F1A" w:rsidRPr="00A6448C" w:rsidRDefault="005B3F1A" w:rsidP="00315559">
            <w:pPr>
              <w:jc w:val="center"/>
              <w:rPr>
                <w:szCs w:val="24"/>
                <w:lang w:eastAsia="lt-LT"/>
              </w:rPr>
            </w:pPr>
            <w:r w:rsidRPr="00A6448C">
              <w:rPr>
                <w:szCs w:val="24"/>
                <w:lang w:eastAsia="lt-LT"/>
              </w:rPr>
              <w:t>12</w:t>
            </w:r>
          </w:p>
        </w:tc>
        <w:tc>
          <w:tcPr>
            <w:tcW w:w="2693" w:type="pct"/>
          </w:tcPr>
          <w:p w14:paraId="6B6AD3C4" w14:textId="77777777" w:rsidR="005B3F1A" w:rsidRPr="00A6448C" w:rsidRDefault="005B3F1A" w:rsidP="00315559">
            <w:pPr>
              <w:rPr>
                <w:szCs w:val="24"/>
                <w:lang w:eastAsia="lt-LT"/>
              </w:rPr>
            </w:pPr>
            <w:r w:rsidRPr="00A6448C">
              <w:rPr>
                <w:bCs/>
                <w:szCs w:val="24"/>
                <w:lang w:eastAsia="lt-LT"/>
              </w:rPr>
              <w:t xml:space="preserve">Inspektorius, sargybos viršininkas, būrininkas, pamainos vadas, specialistas, vyriausiasis kovotojas </w:t>
            </w:r>
          </w:p>
        </w:tc>
        <w:tc>
          <w:tcPr>
            <w:tcW w:w="798" w:type="pct"/>
            <w:vAlign w:val="center"/>
          </w:tcPr>
          <w:p w14:paraId="7C4B0521" w14:textId="77777777" w:rsidR="005B3F1A" w:rsidRPr="00A6448C" w:rsidRDefault="005B3F1A" w:rsidP="00315559">
            <w:pPr>
              <w:jc w:val="center"/>
              <w:rPr>
                <w:color w:val="000000"/>
                <w:szCs w:val="24"/>
                <w:lang w:eastAsia="lt-LT"/>
              </w:rPr>
            </w:pPr>
            <w:r w:rsidRPr="00A6448C">
              <w:rPr>
                <w:color w:val="000000"/>
                <w:szCs w:val="24"/>
                <w:lang w:eastAsia="lt-LT"/>
              </w:rPr>
              <w:t>6</w:t>
            </w:r>
            <w:r w:rsidR="002D5356" w:rsidRPr="00A6448C">
              <w:rPr>
                <w:b/>
                <w:color w:val="000000"/>
                <w:szCs w:val="24"/>
                <w:lang w:eastAsia="lt-LT"/>
              </w:rPr>
              <w:t>,7</w:t>
            </w:r>
            <w:r w:rsidRPr="00A6448C">
              <w:rPr>
                <w:color w:val="000000"/>
                <w:szCs w:val="24"/>
                <w:lang w:eastAsia="lt-LT"/>
              </w:rPr>
              <w:t>–12</w:t>
            </w:r>
          </w:p>
        </w:tc>
        <w:tc>
          <w:tcPr>
            <w:tcW w:w="797" w:type="pct"/>
            <w:vAlign w:val="center"/>
          </w:tcPr>
          <w:p w14:paraId="6510CEBA" w14:textId="77777777" w:rsidR="005B3F1A" w:rsidRPr="00A6448C" w:rsidRDefault="005B3F1A" w:rsidP="00315559">
            <w:pPr>
              <w:jc w:val="center"/>
              <w:rPr>
                <w:color w:val="000000"/>
                <w:szCs w:val="24"/>
                <w:lang w:eastAsia="lt-LT"/>
              </w:rPr>
            </w:pPr>
            <w:r w:rsidRPr="00A6448C">
              <w:rPr>
                <w:color w:val="000000"/>
                <w:szCs w:val="24"/>
                <w:lang w:eastAsia="lt-LT"/>
              </w:rPr>
              <w:t>5</w:t>
            </w:r>
            <w:r w:rsidR="002D5356" w:rsidRPr="00A6448C">
              <w:rPr>
                <w:b/>
                <w:color w:val="000000"/>
                <w:szCs w:val="24"/>
                <w:lang w:eastAsia="lt-LT"/>
              </w:rPr>
              <w:t>,7</w:t>
            </w:r>
            <w:r w:rsidRPr="00A6448C">
              <w:rPr>
                <w:color w:val="000000"/>
                <w:szCs w:val="24"/>
                <w:lang w:eastAsia="lt-LT"/>
              </w:rPr>
              <w:t>–11,5</w:t>
            </w:r>
          </w:p>
        </w:tc>
      </w:tr>
      <w:tr w:rsidR="005B3F1A" w:rsidRPr="00A6448C" w14:paraId="5EAE0C8F" w14:textId="77777777" w:rsidTr="00315559">
        <w:trPr>
          <w:cantSplit/>
          <w:trHeight w:val="1104"/>
        </w:trPr>
        <w:tc>
          <w:tcPr>
            <w:tcW w:w="712" w:type="pct"/>
            <w:vAlign w:val="center"/>
          </w:tcPr>
          <w:p w14:paraId="7D068E60" w14:textId="77777777" w:rsidR="005B3F1A" w:rsidRPr="00A6448C" w:rsidRDefault="005B3F1A" w:rsidP="00315559">
            <w:pPr>
              <w:jc w:val="center"/>
              <w:rPr>
                <w:szCs w:val="24"/>
                <w:lang w:eastAsia="lt-LT"/>
              </w:rPr>
            </w:pPr>
            <w:r w:rsidRPr="00A6448C">
              <w:rPr>
                <w:szCs w:val="24"/>
                <w:lang w:eastAsia="lt-LT"/>
              </w:rPr>
              <w:t>13</w:t>
            </w:r>
          </w:p>
        </w:tc>
        <w:tc>
          <w:tcPr>
            <w:tcW w:w="2693" w:type="pct"/>
          </w:tcPr>
          <w:p w14:paraId="7F90FCAC" w14:textId="77777777" w:rsidR="005B3F1A" w:rsidRPr="00A6448C" w:rsidRDefault="005B3F1A" w:rsidP="00315559">
            <w:pPr>
              <w:rPr>
                <w:szCs w:val="24"/>
                <w:lang w:eastAsia="lt-LT"/>
              </w:rPr>
            </w:pPr>
            <w:r w:rsidRPr="00A6448C">
              <w:rPr>
                <w:bCs/>
                <w:szCs w:val="24"/>
                <w:lang w:eastAsia="lt-LT"/>
              </w:rPr>
              <w:t>Vyriausiasis patrulis, vyriausiasis postinis, skyrininkas, jaunesnysis specialistas, vyriausiasis ugniagesys gelbėtojas, viršila, jaunesnysis budėtojas, vyresnysis kovotojas</w:t>
            </w:r>
          </w:p>
        </w:tc>
        <w:tc>
          <w:tcPr>
            <w:tcW w:w="798" w:type="pct"/>
            <w:vAlign w:val="center"/>
          </w:tcPr>
          <w:p w14:paraId="783A3FCD" w14:textId="77777777" w:rsidR="005B3F1A" w:rsidRPr="00A6448C" w:rsidRDefault="005B3F1A" w:rsidP="00315559">
            <w:pPr>
              <w:jc w:val="center"/>
              <w:rPr>
                <w:color w:val="000000"/>
                <w:szCs w:val="24"/>
                <w:lang w:eastAsia="lt-LT"/>
              </w:rPr>
            </w:pPr>
            <w:r w:rsidRPr="00A6448C">
              <w:rPr>
                <w:strike/>
                <w:color w:val="000000"/>
                <w:szCs w:val="24"/>
                <w:lang w:eastAsia="lt-LT"/>
              </w:rPr>
              <w:t>4,5</w:t>
            </w:r>
            <w:r w:rsidR="001811F7" w:rsidRPr="00A6448C">
              <w:rPr>
                <w:color w:val="000000"/>
                <w:szCs w:val="24"/>
                <w:lang w:eastAsia="lt-LT"/>
              </w:rPr>
              <w:t xml:space="preserve"> </w:t>
            </w:r>
            <w:r w:rsidR="00FD7734" w:rsidRPr="00A6448C">
              <w:rPr>
                <w:b/>
                <w:color w:val="000000"/>
                <w:szCs w:val="24"/>
                <w:lang w:eastAsia="lt-LT"/>
              </w:rPr>
              <w:t>5</w:t>
            </w:r>
            <w:r w:rsidR="002D5356" w:rsidRPr="00A6448C">
              <w:rPr>
                <w:b/>
                <w:color w:val="000000"/>
                <w:szCs w:val="24"/>
                <w:lang w:eastAsia="lt-LT"/>
              </w:rPr>
              <w:t>,2</w:t>
            </w:r>
            <w:r w:rsidRPr="00A6448C">
              <w:rPr>
                <w:color w:val="000000"/>
                <w:szCs w:val="24"/>
                <w:lang w:eastAsia="lt-LT"/>
              </w:rPr>
              <w:t>–11,5</w:t>
            </w:r>
          </w:p>
        </w:tc>
        <w:tc>
          <w:tcPr>
            <w:tcW w:w="797" w:type="pct"/>
            <w:vAlign w:val="center"/>
          </w:tcPr>
          <w:p w14:paraId="6DAE9C46" w14:textId="77777777" w:rsidR="005B3F1A" w:rsidRPr="00A6448C" w:rsidRDefault="005B3F1A" w:rsidP="00315559">
            <w:pPr>
              <w:jc w:val="center"/>
              <w:rPr>
                <w:color w:val="000000"/>
                <w:szCs w:val="24"/>
                <w:lang w:eastAsia="lt-LT"/>
              </w:rPr>
            </w:pPr>
            <w:r w:rsidRPr="00A6448C">
              <w:rPr>
                <w:color w:val="000000"/>
                <w:szCs w:val="24"/>
                <w:lang w:eastAsia="lt-LT"/>
              </w:rPr>
              <w:t>4</w:t>
            </w:r>
            <w:r w:rsidR="002D5356" w:rsidRPr="00A6448C">
              <w:rPr>
                <w:b/>
                <w:color w:val="000000"/>
                <w:szCs w:val="24"/>
                <w:lang w:eastAsia="lt-LT"/>
              </w:rPr>
              <w:t>,7</w:t>
            </w:r>
            <w:r w:rsidRPr="00A6448C">
              <w:rPr>
                <w:color w:val="000000"/>
                <w:szCs w:val="24"/>
                <w:lang w:eastAsia="lt-LT"/>
              </w:rPr>
              <w:t>–11</w:t>
            </w:r>
          </w:p>
        </w:tc>
      </w:tr>
      <w:tr w:rsidR="005B3F1A" w:rsidRPr="00A6448C" w14:paraId="24EAE7A7" w14:textId="77777777" w:rsidTr="00315559">
        <w:trPr>
          <w:cantSplit/>
          <w:trHeight w:val="844"/>
        </w:trPr>
        <w:tc>
          <w:tcPr>
            <w:tcW w:w="712" w:type="pct"/>
            <w:vAlign w:val="center"/>
          </w:tcPr>
          <w:p w14:paraId="5624AFC7" w14:textId="77777777" w:rsidR="005B3F1A" w:rsidRPr="00A6448C" w:rsidRDefault="005B3F1A" w:rsidP="00315559">
            <w:pPr>
              <w:jc w:val="center"/>
              <w:rPr>
                <w:szCs w:val="24"/>
                <w:lang w:eastAsia="lt-LT"/>
              </w:rPr>
            </w:pPr>
            <w:r w:rsidRPr="00A6448C">
              <w:rPr>
                <w:szCs w:val="24"/>
                <w:lang w:eastAsia="lt-LT"/>
              </w:rPr>
              <w:t>14</w:t>
            </w:r>
          </w:p>
        </w:tc>
        <w:tc>
          <w:tcPr>
            <w:tcW w:w="2693" w:type="pct"/>
          </w:tcPr>
          <w:p w14:paraId="5878395D" w14:textId="77777777" w:rsidR="005B3F1A" w:rsidRPr="00A6448C" w:rsidRDefault="005B3F1A" w:rsidP="00315559">
            <w:pPr>
              <w:rPr>
                <w:szCs w:val="24"/>
                <w:lang w:eastAsia="lt-LT"/>
              </w:rPr>
            </w:pPr>
            <w:r w:rsidRPr="00A6448C">
              <w:rPr>
                <w:bCs/>
                <w:szCs w:val="24"/>
                <w:lang w:eastAsia="lt-LT"/>
              </w:rPr>
              <w:t>Vyresnysis postinis, vyresnysis patrulis, dispečeris, vyresnysis ugniagesys gelbėtojas, vyresnysis pasienietis, kovotojas</w:t>
            </w:r>
          </w:p>
        </w:tc>
        <w:tc>
          <w:tcPr>
            <w:tcW w:w="798" w:type="pct"/>
            <w:vAlign w:val="center"/>
          </w:tcPr>
          <w:p w14:paraId="173D76FC" w14:textId="77777777" w:rsidR="005B3F1A" w:rsidRPr="00A6448C" w:rsidRDefault="005B3F1A" w:rsidP="00315559">
            <w:pPr>
              <w:jc w:val="center"/>
              <w:rPr>
                <w:color w:val="000000"/>
                <w:szCs w:val="24"/>
                <w:lang w:eastAsia="lt-LT"/>
              </w:rPr>
            </w:pPr>
            <w:r w:rsidRPr="00A6448C">
              <w:rPr>
                <w:strike/>
                <w:color w:val="000000"/>
                <w:szCs w:val="24"/>
                <w:lang w:eastAsia="lt-LT"/>
              </w:rPr>
              <w:t>3,9</w:t>
            </w:r>
            <w:r w:rsidR="001811F7" w:rsidRPr="00A6448C">
              <w:rPr>
                <w:color w:val="000000"/>
                <w:szCs w:val="24"/>
                <w:lang w:eastAsia="lt-LT"/>
              </w:rPr>
              <w:t xml:space="preserve"> </w:t>
            </w:r>
            <w:r w:rsidR="00FD7734" w:rsidRPr="00A6448C">
              <w:rPr>
                <w:b/>
                <w:color w:val="000000"/>
                <w:szCs w:val="24"/>
                <w:lang w:eastAsia="lt-LT"/>
              </w:rPr>
              <w:t>4</w:t>
            </w:r>
            <w:r w:rsidR="002D5356" w:rsidRPr="00A6448C">
              <w:rPr>
                <w:b/>
                <w:color w:val="000000"/>
                <w:szCs w:val="24"/>
                <w:lang w:eastAsia="lt-LT"/>
              </w:rPr>
              <w:t>,6</w:t>
            </w:r>
            <w:r w:rsidRPr="00A6448C">
              <w:rPr>
                <w:color w:val="000000"/>
                <w:szCs w:val="24"/>
                <w:lang w:eastAsia="lt-LT"/>
              </w:rPr>
              <w:t>–11</w:t>
            </w:r>
          </w:p>
        </w:tc>
        <w:tc>
          <w:tcPr>
            <w:tcW w:w="797" w:type="pct"/>
            <w:vAlign w:val="center"/>
          </w:tcPr>
          <w:p w14:paraId="2C0A5EFD" w14:textId="77777777" w:rsidR="005B3F1A" w:rsidRPr="00A6448C" w:rsidRDefault="005B3F1A" w:rsidP="00315559">
            <w:pPr>
              <w:jc w:val="center"/>
              <w:rPr>
                <w:color w:val="000000"/>
                <w:szCs w:val="24"/>
                <w:lang w:eastAsia="lt-LT"/>
              </w:rPr>
            </w:pPr>
            <w:r w:rsidRPr="00A6448C">
              <w:rPr>
                <w:strike/>
                <w:color w:val="000000"/>
                <w:szCs w:val="24"/>
                <w:lang w:eastAsia="lt-LT"/>
              </w:rPr>
              <w:t>3,8</w:t>
            </w:r>
            <w:r w:rsidR="001811F7" w:rsidRPr="00A6448C">
              <w:rPr>
                <w:color w:val="000000"/>
                <w:szCs w:val="24"/>
                <w:lang w:eastAsia="lt-LT"/>
              </w:rPr>
              <w:t xml:space="preserve"> </w:t>
            </w:r>
            <w:r w:rsidR="00FD7734" w:rsidRPr="00A6448C">
              <w:rPr>
                <w:b/>
                <w:color w:val="000000"/>
                <w:szCs w:val="24"/>
                <w:lang w:eastAsia="lt-LT"/>
              </w:rPr>
              <w:t>4</w:t>
            </w:r>
            <w:r w:rsidR="002D5356" w:rsidRPr="00A6448C">
              <w:rPr>
                <w:b/>
                <w:color w:val="000000"/>
                <w:szCs w:val="24"/>
                <w:lang w:eastAsia="lt-LT"/>
              </w:rPr>
              <w:t>,5</w:t>
            </w:r>
            <w:r w:rsidRPr="00A6448C">
              <w:rPr>
                <w:color w:val="000000"/>
                <w:szCs w:val="24"/>
                <w:lang w:eastAsia="lt-LT"/>
              </w:rPr>
              <w:t>–10,5</w:t>
            </w:r>
          </w:p>
        </w:tc>
      </w:tr>
      <w:tr w:rsidR="005B3F1A" w:rsidRPr="00A6448C" w14:paraId="43D00A60" w14:textId="77777777" w:rsidTr="00315559">
        <w:trPr>
          <w:cantSplit/>
          <w:trHeight w:val="275"/>
        </w:trPr>
        <w:tc>
          <w:tcPr>
            <w:tcW w:w="712" w:type="pct"/>
            <w:vAlign w:val="center"/>
          </w:tcPr>
          <w:p w14:paraId="62C5C00B" w14:textId="77777777" w:rsidR="005B3F1A" w:rsidRPr="00A6448C" w:rsidRDefault="005B3F1A" w:rsidP="00315559">
            <w:pPr>
              <w:jc w:val="center"/>
              <w:rPr>
                <w:szCs w:val="24"/>
                <w:lang w:eastAsia="lt-LT"/>
              </w:rPr>
            </w:pPr>
            <w:r w:rsidRPr="00A6448C">
              <w:rPr>
                <w:szCs w:val="24"/>
                <w:lang w:eastAsia="lt-LT"/>
              </w:rPr>
              <w:t>15</w:t>
            </w:r>
          </w:p>
        </w:tc>
        <w:tc>
          <w:tcPr>
            <w:tcW w:w="2693" w:type="pct"/>
          </w:tcPr>
          <w:p w14:paraId="57653FAF" w14:textId="77777777" w:rsidR="005B3F1A" w:rsidRPr="00A6448C" w:rsidRDefault="005B3F1A" w:rsidP="00315559">
            <w:pPr>
              <w:rPr>
                <w:b/>
                <w:szCs w:val="24"/>
                <w:lang w:eastAsia="lt-LT"/>
              </w:rPr>
            </w:pPr>
            <w:r w:rsidRPr="00A6448C">
              <w:rPr>
                <w:bCs/>
                <w:szCs w:val="24"/>
                <w:lang w:eastAsia="lt-LT"/>
              </w:rPr>
              <w:t>Postinis, patrulis, pasienietis, ugniagesys gelbėtojas</w:t>
            </w:r>
          </w:p>
        </w:tc>
        <w:tc>
          <w:tcPr>
            <w:tcW w:w="798" w:type="pct"/>
            <w:vAlign w:val="center"/>
          </w:tcPr>
          <w:p w14:paraId="624906AC" w14:textId="77777777" w:rsidR="005B3F1A" w:rsidRPr="00A6448C" w:rsidRDefault="005B3F1A" w:rsidP="00315559">
            <w:pPr>
              <w:jc w:val="center"/>
              <w:rPr>
                <w:color w:val="000000"/>
                <w:szCs w:val="24"/>
                <w:lang w:eastAsia="lt-LT"/>
              </w:rPr>
            </w:pPr>
            <w:r w:rsidRPr="00A6448C">
              <w:rPr>
                <w:strike/>
                <w:color w:val="000000"/>
                <w:szCs w:val="24"/>
                <w:lang w:eastAsia="lt-LT"/>
              </w:rPr>
              <w:t>3,6</w:t>
            </w:r>
            <w:r w:rsidR="001811F7" w:rsidRPr="00A6448C">
              <w:rPr>
                <w:color w:val="000000"/>
                <w:szCs w:val="24"/>
                <w:lang w:eastAsia="lt-LT"/>
              </w:rPr>
              <w:t xml:space="preserve"> </w:t>
            </w:r>
            <w:r w:rsidR="00FD7734" w:rsidRPr="00A6448C">
              <w:rPr>
                <w:b/>
                <w:color w:val="000000"/>
                <w:szCs w:val="24"/>
                <w:lang w:eastAsia="lt-LT"/>
              </w:rPr>
              <w:t>4</w:t>
            </w:r>
            <w:r w:rsidR="002D5356" w:rsidRPr="00A6448C">
              <w:rPr>
                <w:b/>
                <w:color w:val="000000"/>
                <w:szCs w:val="24"/>
                <w:lang w:eastAsia="lt-LT"/>
              </w:rPr>
              <w:t>,4</w:t>
            </w:r>
            <w:r w:rsidRPr="00A6448C">
              <w:rPr>
                <w:color w:val="000000"/>
                <w:szCs w:val="24"/>
                <w:lang w:eastAsia="lt-LT"/>
              </w:rPr>
              <w:t>–10,5</w:t>
            </w:r>
          </w:p>
        </w:tc>
        <w:tc>
          <w:tcPr>
            <w:tcW w:w="797" w:type="pct"/>
            <w:vAlign w:val="center"/>
          </w:tcPr>
          <w:p w14:paraId="2691D61E" w14:textId="77777777" w:rsidR="005B3F1A" w:rsidRPr="00A6448C" w:rsidRDefault="005B3F1A" w:rsidP="00296EB6">
            <w:pPr>
              <w:jc w:val="center"/>
              <w:rPr>
                <w:color w:val="000000"/>
                <w:szCs w:val="24"/>
                <w:lang w:eastAsia="lt-LT"/>
              </w:rPr>
            </w:pPr>
            <w:r w:rsidRPr="00A6448C">
              <w:rPr>
                <w:strike/>
                <w:color w:val="000000"/>
                <w:szCs w:val="24"/>
                <w:lang w:eastAsia="lt-LT"/>
              </w:rPr>
              <w:t>3,6</w:t>
            </w:r>
            <w:r w:rsidR="001811F7" w:rsidRPr="00A6448C">
              <w:rPr>
                <w:color w:val="000000"/>
                <w:szCs w:val="24"/>
                <w:lang w:eastAsia="lt-LT"/>
              </w:rPr>
              <w:t xml:space="preserve"> </w:t>
            </w:r>
            <w:r w:rsidR="002D5356" w:rsidRPr="00A6448C">
              <w:rPr>
                <w:b/>
                <w:color w:val="000000"/>
                <w:szCs w:val="24"/>
                <w:lang w:eastAsia="lt-LT"/>
              </w:rPr>
              <w:t>4,</w:t>
            </w:r>
            <w:r w:rsidR="00296EB6" w:rsidRPr="00A6448C">
              <w:rPr>
                <w:b/>
                <w:color w:val="000000"/>
                <w:szCs w:val="24"/>
                <w:lang w:eastAsia="lt-LT"/>
              </w:rPr>
              <w:t>4</w:t>
            </w:r>
            <w:r w:rsidRPr="00A6448C">
              <w:rPr>
                <w:color w:val="000000"/>
                <w:szCs w:val="24"/>
                <w:lang w:eastAsia="lt-LT"/>
              </w:rPr>
              <w:t>–10“</w:t>
            </w:r>
          </w:p>
        </w:tc>
      </w:tr>
    </w:tbl>
    <w:p w14:paraId="1F2AD7AC" w14:textId="77777777" w:rsidR="005B3F1A" w:rsidRPr="00A6448C" w:rsidRDefault="005B3F1A" w:rsidP="005B3F1A">
      <w:pPr>
        <w:spacing w:line="360" w:lineRule="auto"/>
        <w:ind w:firstLine="720"/>
        <w:jc w:val="both"/>
        <w:rPr>
          <w:szCs w:val="24"/>
        </w:rPr>
      </w:pPr>
    </w:p>
    <w:p w14:paraId="49A0B04F" w14:textId="75C8E58B" w:rsidR="00C46F7A" w:rsidRPr="00A6448C" w:rsidRDefault="001E58C2" w:rsidP="00C46F7A">
      <w:pPr>
        <w:spacing w:line="360" w:lineRule="auto"/>
        <w:ind w:left="2127" w:hanging="1407"/>
        <w:jc w:val="both"/>
        <w:rPr>
          <w:b/>
          <w:szCs w:val="24"/>
        </w:rPr>
      </w:pPr>
      <w:r>
        <w:rPr>
          <w:b/>
          <w:szCs w:val="24"/>
        </w:rPr>
        <w:t>5</w:t>
      </w:r>
      <w:r w:rsidR="00C46F7A" w:rsidRPr="00A6448C">
        <w:rPr>
          <w:b/>
          <w:szCs w:val="24"/>
        </w:rPr>
        <w:t xml:space="preserve"> straipsnis. </w:t>
      </w:r>
      <w:r w:rsidR="00BB4BDD" w:rsidRPr="00A6448C">
        <w:rPr>
          <w:b/>
          <w:szCs w:val="24"/>
        </w:rPr>
        <w:t xml:space="preserve">Įstatymo </w:t>
      </w:r>
      <w:r w:rsidR="00CB61C7" w:rsidRPr="00A6448C">
        <w:rPr>
          <w:b/>
          <w:szCs w:val="24"/>
        </w:rPr>
        <w:t>įsigaliojimas</w:t>
      </w:r>
      <w:r w:rsidR="001E100F">
        <w:rPr>
          <w:b/>
          <w:szCs w:val="24"/>
        </w:rPr>
        <w:t xml:space="preserve">, </w:t>
      </w:r>
      <w:r w:rsidR="00BB4BDD" w:rsidRPr="00A6448C">
        <w:rPr>
          <w:b/>
          <w:szCs w:val="24"/>
        </w:rPr>
        <w:t>įgyvendinimas</w:t>
      </w:r>
      <w:r w:rsidR="001E100F">
        <w:rPr>
          <w:b/>
          <w:szCs w:val="24"/>
        </w:rPr>
        <w:t xml:space="preserve"> ir taikymas</w:t>
      </w:r>
    </w:p>
    <w:p w14:paraId="3498A3D6" w14:textId="77777777" w:rsidR="00CB61C7" w:rsidRPr="00A6448C" w:rsidRDefault="00CB61C7" w:rsidP="00A37E1A">
      <w:pPr>
        <w:spacing w:line="360" w:lineRule="auto"/>
        <w:ind w:firstLine="720"/>
        <w:jc w:val="both"/>
        <w:rPr>
          <w:szCs w:val="24"/>
        </w:rPr>
      </w:pPr>
      <w:r w:rsidRPr="00A6448C">
        <w:rPr>
          <w:szCs w:val="24"/>
        </w:rPr>
        <w:t>1. Ši</w:t>
      </w:r>
      <w:r w:rsidR="00094361">
        <w:rPr>
          <w:szCs w:val="24"/>
        </w:rPr>
        <w:t>s įstatymas</w:t>
      </w:r>
      <w:r w:rsidR="001E100F">
        <w:rPr>
          <w:szCs w:val="24"/>
        </w:rPr>
        <w:t>, išskyrus šio straipsnio 2 dalį,</w:t>
      </w:r>
      <w:r w:rsidR="00094361">
        <w:rPr>
          <w:szCs w:val="24"/>
        </w:rPr>
        <w:t xml:space="preserve"> </w:t>
      </w:r>
      <w:r w:rsidRPr="00A6448C">
        <w:rPr>
          <w:szCs w:val="24"/>
        </w:rPr>
        <w:t xml:space="preserve">įsigalioja 2020 m. sausio 1 d. </w:t>
      </w:r>
    </w:p>
    <w:p w14:paraId="5ED21A1D" w14:textId="77777777" w:rsidR="001E100F" w:rsidRDefault="00094361" w:rsidP="002A6D96">
      <w:pPr>
        <w:spacing w:line="360" w:lineRule="auto"/>
        <w:ind w:firstLine="720"/>
        <w:jc w:val="both"/>
        <w:rPr>
          <w:szCs w:val="24"/>
        </w:rPr>
      </w:pPr>
      <w:r>
        <w:rPr>
          <w:szCs w:val="24"/>
        </w:rPr>
        <w:t>2</w:t>
      </w:r>
      <w:r w:rsidR="00BB4BDD" w:rsidRPr="00A6448C">
        <w:rPr>
          <w:szCs w:val="24"/>
        </w:rPr>
        <w:t>.</w:t>
      </w:r>
      <w:r w:rsidR="00733CB1" w:rsidRPr="00A6448C">
        <w:rPr>
          <w:szCs w:val="24"/>
        </w:rPr>
        <w:t xml:space="preserve"> </w:t>
      </w:r>
      <w:r w:rsidR="001E100F">
        <w:rPr>
          <w:szCs w:val="24"/>
        </w:rPr>
        <w:t xml:space="preserve">Lietuvos Respublikos vidaus reikalų ministras iki </w:t>
      </w:r>
      <w:r w:rsidR="00CF3027">
        <w:t>2019 m. gruodžio 31 d. priima šio</w:t>
      </w:r>
      <w:r w:rsidR="00CF3027">
        <w:rPr>
          <w:b/>
          <w:bCs/>
        </w:rPr>
        <w:t> </w:t>
      </w:r>
      <w:r w:rsidR="00CF3027">
        <w:t>įstatymo įgyvendinamuosius teisės aktus.</w:t>
      </w:r>
    </w:p>
    <w:p w14:paraId="3D40AE6A" w14:textId="77777777" w:rsidR="00733CB1" w:rsidRPr="00A6448C" w:rsidRDefault="001E100F" w:rsidP="002A6D96">
      <w:pPr>
        <w:spacing w:line="360" w:lineRule="auto"/>
        <w:ind w:firstLine="720"/>
        <w:jc w:val="both"/>
        <w:rPr>
          <w:szCs w:val="24"/>
          <w:lang w:eastAsia="lt-LT"/>
        </w:rPr>
      </w:pPr>
      <w:r>
        <w:rPr>
          <w:szCs w:val="24"/>
        </w:rPr>
        <w:t xml:space="preserve">3. </w:t>
      </w:r>
      <w:r w:rsidR="00733CB1" w:rsidRPr="00A6448C">
        <w:rPr>
          <w:szCs w:val="24"/>
        </w:rPr>
        <w:t>Jeigu iki šio įstatymo įsigaliojimo pareigūnui nustatytas pareiginės algos koeficientas yra mažesnis už</w:t>
      </w:r>
      <w:r w:rsidR="00733CB1" w:rsidRPr="00A6448C">
        <w:rPr>
          <w:color w:val="000000"/>
          <w:szCs w:val="24"/>
          <w:lang w:eastAsia="lt-LT"/>
        </w:rPr>
        <w:t xml:space="preserve"> šio įstatymo </w:t>
      </w:r>
      <w:r w:rsidR="00F32FA3">
        <w:rPr>
          <w:color w:val="000000"/>
          <w:szCs w:val="24"/>
          <w:lang w:eastAsia="lt-LT"/>
        </w:rPr>
        <w:t>4</w:t>
      </w:r>
      <w:r w:rsidR="00733CB1" w:rsidRPr="00A6448C">
        <w:rPr>
          <w:color w:val="000000"/>
          <w:szCs w:val="24"/>
          <w:lang w:eastAsia="lt-LT"/>
        </w:rPr>
        <w:t xml:space="preserve"> straipsnyje išdėstytame Lietuvos Respublikos vidaus tarnybos statuto priede atitinkamai pareigūno pareigybei nustatytą mažiausią pareiginės algos koeficientą iš koeficientų intervalo, pareigūnui paliekamos einamos pareigos ir nustatomas šio įstatymo </w:t>
      </w:r>
      <w:r w:rsidR="00F32FA3">
        <w:rPr>
          <w:color w:val="000000"/>
          <w:szCs w:val="24"/>
          <w:lang w:eastAsia="lt-LT"/>
        </w:rPr>
        <w:t>4</w:t>
      </w:r>
      <w:r w:rsidR="00733CB1" w:rsidRPr="00A6448C">
        <w:rPr>
          <w:color w:val="000000"/>
          <w:szCs w:val="24"/>
          <w:lang w:eastAsia="lt-LT"/>
        </w:rPr>
        <w:t xml:space="preserve"> straipsnyje išdėstytame </w:t>
      </w:r>
      <w:r w:rsidR="008B4EB9">
        <w:rPr>
          <w:color w:val="000000"/>
          <w:szCs w:val="24"/>
          <w:lang w:eastAsia="lt-LT"/>
        </w:rPr>
        <w:t>V</w:t>
      </w:r>
      <w:r w:rsidR="00733CB1" w:rsidRPr="00A6448C">
        <w:rPr>
          <w:color w:val="000000"/>
          <w:szCs w:val="24"/>
          <w:lang w:eastAsia="lt-LT"/>
        </w:rPr>
        <w:t>idaus tarnybos statuto priede tai pareigūno pareigybei nustatytas mažiausias pareiginės algos koeficientas iš koeficientų intervalo.</w:t>
      </w:r>
      <w:r w:rsidR="00733CB1" w:rsidRPr="00A6448C">
        <w:t xml:space="preserve"> </w:t>
      </w:r>
    </w:p>
    <w:p w14:paraId="756FF737" w14:textId="77777777" w:rsidR="00B25C87" w:rsidRPr="00A6448C" w:rsidRDefault="00B25C87" w:rsidP="00A72F56">
      <w:bookmarkStart w:id="0" w:name="part_e079dd74997a487b814a471be199143a"/>
      <w:bookmarkEnd w:id="0"/>
    </w:p>
    <w:p w14:paraId="3DED6CB9" w14:textId="77777777" w:rsidR="00920A36" w:rsidRPr="00A6448C" w:rsidRDefault="00920A36" w:rsidP="00A72F56">
      <w:pPr>
        <w:ind w:firstLine="720"/>
        <w:jc w:val="both"/>
        <w:rPr>
          <w:szCs w:val="24"/>
        </w:rPr>
      </w:pPr>
    </w:p>
    <w:p w14:paraId="5870BC63" w14:textId="77777777" w:rsidR="009F2365" w:rsidRPr="00A6448C" w:rsidRDefault="006C0D75">
      <w:pPr>
        <w:spacing w:line="360" w:lineRule="auto"/>
        <w:ind w:firstLine="720"/>
        <w:jc w:val="both"/>
        <w:rPr>
          <w:i/>
          <w:szCs w:val="24"/>
        </w:rPr>
      </w:pPr>
      <w:r w:rsidRPr="00A6448C">
        <w:rPr>
          <w:i/>
          <w:szCs w:val="24"/>
        </w:rPr>
        <w:t>Skelbiu šį Lietuvos Respublikos Seimo priimtą įstatymą.</w:t>
      </w:r>
    </w:p>
    <w:p w14:paraId="77F8113B" w14:textId="77777777" w:rsidR="009F2365" w:rsidRDefault="009F2365" w:rsidP="00A72F56">
      <w:pPr>
        <w:rPr>
          <w:i/>
          <w:szCs w:val="24"/>
        </w:rPr>
      </w:pPr>
    </w:p>
    <w:p w14:paraId="02B9FA86" w14:textId="77777777" w:rsidR="004C2F69" w:rsidRPr="00A6448C" w:rsidRDefault="004C2F69" w:rsidP="00A72F56">
      <w:pPr>
        <w:rPr>
          <w:i/>
          <w:szCs w:val="24"/>
        </w:rPr>
      </w:pPr>
    </w:p>
    <w:p w14:paraId="33CCA459" w14:textId="77777777" w:rsidR="00643F4E" w:rsidRPr="00A6448C" w:rsidRDefault="00643F4E" w:rsidP="00A72F56">
      <w:pPr>
        <w:rPr>
          <w:i/>
          <w:szCs w:val="24"/>
        </w:rPr>
      </w:pPr>
    </w:p>
    <w:p w14:paraId="70897669" w14:textId="21D63FDD" w:rsidR="009A63C8" w:rsidRPr="00A6448C" w:rsidRDefault="006C0D75">
      <w:pPr>
        <w:tabs>
          <w:tab w:val="right" w:pos="9356"/>
        </w:tabs>
      </w:pPr>
      <w:r w:rsidRPr="00A6448C">
        <w:t>Respublikos Prezi</w:t>
      </w:r>
      <w:r w:rsidR="0026539B" w:rsidRPr="00A6448C">
        <w:t>dentas</w:t>
      </w:r>
      <w:bookmarkStart w:id="1" w:name="_GoBack"/>
      <w:bookmarkEnd w:id="1"/>
    </w:p>
    <w:sectPr w:rsidR="009A63C8" w:rsidRPr="00A6448C" w:rsidSect="00A6448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567" w:bottom="1134" w:left="1701" w:header="709" w:footer="709" w:gutter="0"/>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1DEAA" w16cid:durableId="214C5A8A"/>
  <w16cid:commentId w16cid:paraId="4717DC60" w16cid:durableId="214C5D91"/>
  <w16cid:commentId w16cid:paraId="796E26B0" w16cid:durableId="214C58BF"/>
  <w16cid:commentId w16cid:paraId="11CF29A6" w16cid:durableId="214C6F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33A8B" w14:textId="77777777" w:rsidR="002956B7" w:rsidRDefault="002956B7">
      <w:pPr>
        <w:rPr>
          <w:rFonts w:ascii="TimesLT" w:hAnsi="TimesLT"/>
          <w:lang w:val="en-US"/>
        </w:rPr>
      </w:pPr>
      <w:r>
        <w:rPr>
          <w:rFonts w:ascii="TimesLT" w:hAnsi="TimesLT"/>
          <w:lang w:val="en-US"/>
        </w:rPr>
        <w:separator/>
      </w:r>
    </w:p>
  </w:endnote>
  <w:endnote w:type="continuationSeparator" w:id="0">
    <w:p w14:paraId="20AAF781" w14:textId="77777777" w:rsidR="002956B7" w:rsidRDefault="002956B7">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9982"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F6CE904"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16C1"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F2AF4"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50AB0" w14:textId="77777777" w:rsidR="002956B7" w:rsidRDefault="002956B7">
      <w:pPr>
        <w:rPr>
          <w:rFonts w:ascii="TimesLT" w:hAnsi="TimesLT"/>
          <w:lang w:val="en-US"/>
        </w:rPr>
      </w:pPr>
      <w:r>
        <w:rPr>
          <w:rFonts w:ascii="TimesLT" w:hAnsi="TimesLT"/>
          <w:lang w:val="en-US"/>
        </w:rPr>
        <w:separator/>
      </w:r>
    </w:p>
  </w:footnote>
  <w:footnote w:type="continuationSeparator" w:id="0">
    <w:p w14:paraId="26A03841" w14:textId="77777777" w:rsidR="002956B7" w:rsidRDefault="002956B7">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BD373"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C5B9AD4"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92CA9"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E66398">
      <w:rPr>
        <w:noProof/>
        <w:szCs w:val="24"/>
        <w:lang w:val="en-US"/>
      </w:rPr>
      <w:t>4</w:t>
    </w:r>
    <w:r>
      <w:rPr>
        <w:szCs w:val="24"/>
        <w:lang w:val="en-US"/>
      </w:rPr>
      <w:fldChar w:fldCharType="end"/>
    </w:r>
  </w:p>
  <w:p w14:paraId="10D33AB2"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07668" w14:textId="77777777" w:rsidR="009A63C8" w:rsidRPr="009A63C8" w:rsidRDefault="009A63C8" w:rsidP="00383BCA">
    <w:pPr>
      <w:tabs>
        <w:tab w:val="center" w:pos="4153"/>
        <w:tab w:val="right" w:pos="7230"/>
      </w:tabs>
      <w:ind w:right="283"/>
      <w:rPr>
        <w:b/>
      </w:rPr>
    </w:pPr>
    <w:r>
      <w:rPr>
        <w:rFonts w:ascii="TimesLT" w:hAnsi="TimesLT"/>
      </w:rPr>
      <w:tab/>
    </w:r>
    <w:r w:rsidRPr="009A63C8">
      <w:rPr>
        <w:b/>
      </w:rPr>
      <w:t xml:space="preserve">                                                                                   </w:t>
    </w:r>
    <w:r>
      <w:rPr>
        <w:b/>
      </w:rPr>
      <w:t xml:space="preserve">                                </w:t>
    </w:r>
    <w:r w:rsidRPr="009A63C8">
      <w:rPr>
        <w:b/>
      </w:rPr>
      <w:t xml:space="preserve">Projekto </w:t>
    </w:r>
  </w:p>
  <w:p w14:paraId="740B7A0D" w14:textId="77777777" w:rsidR="009F2365" w:rsidRPr="009A63C8" w:rsidRDefault="009A63C8" w:rsidP="00383BCA">
    <w:pPr>
      <w:tabs>
        <w:tab w:val="center" w:pos="4153"/>
        <w:tab w:val="right" w:pos="7230"/>
      </w:tabs>
      <w:ind w:right="283"/>
      <w:jc w:val="right"/>
      <w:rPr>
        <w:b/>
      </w:rPr>
    </w:pPr>
    <w:r w:rsidRPr="009A63C8">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362ED"/>
    <w:rsid w:val="000413A1"/>
    <w:rsid w:val="00050328"/>
    <w:rsid w:val="00054155"/>
    <w:rsid w:val="000632C3"/>
    <w:rsid w:val="000733A8"/>
    <w:rsid w:val="00091D6A"/>
    <w:rsid w:val="00094361"/>
    <w:rsid w:val="00094E92"/>
    <w:rsid w:val="000974EE"/>
    <w:rsid w:val="000B0EB2"/>
    <w:rsid w:val="000B12B8"/>
    <w:rsid w:val="000C31FD"/>
    <w:rsid w:val="000C4BFD"/>
    <w:rsid w:val="000E3FCA"/>
    <w:rsid w:val="000F0712"/>
    <w:rsid w:val="000F3090"/>
    <w:rsid w:val="000F6B2A"/>
    <w:rsid w:val="000F7A7A"/>
    <w:rsid w:val="001034C4"/>
    <w:rsid w:val="00103CA4"/>
    <w:rsid w:val="00107AE9"/>
    <w:rsid w:val="001126D5"/>
    <w:rsid w:val="0012169C"/>
    <w:rsid w:val="0014131F"/>
    <w:rsid w:val="00152240"/>
    <w:rsid w:val="0016191C"/>
    <w:rsid w:val="001707D3"/>
    <w:rsid w:val="00170986"/>
    <w:rsid w:val="00176B73"/>
    <w:rsid w:val="001811F7"/>
    <w:rsid w:val="001814CD"/>
    <w:rsid w:val="00191E44"/>
    <w:rsid w:val="00193B96"/>
    <w:rsid w:val="001B5359"/>
    <w:rsid w:val="001C08FF"/>
    <w:rsid w:val="001C0D97"/>
    <w:rsid w:val="001C0EE6"/>
    <w:rsid w:val="001C3E6E"/>
    <w:rsid w:val="001E100F"/>
    <w:rsid w:val="001E58C2"/>
    <w:rsid w:val="001F356C"/>
    <w:rsid w:val="001F515B"/>
    <w:rsid w:val="00201C64"/>
    <w:rsid w:val="00203A26"/>
    <w:rsid w:val="00210382"/>
    <w:rsid w:val="00214926"/>
    <w:rsid w:val="00221C67"/>
    <w:rsid w:val="00244142"/>
    <w:rsid w:val="00247CAD"/>
    <w:rsid w:val="00252BB3"/>
    <w:rsid w:val="0026539B"/>
    <w:rsid w:val="00271F5E"/>
    <w:rsid w:val="002956B7"/>
    <w:rsid w:val="00296EB6"/>
    <w:rsid w:val="002A6D96"/>
    <w:rsid w:val="002B7AB5"/>
    <w:rsid w:val="002C0B9D"/>
    <w:rsid w:val="002D5356"/>
    <w:rsid w:val="002F4612"/>
    <w:rsid w:val="003031B8"/>
    <w:rsid w:val="00304BA6"/>
    <w:rsid w:val="00314EA0"/>
    <w:rsid w:val="00324A77"/>
    <w:rsid w:val="00331DA7"/>
    <w:rsid w:val="003364CC"/>
    <w:rsid w:val="00346B9F"/>
    <w:rsid w:val="003726DE"/>
    <w:rsid w:val="00383BCA"/>
    <w:rsid w:val="00387E20"/>
    <w:rsid w:val="00393128"/>
    <w:rsid w:val="003A4825"/>
    <w:rsid w:val="003B67A2"/>
    <w:rsid w:val="003C6951"/>
    <w:rsid w:val="003D06B3"/>
    <w:rsid w:val="003D2553"/>
    <w:rsid w:val="003D5C0A"/>
    <w:rsid w:val="003F30E8"/>
    <w:rsid w:val="003F3A72"/>
    <w:rsid w:val="004139A4"/>
    <w:rsid w:val="00417278"/>
    <w:rsid w:val="0042277C"/>
    <w:rsid w:val="004335A8"/>
    <w:rsid w:val="00437E98"/>
    <w:rsid w:val="00450AEF"/>
    <w:rsid w:val="00452B93"/>
    <w:rsid w:val="00453D6A"/>
    <w:rsid w:val="00462496"/>
    <w:rsid w:val="00467B79"/>
    <w:rsid w:val="00474814"/>
    <w:rsid w:val="0047523A"/>
    <w:rsid w:val="00476812"/>
    <w:rsid w:val="004870B6"/>
    <w:rsid w:val="00495EF0"/>
    <w:rsid w:val="004A692F"/>
    <w:rsid w:val="004B209E"/>
    <w:rsid w:val="004B5048"/>
    <w:rsid w:val="004C2F69"/>
    <w:rsid w:val="004C7955"/>
    <w:rsid w:val="004D4452"/>
    <w:rsid w:val="004D63A6"/>
    <w:rsid w:val="004D7720"/>
    <w:rsid w:val="004E39D3"/>
    <w:rsid w:val="004F522B"/>
    <w:rsid w:val="004F6466"/>
    <w:rsid w:val="004F695F"/>
    <w:rsid w:val="005062A5"/>
    <w:rsid w:val="005110DF"/>
    <w:rsid w:val="0053435C"/>
    <w:rsid w:val="005350FB"/>
    <w:rsid w:val="00541BFC"/>
    <w:rsid w:val="00550215"/>
    <w:rsid w:val="00550323"/>
    <w:rsid w:val="0055634A"/>
    <w:rsid w:val="00556369"/>
    <w:rsid w:val="00583A4F"/>
    <w:rsid w:val="005869FD"/>
    <w:rsid w:val="00586B8D"/>
    <w:rsid w:val="00590C49"/>
    <w:rsid w:val="005A6644"/>
    <w:rsid w:val="005B3F1A"/>
    <w:rsid w:val="005D20E5"/>
    <w:rsid w:val="005D5421"/>
    <w:rsid w:val="005F506A"/>
    <w:rsid w:val="00605695"/>
    <w:rsid w:val="006077F9"/>
    <w:rsid w:val="006101DE"/>
    <w:rsid w:val="00615EA7"/>
    <w:rsid w:val="00621494"/>
    <w:rsid w:val="00621669"/>
    <w:rsid w:val="00633094"/>
    <w:rsid w:val="006331AE"/>
    <w:rsid w:val="00643F4E"/>
    <w:rsid w:val="006463D3"/>
    <w:rsid w:val="006517CC"/>
    <w:rsid w:val="00657EF8"/>
    <w:rsid w:val="00676468"/>
    <w:rsid w:val="006766E1"/>
    <w:rsid w:val="00681312"/>
    <w:rsid w:val="006B241B"/>
    <w:rsid w:val="006C06B0"/>
    <w:rsid w:val="006C0D75"/>
    <w:rsid w:val="006C49AA"/>
    <w:rsid w:val="006D0DA7"/>
    <w:rsid w:val="006D4378"/>
    <w:rsid w:val="006D7EB9"/>
    <w:rsid w:val="006E0975"/>
    <w:rsid w:val="006E3D08"/>
    <w:rsid w:val="006F31F7"/>
    <w:rsid w:val="007156CF"/>
    <w:rsid w:val="00720804"/>
    <w:rsid w:val="00725F3D"/>
    <w:rsid w:val="00733CB1"/>
    <w:rsid w:val="00743CD3"/>
    <w:rsid w:val="00744BA5"/>
    <w:rsid w:val="00752004"/>
    <w:rsid w:val="00762E9E"/>
    <w:rsid w:val="00766D77"/>
    <w:rsid w:val="00797A41"/>
    <w:rsid w:val="007D076F"/>
    <w:rsid w:val="007D1BC9"/>
    <w:rsid w:val="007E1163"/>
    <w:rsid w:val="007F06E3"/>
    <w:rsid w:val="007F1139"/>
    <w:rsid w:val="00811BE4"/>
    <w:rsid w:val="0081250F"/>
    <w:rsid w:val="00813F05"/>
    <w:rsid w:val="00816D23"/>
    <w:rsid w:val="00821BE6"/>
    <w:rsid w:val="00826CF0"/>
    <w:rsid w:val="0083180E"/>
    <w:rsid w:val="00837AA9"/>
    <w:rsid w:val="0084663C"/>
    <w:rsid w:val="00847219"/>
    <w:rsid w:val="008508E0"/>
    <w:rsid w:val="00853C1B"/>
    <w:rsid w:val="00864CC5"/>
    <w:rsid w:val="008A1965"/>
    <w:rsid w:val="008A2D6F"/>
    <w:rsid w:val="008A602A"/>
    <w:rsid w:val="008B20D7"/>
    <w:rsid w:val="008B4EB9"/>
    <w:rsid w:val="008B6CC8"/>
    <w:rsid w:val="008C1AE7"/>
    <w:rsid w:val="008C1C06"/>
    <w:rsid w:val="008D402E"/>
    <w:rsid w:val="008F501E"/>
    <w:rsid w:val="008F6E93"/>
    <w:rsid w:val="009020EB"/>
    <w:rsid w:val="009069BF"/>
    <w:rsid w:val="009153F8"/>
    <w:rsid w:val="00917098"/>
    <w:rsid w:val="00920A36"/>
    <w:rsid w:val="00936017"/>
    <w:rsid w:val="00953261"/>
    <w:rsid w:val="0097781C"/>
    <w:rsid w:val="009873DE"/>
    <w:rsid w:val="0099532A"/>
    <w:rsid w:val="009960D7"/>
    <w:rsid w:val="009A63C8"/>
    <w:rsid w:val="009B1259"/>
    <w:rsid w:val="009B236D"/>
    <w:rsid w:val="009C17DE"/>
    <w:rsid w:val="009C5E57"/>
    <w:rsid w:val="009D162A"/>
    <w:rsid w:val="009D37F5"/>
    <w:rsid w:val="009D7A06"/>
    <w:rsid w:val="009D7B6D"/>
    <w:rsid w:val="009E4F2E"/>
    <w:rsid w:val="009F2365"/>
    <w:rsid w:val="009F5AE2"/>
    <w:rsid w:val="00A37E1A"/>
    <w:rsid w:val="00A40306"/>
    <w:rsid w:val="00A517AD"/>
    <w:rsid w:val="00A57D08"/>
    <w:rsid w:val="00A6448C"/>
    <w:rsid w:val="00A72F56"/>
    <w:rsid w:val="00A745F5"/>
    <w:rsid w:val="00A90ABD"/>
    <w:rsid w:val="00AA1173"/>
    <w:rsid w:val="00AA4B1B"/>
    <w:rsid w:val="00AA7C22"/>
    <w:rsid w:val="00AB16FE"/>
    <w:rsid w:val="00AB1D8A"/>
    <w:rsid w:val="00AD20CB"/>
    <w:rsid w:val="00AD6727"/>
    <w:rsid w:val="00AE57EB"/>
    <w:rsid w:val="00AE60CC"/>
    <w:rsid w:val="00AF052E"/>
    <w:rsid w:val="00AF6FD0"/>
    <w:rsid w:val="00B0030B"/>
    <w:rsid w:val="00B04342"/>
    <w:rsid w:val="00B12AC7"/>
    <w:rsid w:val="00B1654C"/>
    <w:rsid w:val="00B24360"/>
    <w:rsid w:val="00B25C87"/>
    <w:rsid w:val="00B31482"/>
    <w:rsid w:val="00B340E6"/>
    <w:rsid w:val="00B378CE"/>
    <w:rsid w:val="00B37D32"/>
    <w:rsid w:val="00B42AF4"/>
    <w:rsid w:val="00B6008F"/>
    <w:rsid w:val="00B615BB"/>
    <w:rsid w:val="00B656FF"/>
    <w:rsid w:val="00B76EAF"/>
    <w:rsid w:val="00B86ACE"/>
    <w:rsid w:val="00B916D7"/>
    <w:rsid w:val="00BA38F2"/>
    <w:rsid w:val="00BB04D3"/>
    <w:rsid w:val="00BB30DA"/>
    <w:rsid w:val="00BB33DF"/>
    <w:rsid w:val="00BB4BDD"/>
    <w:rsid w:val="00BB62AF"/>
    <w:rsid w:val="00BC318F"/>
    <w:rsid w:val="00BE577E"/>
    <w:rsid w:val="00BE60A2"/>
    <w:rsid w:val="00BF1C1F"/>
    <w:rsid w:val="00C2280F"/>
    <w:rsid w:val="00C32ABF"/>
    <w:rsid w:val="00C3464F"/>
    <w:rsid w:val="00C3504B"/>
    <w:rsid w:val="00C46F7A"/>
    <w:rsid w:val="00C53BC8"/>
    <w:rsid w:val="00C569F2"/>
    <w:rsid w:val="00C6124F"/>
    <w:rsid w:val="00C62B09"/>
    <w:rsid w:val="00C72C39"/>
    <w:rsid w:val="00C8035D"/>
    <w:rsid w:val="00C927C1"/>
    <w:rsid w:val="00C93708"/>
    <w:rsid w:val="00C94BC2"/>
    <w:rsid w:val="00CA145D"/>
    <w:rsid w:val="00CA6EB4"/>
    <w:rsid w:val="00CB53F9"/>
    <w:rsid w:val="00CB5BD0"/>
    <w:rsid w:val="00CB61C7"/>
    <w:rsid w:val="00CB6CD1"/>
    <w:rsid w:val="00CD3335"/>
    <w:rsid w:val="00CD4F2F"/>
    <w:rsid w:val="00CE07AE"/>
    <w:rsid w:val="00CF3027"/>
    <w:rsid w:val="00D27D52"/>
    <w:rsid w:val="00D31B22"/>
    <w:rsid w:val="00D32FA4"/>
    <w:rsid w:val="00D36B6A"/>
    <w:rsid w:val="00D4055B"/>
    <w:rsid w:val="00D40D0C"/>
    <w:rsid w:val="00D422C5"/>
    <w:rsid w:val="00D55692"/>
    <w:rsid w:val="00D57B85"/>
    <w:rsid w:val="00D604D9"/>
    <w:rsid w:val="00D62D7B"/>
    <w:rsid w:val="00D771F6"/>
    <w:rsid w:val="00D84BAE"/>
    <w:rsid w:val="00D96B57"/>
    <w:rsid w:val="00DC225B"/>
    <w:rsid w:val="00DE266F"/>
    <w:rsid w:val="00DF1B90"/>
    <w:rsid w:val="00E05DF4"/>
    <w:rsid w:val="00E072DA"/>
    <w:rsid w:val="00E21895"/>
    <w:rsid w:val="00E35833"/>
    <w:rsid w:val="00E66398"/>
    <w:rsid w:val="00E80CB7"/>
    <w:rsid w:val="00E82F08"/>
    <w:rsid w:val="00E8414F"/>
    <w:rsid w:val="00E85892"/>
    <w:rsid w:val="00E95132"/>
    <w:rsid w:val="00E97B1F"/>
    <w:rsid w:val="00EA528F"/>
    <w:rsid w:val="00EA5D37"/>
    <w:rsid w:val="00EA627F"/>
    <w:rsid w:val="00EB5116"/>
    <w:rsid w:val="00EB7441"/>
    <w:rsid w:val="00EC7A45"/>
    <w:rsid w:val="00ED69EA"/>
    <w:rsid w:val="00EF7E32"/>
    <w:rsid w:val="00F00CC3"/>
    <w:rsid w:val="00F10A66"/>
    <w:rsid w:val="00F22F4D"/>
    <w:rsid w:val="00F32FA3"/>
    <w:rsid w:val="00F451CD"/>
    <w:rsid w:val="00F47DB9"/>
    <w:rsid w:val="00F53379"/>
    <w:rsid w:val="00F53413"/>
    <w:rsid w:val="00F55C4D"/>
    <w:rsid w:val="00F56286"/>
    <w:rsid w:val="00F5731C"/>
    <w:rsid w:val="00F57699"/>
    <w:rsid w:val="00F610FE"/>
    <w:rsid w:val="00F84A83"/>
    <w:rsid w:val="00F92BA9"/>
    <w:rsid w:val="00FA44AA"/>
    <w:rsid w:val="00FA491A"/>
    <w:rsid w:val="00FB21E0"/>
    <w:rsid w:val="00FC52FA"/>
    <w:rsid w:val="00FD1DBA"/>
    <w:rsid w:val="00FD2447"/>
    <w:rsid w:val="00FD2A9F"/>
    <w:rsid w:val="00FD2D65"/>
    <w:rsid w:val="00FD7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81B70"/>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7523A"/>
    <w:rPr>
      <w:sz w:val="16"/>
      <w:szCs w:val="16"/>
    </w:rPr>
  </w:style>
  <w:style w:type="paragraph" w:styleId="Komentarotekstas">
    <w:name w:val="annotation text"/>
    <w:basedOn w:val="prastasis"/>
    <w:link w:val="KomentarotekstasDiagrama"/>
    <w:semiHidden/>
    <w:unhideWhenUsed/>
    <w:rsid w:val="0047523A"/>
    <w:rPr>
      <w:sz w:val="20"/>
    </w:rPr>
  </w:style>
  <w:style w:type="character" w:customStyle="1" w:styleId="KomentarotekstasDiagrama">
    <w:name w:val="Komentaro tekstas Diagrama"/>
    <w:basedOn w:val="Numatytasispastraiposriftas"/>
    <w:link w:val="Komentarotekstas"/>
    <w:semiHidden/>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C2E6-4206-4066-AFCA-B11E26E0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7647</Words>
  <Characters>4360</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11984</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2019-10-14T09:47:00Z</dcterms:created>
  <dc:creator>Inga Čypiene</dc:creator>
  <cp:lastModifiedBy>Inga Čypienė</cp:lastModifiedBy>
  <cp:lastPrinted>2019-10-12T08:53:00Z</cp:lastPrinted>
  <dcterms:modified xsi:type="dcterms:W3CDTF">2019-10-14T09:51:00Z</dcterms:modified>
  <cp:revision>3</cp:revision>
</cp:coreProperties>
</file>