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6A" w:rsidRPr="008D6FD1" w:rsidRDefault="00735F6A" w:rsidP="00735F6A">
      <w:pPr>
        <w:spacing w:after="0"/>
        <w:jc w:val="center"/>
        <w:rPr>
          <w:rFonts w:ascii="Times New Roman" w:hAnsi="Times New Roman"/>
          <w:b/>
          <w:color w:val="000000"/>
          <w:sz w:val="24"/>
          <w:szCs w:val="24"/>
        </w:rPr>
      </w:pPr>
      <w:r w:rsidRPr="008D6FD1">
        <w:rPr>
          <w:rFonts w:ascii="Times New Roman" w:hAnsi="Times New Roman"/>
          <w:b/>
          <w:color w:val="000000"/>
          <w:sz w:val="24"/>
          <w:szCs w:val="24"/>
        </w:rPr>
        <w:t>NUMATOMO TEISINIO REGULIAVIMO POVEIKIO VERTINIMO PAŽYMA</w:t>
      </w:r>
    </w:p>
    <w:p w:rsidR="0005529F" w:rsidRPr="008D6FD1" w:rsidRDefault="0005529F" w:rsidP="00B9167D">
      <w:pPr>
        <w:spacing w:after="0"/>
        <w:jc w:val="center"/>
        <w:rPr>
          <w:rFonts w:ascii="Times New Roman" w:hAnsi="Times New Roman"/>
          <w:b/>
          <w:color w:val="000000"/>
          <w:sz w:val="24"/>
          <w:szCs w:val="24"/>
        </w:rPr>
      </w:pPr>
    </w:p>
    <w:tbl>
      <w:tblPr>
        <w:tblW w:w="9781" w:type="dxa"/>
        <w:jc w:val="center"/>
        <w:tblLook w:val="00A0" w:firstRow="1" w:lastRow="0" w:firstColumn="1" w:lastColumn="0" w:noHBand="0" w:noVBand="0"/>
      </w:tblPr>
      <w:tblGrid>
        <w:gridCol w:w="2268"/>
        <w:gridCol w:w="7513"/>
      </w:tblGrid>
      <w:tr w:rsidR="00C15ADA" w:rsidRPr="007A2F19" w:rsidTr="00F81AAB">
        <w:trPr>
          <w:jc w:val="center"/>
        </w:trPr>
        <w:tc>
          <w:tcPr>
            <w:tcW w:w="2268" w:type="dxa"/>
            <w:shd w:val="clear" w:color="auto" w:fill="auto"/>
            <w:hideMark/>
          </w:tcPr>
          <w:p w:rsidR="00C15ADA" w:rsidRPr="007A2F19" w:rsidRDefault="00C15ADA" w:rsidP="00040982">
            <w:pPr>
              <w:spacing w:after="0"/>
              <w:rPr>
                <w:rFonts w:ascii="Times New Roman" w:hAnsi="Times New Roman"/>
                <w:sz w:val="24"/>
                <w:szCs w:val="24"/>
                <w:shd w:val="clear" w:color="auto" w:fill="DBE5F1"/>
              </w:rPr>
            </w:pPr>
            <w:r w:rsidRPr="007A2F19">
              <w:rPr>
                <w:rFonts w:ascii="Times New Roman" w:hAnsi="Times New Roman"/>
                <w:b/>
                <w:sz w:val="24"/>
                <w:szCs w:val="24"/>
              </w:rPr>
              <w:t>Projekto</w:t>
            </w:r>
            <w:r w:rsidRPr="007A2F19">
              <w:rPr>
                <w:rFonts w:ascii="Times New Roman" w:hAnsi="Times New Roman"/>
                <w:b/>
                <w:sz w:val="24"/>
                <w:szCs w:val="24"/>
                <w:shd w:val="clear" w:color="auto" w:fill="DBE5F1"/>
              </w:rPr>
              <w:t xml:space="preserve"> </w:t>
            </w:r>
            <w:r w:rsidRPr="007A2F19">
              <w:rPr>
                <w:rFonts w:ascii="Times New Roman" w:hAnsi="Times New Roman"/>
                <w:b/>
                <w:sz w:val="24"/>
                <w:szCs w:val="24"/>
              </w:rPr>
              <w:t>pavadinimas</w:t>
            </w:r>
          </w:p>
        </w:tc>
        <w:tc>
          <w:tcPr>
            <w:tcW w:w="7513" w:type="dxa"/>
            <w:shd w:val="clear" w:color="auto" w:fill="auto"/>
          </w:tcPr>
          <w:p w:rsidR="00664346" w:rsidRPr="007A2F19" w:rsidRDefault="007A408D" w:rsidP="00040982">
            <w:pPr>
              <w:spacing w:after="0"/>
              <w:jc w:val="both"/>
              <w:rPr>
                <w:rFonts w:ascii="Times New Roman" w:hAnsi="Times New Roman"/>
                <w:sz w:val="24"/>
                <w:szCs w:val="24"/>
              </w:rPr>
            </w:pPr>
            <w:r w:rsidRPr="007A2F19">
              <w:rPr>
                <w:rFonts w:ascii="Times New Roman" w:hAnsi="Times New Roman"/>
                <w:color w:val="000000"/>
                <w:sz w:val="24"/>
                <w:szCs w:val="24"/>
              </w:rPr>
              <w:t xml:space="preserve">Lietuvos Respublikos Vyriausybės nutarimo „Dėl </w:t>
            </w:r>
            <w:r w:rsidR="00F00896" w:rsidRPr="007A2F19">
              <w:rPr>
                <w:rFonts w:ascii="Times New Roman" w:hAnsi="Times New Roman"/>
                <w:color w:val="000000"/>
                <w:sz w:val="24"/>
                <w:szCs w:val="24"/>
              </w:rPr>
              <w:t xml:space="preserve">Lietuvos Respublikos </w:t>
            </w:r>
            <w:r w:rsidRPr="007A2F19">
              <w:rPr>
                <w:rFonts w:ascii="Times New Roman" w:hAnsi="Times New Roman"/>
                <w:color w:val="000000"/>
                <w:sz w:val="24"/>
                <w:szCs w:val="24"/>
              </w:rPr>
              <w:t xml:space="preserve">Vyriausybės 2005 m. balandžio 21 d. nutarimo Nr. 447 „Dėl Lietuvos Respublikos kelių priežiūros ir plėtros programos finansavimo įstatymo įgyvendinimo“ pakeitimo“ projektas (toliau – nutarimo projektas). </w:t>
            </w:r>
          </w:p>
        </w:tc>
      </w:tr>
    </w:tbl>
    <w:p w:rsidR="00C15ADA" w:rsidRPr="00040982" w:rsidRDefault="00C15ADA" w:rsidP="00040982">
      <w:pPr>
        <w:shd w:val="clear" w:color="auto" w:fill="FFFFFF"/>
        <w:spacing w:after="0"/>
        <w:rPr>
          <w:rFonts w:ascii="Times New Roman" w:hAnsi="Times New Roman"/>
          <w:sz w:val="16"/>
          <w:szCs w:val="16"/>
        </w:rPr>
      </w:pPr>
    </w:p>
    <w:tbl>
      <w:tblPr>
        <w:tblW w:w="9781" w:type="dxa"/>
        <w:jc w:val="center"/>
        <w:tblLook w:val="00A0" w:firstRow="1" w:lastRow="0" w:firstColumn="1" w:lastColumn="0" w:noHBand="0" w:noVBand="0"/>
      </w:tblPr>
      <w:tblGrid>
        <w:gridCol w:w="2268"/>
        <w:gridCol w:w="7513"/>
      </w:tblGrid>
      <w:tr w:rsidR="00C15ADA" w:rsidRPr="007A2F19" w:rsidTr="00F81AAB">
        <w:trPr>
          <w:jc w:val="center"/>
        </w:trPr>
        <w:tc>
          <w:tcPr>
            <w:tcW w:w="2268" w:type="dxa"/>
            <w:shd w:val="clear" w:color="auto" w:fill="auto"/>
            <w:hideMark/>
          </w:tcPr>
          <w:p w:rsidR="00C15ADA" w:rsidRPr="007A2F19" w:rsidRDefault="00C15ADA" w:rsidP="00040982">
            <w:pPr>
              <w:shd w:val="clear" w:color="auto" w:fill="FFFFFF"/>
              <w:spacing w:after="0"/>
              <w:rPr>
                <w:rFonts w:ascii="Times New Roman" w:hAnsi="Times New Roman"/>
                <w:sz w:val="24"/>
                <w:szCs w:val="24"/>
              </w:rPr>
            </w:pPr>
            <w:r w:rsidRPr="007A2F19">
              <w:rPr>
                <w:rFonts w:ascii="Times New Roman" w:hAnsi="Times New Roman"/>
                <w:b/>
                <w:sz w:val="24"/>
                <w:szCs w:val="24"/>
              </w:rPr>
              <w:t>Projekto rengėjas</w:t>
            </w:r>
          </w:p>
        </w:tc>
        <w:tc>
          <w:tcPr>
            <w:tcW w:w="7513" w:type="dxa"/>
            <w:shd w:val="clear" w:color="auto" w:fill="auto"/>
            <w:hideMark/>
          </w:tcPr>
          <w:p w:rsidR="00C15ADA" w:rsidRPr="007A2F19" w:rsidRDefault="00C15ADA" w:rsidP="00040982">
            <w:pPr>
              <w:shd w:val="clear" w:color="auto" w:fill="FFFFFF"/>
              <w:spacing w:after="0"/>
              <w:jc w:val="both"/>
              <w:rPr>
                <w:rFonts w:ascii="Times New Roman" w:hAnsi="Times New Roman"/>
                <w:b/>
                <w:sz w:val="24"/>
                <w:szCs w:val="24"/>
              </w:rPr>
            </w:pPr>
            <w:r w:rsidRPr="007A2F19">
              <w:rPr>
                <w:rFonts w:ascii="Times New Roman" w:hAnsi="Times New Roman"/>
                <w:sz w:val="24"/>
                <w:szCs w:val="24"/>
              </w:rPr>
              <w:t xml:space="preserve">Lietuvos Respublikos </w:t>
            </w:r>
            <w:r w:rsidR="007A408D" w:rsidRPr="007A2F19">
              <w:rPr>
                <w:rFonts w:ascii="Times New Roman" w:hAnsi="Times New Roman"/>
                <w:sz w:val="24"/>
                <w:szCs w:val="24"/>
              </w:rPr>
              <w:t>susisiekimo</w:t>
            </w:r>
            <w:r w:rsidRPr="007A2F19">
              <w:rPr>
                <w:rFonts w:ascii="Times New Roman" w:hAnsi="Times New Roman"/>
                <w:sz w:val="24"/>
                <w:szCs w:val="24"/>
              </w:rPr>
              <w:t xml:space="preserve"> ministerija</w:t>
            </w:r>
          </w:p>
        </w:tc>
      </w:tr>
    </w:tbl>
    <w:p w:rsidR="00C15ADA" w:rsidRPr="00040982" w:rsidRDefault="00C15ADA" w:rsidP="00040982">
      <w:pPr>
        <w:spacing w:after="0"/>
        <w:rPr>
          <w:rFonts w:ascii="Times New Roman" w:hAnsi="Times New Roman"/>
          <w:sz w:val="16"/>
          <w:szCs w:val="16"/>
        </w:rPr>
      </w:pPr>
    </w:p>
    <w:tbl>
      <w:tblPr>
        <w:tblW w:w="9782" w:type="dxa"/>
        <w:jc w:val="center"/>
        <w:tblLook w:val="00A0" w:firstRow="1" w:lastRow="0" w:firstColumn="1" w:lastColumn="0" w:noHBand="0" w:noVBand="0"/>
      </w:tblPr>
      <w:tblGrid>
        <w:gridCol w:w="2268"/>
        <w:gridCol w:w="7514"/>
      </w:tblGrid>
      <w:tr w:rsidR="00C15ADA" w:rsidRPr="007A2F19" w:rsidTr="00040982">
        <w:trPr>
          <w:jc w:val="center"/>
        </w:trPr>
        <w:tc>
          <w:tcPr>
            <w:tcW w:w="2268" w:type="dxa"/>
            <w:shd w:val="clear" w:color="auto" w:fill="auto"/>
            <w:hideMark/>
          </w:tcPr>
          <w:p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Projekto tikslas</w:t>
            </w:r>
          </w:p>
        </w:tc>
        <w:tc>
          <w:tcPr>
            <w:tcW w:w="7514" w:type="dxa"/>
            <w:shd w:val="clear" w:color="auto" w:fill="auto"/>
            <w:hideMark/>
          </w:tcPr>
          <w:p w:rsidR="00C15ADA" w:rsidRPr="007A2F19" w:rsidRDefault="007A2F19" w:rsidP="009504E9">
            <w:pPr>
              <w:spacing w:after="0"/>
              <w:jc w:val="both"/>
              <w:rPr>
                <w:rFonts w:ascii="Times New Roman" w:eastAsia="Times New Roman" w:hAnsi="Times New Roman"/>
                <w:sz w:val="24"/>
                <w:szCs w:val="24"/>
                <w:lang w:eastAsia="lt-LT"/>
              </w:rPr>
            </w:pPr>
            <w:r w:rsidRPr="007A2F19">
              <w:rPr>
                <w:rFonts w:ascii="Times New Roman" w:hAnsi="Times New Roman"/>
                <w:sz w:val="24"/>
                <w:szCs w:val="24"/>
              </w:rPr>
              <w:t xml:space="preserve">Nutarimo projekto tikslas – </w:t>
            </w:r>
            <w:r w:rsidR="0080763B" w:rsidRPr="00505468">
              <w:rPr>
                <w:rFonts w:ascii="Times New Roman" w:hAnsi="Times New Roman"/>
                <w:color w:val="000000" w:themeColor="text1"/>
                <w:sz w:val="24"/>
                <w:szCs w:val="24"/>
                <w:lang w:eastAsia="lt-LT"/>
              </w:rPr>
              <w:t xml:space="preserve">įgyvendinti </w:t>
            </w:r>
            <w:r w:rsidR="0080763B" w:rsidRPr="00505468">
              <w:rPr>
                <w:rFonts w:ascii="Times New Roman" w:hAnsi="Times New Roman"/>
                <w:color w:val="000000" w:themeColor="text1"/>
                <w:sz w:val="24"/>
                <w:szCs w:val="24"/>
              </w:rPr>
              <w:t xml:space="preserve">Lietuvos Respublikos Vyriausybės 1999 m. birželio 9 d. nutarimo Nr. 757 „Dėl Valstybinės reikšmės automobilių kelių sąrašo patvirtinimo“ </w:t>
            </w:r>
            <w:r w:rsidR="009504E9" w:rsidRPr="009504E9">
              <w:rPr>
                <w:rFonts w:ascii="Times New Roman" w:hAnsi="Times New Roman"/>
                <w:color w:val="000000" w:themeColor="text1"/>
                <w:sz w:val="24"/>
                <w:szCs w:val="24"/>
              </w:rPr>
              <w:t>(toliau – Nutarimas Nr.</w:t>
            </w:r>
            <w:r w:rsidR="009504E9" w:rsidRPr="00BB79FE">
              <w:rPr>
                <w:rFonts w:ascii="Times New Roman" w:hAnsi="Times New Roman"/>
                <w:color w:val="000000" w:themeColor="text1"/>
                <w:sz w:val="24"/>
                <w:szCs w:val="24"/>
              </w:rPr>
              <w:t xml:space="preserve"> 757</w:t>
            </w:r>
            <w:r w:rsidR="0080763B" w:rsidRPr="00505468">
              <w:rPr>
                <w:rFonts w:ascii="Times New Roman" w:hAnsi="Times New Roman"/>
                <w:color w:val="000000" w:themeColor="text1"/>
                <w:sz w:val="24"/>
                <w:szCs w:val="24"/>
              </w:rPr>
              <w:t xml:space="preserve">), Lietuvos Respublikos kelių priežiūros ir plėtros programos finansavimo įstatymo Nr. VIII-2032 6 ir 9 straipsnių pakeitimo įstatymo (toliau – Įstatymas Nr. XIII-2119) ir Lietuvos Respublikos Vyriausybės 2016 m. sausio 6 d. nutarimo Nr. 5 „Dėl Sostinės regiono ir Vidurio ir vakarų Lietuvos regiono sudarymo“ (toliau – Nutarimas Nr. 5) nuostatas. </w:t>
            </w:r>
          </w:p>
        </w:tc>
      </w:tr>
    </w:tbl>
    <w:p w:rsidR="00C15ADA" w:rsidRPr="007A2F19" w:rsidRDefault="00C15ADA" w:rsidP="00040982">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7A2F19" w:rsidTr="00B92F5C">
        <w:trPr>
          <w:trHeight w:val="415"/>
          <w:jc w:val="center"/>
        </w:trPr>
        <w:tc>
          <w:tcPr>
            <w:tcW w:w="2267" w:type="dxa"/>
            <w:shd w:val="clear" w:color="auto" w:fill="FFFFFF"/>
          </w:tcPr>
          <w:p w:rsidR="00C15ADA" w:rsidRPr="007A2F19" w:rsidRDefault="00C15ADA" w:rsidP="00040982">
            <w:pPr>
              <w:shd w:val="clear" w:color="auto" w:fill="FFFFFF"/>
              <w:spacing w:after="0"/>
              <w:rPr>
                <w:rFonts w:ascii="Times New Roman" w:hAnsi="Times New Roman"/>
                <w:sz w:val="24"/>
                <w:szCs w:val="24"/>
              </w:rPr>
            </w:pPr>
          </w:p>
        </w:tc>
        <w:tc>
          <w:tcPr>
            <w:tcW w:w="7371" w:type="dxa"/>
            <w:shd w:val="clear" w:color="auto" w:fill="FFFFFF"/>
            <w:hideMark/>
          </w:tcPr>
          <w:p w:rsidR="00C15ADA" w:rsidRPr="007A2F19" w:rsidRDefault="00C15ADA" w:rsidP="00040982">
            <w:pPr>
              <w:shd w:val="clear" w:color="auto" w:fill="FFFFFF"/>
              <w:spacing w:after="0"/>
              <w:jc w:val="center"/>
              <w:rPr>
                <w:rFonts w:ascii="Times New Roman" w:hAnsi="Times New Roman"/>
                <w:b/>
                <w:sz w:val="24"/>
                <w:szCs w:val="24"/>
              </w:rPr>
            </w:pPr>
            <w:r w:rsidRPr="007A2F19">
              <w:rPr>
                <w:rFonts w:ascii="Times New Roman" w:hAnsi="Times New Roman"/>
                <w:b/>
                <w:sz w:val="24"/>
                <w:szCs w:val="24"/>
              </w:rPr>
              <w:t xml:space="preserve">Siūlomo projekto poveikio įvertinimas </w:t>
            </w:r>
          </w:p>
        </w:tc>
      </w:tr>
      <w:tr w:rsidR="00C15ADA" w:rsidRPr="007A2F19" w:rsidTr="00B92F5C">
        <w:trPr>
          <w:jc w:val="center"/>
        </w:trPr>
        <w:tc>
          <w:tcPr>
            <w:tcW w:w="2268" w:type="dxa"/>
            <w:shd w:val="clear" w:color="auto" w:fill="FFFFFF"/>
          </w:tcPr>
          <w:p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 xml:space="preserve">Poveikis atitinkamai </w:t>
            </w:r>
          </w:p>
          <w:p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sričiai</w:t>
            </w:r>
          </w:p>
        </w:tc>
        <w:tc>
          <w:tcPr>
            <w:tcW w:w="7371" w:type="dxa"/>
            <w:shd w:val="clear" w:color="auto" w:fill="FFFFFF"/>
          </w:tcPr>
          <w:p w:rsidR="0080763B" w:rsidRDefault="00505468" w:rsidP="00040982">
            <w:pPr>
              <w:spacing w:after="0"/>
              <w:jc w:val="both"/>
              <w:rPr>
                <w:rFonts w:ascii="Times New Roman" w:hAnsi="Times New Roman"/>
                <w:sz w:val="24"/>
                <w:szCs w:val="24"/>
              </w:rPr>
            </w:pPr>
            <w:r w:rsidRPr="00505468">
              <w:rPr>
                <w:rFonts w:ascii="Times New Roman" w:hAnsi="Times New Roman"/>
                <w:sz w:val="24"/>
                <w:szCs w:val="24"/>
              </w:rPr>
              <w:t xml:space="preserve">Atsižvelgiant į Nutarimu Nr. 757 patvirtinto valstybinės reikšmės automobilių kelių sąrašo pakeitimus, siūloma patikslinti magistralinių kelių, kuriais sumokėję kelių naudotojo mokestį įgyja teisę važiuoti kelių naudotojai, ilgius.  </w:t>
            </w:r>
          </w:p>
          <w:p w:rsidR="00505468" w:rsidRDefault="00505468" w:rsidP="00040982">
            <w:pPr>
              <w:spacing w:after="0"/>
              <w:jc w:val="both"/>
              <w:rPr>
                <w:rFonts w:ascii="Times New Roman" w:hAnsi="Times New Roman"/>
                <w:sz w:val="24"/>
                <w:szCs w:val="24"/>
              </w:rPr>
            </w:pPr>
          </w:p>
          <w:p w:rsidR="00C15ADA" w:rsidRDefault="004A38EB" w:rsidP="00040982">
            <w:pPr>
              <w:spacing w:after="0"/>
              <w:jc w:val="both"/>
              <w:rPr>
                <w:rFonts w:ascii="Times New Roman" w:hAnsi="Times New Roman"/>
                <w:sz w:val="24"/>
                <w:szCs w:val="24"/>
              </w:rPr>
            </w:pPr>
            <w:r w:rsidRPr="007A2F19">
              <w:rPr>
                <w:rFonts w:ascii="Times New Roman" w:hAnsi="Times New Roman"/>
                <w:sz w:val="24"/>
                <w:szCs w:val="24"/>
              </w:rPr>
              <w:t>Įgyvendinant Įstatymo Nr. XIII-2119 nuostatas, siūloma atlikti redakcinio pobūdžio pakeitimus, taip pat paskatinti savivaldybių administracijas aktyviau registruoti vietinės reikšmės kelius</w:t>
            </w:r>
            <w:r w:rsidR="00C964FE" w:rsidRPr="007A2F19">
              <w:rPr>
                <w:rFonts w:ascii="Times New Roman" w:hAnsi="Times New Roman"/>
                <w:sz w:val="24"/>
                <w:szCs w:val="24"/>
              </w:rPr>
              <w:t xml:space="preserve"> ir taip</w:t>
            </w:r>
            <w:r w:rsidRPr="007A2F19">
              <w:rPr>
                <w:rFonts w:ascii="Times New Roman" w:hAnsi="Times New Roman"/>
                <w:sz w:val="24"/>
                <w:szCs w:val="24"/>
              </w:rPr>
              <w:t xml:space="preserve"> stiprint</w:t>
            </w:r>
            <w:r w:rsidR="00C964FE" w:rsidRPr="007A2F19">
              <w:rPr>
                <w:rFonts w:ascii="Times New Roman" w:hAnsi="Times New Roman"/>
                <w:sz w:val="24"/>
                <w:szCs w:val="24"/>
              </w:rPr>
              <w:t>i</w:t>
            </w:r>
            <w:r w:rsidRPr="007A2F19">
              <w:rPr>
                <w:rFonts w:ascii="Times New Roman" w:hAnsi="Times New Roman"/>
                <w:sz w:val="24"/>
                <w:szCs w:val="24"/>
              </w:rPr>
              <w:t xml:space="preserve"> savivaldą ir spr</w:t>
            </w:r>
            <w:r w:rsidR="00C964FE" w:rsidRPr="007A2F19">
              <w:rPr>
                <w:rFonts w:ascii="Times New Roman" w:hAnsi="Times New Roman"/>
                <w:sz w:val="24"/>
                <w:szCs w:val="24"/>
              </w:rPr>
              <w:t>ęsti</w:t>
            </w:r>
            <w:r w:rsidRPr="007A2F19">
              <w:rPr>
                <w:rFonts w:ascii="Times New Roman" w:hAnsi="Times New Roman"/>
                <w:sz w:val="24"/>
                <w:szCs w:val="24"/>
              </w:rPr>
              <w:t xml:space="preserve"> mėgėjų sodų kelių problemą. </w:t>
            </w:r>
            <w:r w:rsidR="00C20F3E" w:rsidRPr="007A2F19">
              <w:rPr>
                <w:rFonts w:ascii="Times New Roman" w:hAnsi="Times New Roman"/>
                <w:sz w:val="24"/>
                <w:szCs w:val="24"/>
              </w:rPr>
              <w:t xml:space="preserve">Pagal Lietuvos Respublikos Vyriausybės 2002 m. rugsėjo 10 d. nutarimu Nr. 1418 </w:t>
            </w:r>
            <w:r w:rsidR="006631A6" w:rsidRPr="007A2F19">
              <w:rPr>
                <w:rFonts w:ascii="Times New Roman" w:hAnsi="Times New Roman"/>
                <w:sz w:val="24"/>
                <w:szCs w:val="24"/>
              </w:rPr>
              <w:t xml:space="preserve">„Dėl Valstybinės žemės sklypų perdavimo valdyti, naudoti ir disponuoti jais patikėjimo teise savivaldybėms taisyklių patvirtinimo“ </w:t>
            </w:r>
            <w:r w:rsidR="00C20F3E" w:rsidRPr="007A2F19">
              <w:rPr>
                <w:rFonts w:ascii="Times New Roman" w:hAnsi="Times New Roman"/>
                <w:sz w:val="24"/>
                <w:szCs w:val="24"/>
              </w:rPr>
              <w:t xml:space="preserve">patvirtintas Valstybinės žemės sklypų perdavimo valdyti, naudoti ir disponuoti jais patikėjimo teise </w:t>
            </w:r>
            <w:r w:rsidR="00F00896" w:rsidRPr="007A2F19">
              <w:rPr>
                <w:rFonts w:ascii="Times New Roman" w:hAnsi="Times New Roman"/>
                <w:sz w:val="24"/>
                <w:szCs w:val="24"/>
              </w:rPr>
              <w:t xml:space="preserve">savivaldybėms taisykles </w:t>
            </w:r>
            <w:r w:rsidR="00C20F3E" w:rsidRPr="007A2F19">
              <w:rPr>
                <w:rFonts w:ascii="Times New Roman" w:hAnsi="Times New Roman"/>
                <w:sz w:val="24"/>
                <w:szCs w:val="24"/>
              </w:rPr>
              <w:t>gali būti perduodami tik suformuoti žemės sklypai pagal teisės aktų nustatyta tvarka parengtus ir patvirtintus detaliuosius planus arba žemės valdos projektus. Sodininkų bendrijos dažniausiai atsisako finansuoti keliais (gatvėmis) užimtų žemės sklypų kadastrinius matavimus, kadangi ši žemė su keliais (gatvėmis) nuosavybės teise priklauso ne sodininkų bendrijoms, o valstybei, be to, sodininkų bendrijos neturi lėšų šiems darbams atlikti. Programos finansavimo lėšomis būtų finansuojam</w:t>
            </w:r>
            <w:r w:rsidR="00B2700D" w:rsidRPr="007A2F19">
              <w:rPr>
                <w:rFonts w:ascii="Times New Roman" w:hAnsi="Times New Roman"/>
                <w:sz w:val="24"/>
                <w:szCs w:val="24"/>
              </w:rPr>
              <w:t>i</w:t>
            </w:r>
            <w:r w:rsidR="00C20F3E" w:rsidRPr="007A2F19">
              <w:rPr>
                <w:rFonts w:ascii="Times New Roman" w:hAnsi="Times New Roman"/>
                <w:sz w:val="24"/>
                <w:szCs w:val="24"/>
              </w:rPr>
              <w:t xml:space="preserve"> sodininkų bendrijų bendrojo naudojimo žemės sklypų, naudojamų keliams (gatvėms) eksploatuoti ar tiesti, ar žemės sklypų su juose esančiais keliais (gatvėmis) kadastrinių matavimų atlikim</w:t>
            </w:r>
            <w:r w:rsidR="00B2700D" w:rsidRPr="007A2F19">
              <w:rPr>
                <w:rFonts w:ascii="Times New Roman" w:hAnsi="Times New Roman"/>
                <w:sz w:val="24"/>
                <w:szCs w:val="24"/>
              </w:rPr>
              <w:t>o</w:t>
            </w:r>
            <w:r w:rsidR="00C20F3E" w:rsidRPr="007A2F19">
              <w:rPr>
                <w:rFonts w:ascii="Times New Roman" w:hAnsi="Times New Roman"/>
                <w:sz w:val="24"/>
                <w:szCs w:val="24"/>
              </w:rPr>
              <w:t>, įregistravim</w:t>
            </w:r>
            <w:r w:rsidR="00B2700D" w:rsidRPr="007A2F19">
              <w:rPr>
                <w:rFonts w:ascii="Times New Roman" w:hAnsi="Times New Roman"/>
                <w:sz w:val="24"/>
                <w:szCs w:val="24"/>
              </w:rPr>
              <w:t>o</w:t>
            </w:r>
            <w:r w:rsidR="00C20F3E" w:rsidRPr="007A2F19">
              <w:rPr>
                <w:rFonts w:ascii="Times New Roman" w:hAnsi="Times New Roman"/>
                <w:sz w:val="24"/>
                <w:szCs w:val="24"/>
              </w:rPr>
              <w:t xml:space="preserve"> Nekilnojamojo turto registre ir tolesnio vietinės reikšmės kelių (gatvių) projektavimo, tiesimo, rekonstravimo, taisymo (remonto) ir priežiūros darba</w:t>
            </w:r>
            <w:r w:rsidR="00B2700D" w:rsidRPr="007A2F19">
              <w:rPr>
                <w:rFonts w:ascii="Times New Roman" w:hAnsi="Times New Roman"/>
                <w:sz w:val="24"/>
                <w:szCs w:val="24"/>
              </w:rPr>
              <w:t>i</w:t>
            </w:r>
            <w:r w:rsidR="00C20F3E" w:rsidRPr="007A2F19">
              <w:rPr>
                <w:rFonts w:ascii="Times New Roman" w:hAnsi="Times New Roman"/>
                <w:sz w:val="24"/>
                <w:szCs w:val="24"/>
              </w:rPr>
              <w:t>.</w:t>
            </w:r>
          </w:p>
          <w:p w:rsidR="00F81AAB" w:rsidRPr="00040982" w:rsidRDefault="00F81AAB" w:rsidP="00040982">
            <w:pPr>
              <w:spacing w:after="0"/>
              <w:jc w:val="both"/>
              <w:rPr>
                <w:rFonts w:ascii="Times New Roman" w:hAnsi="Times New Roman"/>
                <w:sz w:val="16"/>
                <w:szCs w:val="16"/>
              </w:rPr>
            </w:pPr>
          </w:p>
          <w:p w:rsidR="007A2F19" w:rsidRPr="007A2F19" w:rsidRDefault="007A2F19" w:rsidP="00040982">
            <w:pPr>
              <w:spacing w:after="0"/>
              <w:jc w:val="both"/>
              <w:rPr>
                <w:rFonts w:ascii="Times New Roman" w:hAnsi="Times New Roman"/>
                <w:sz w:val="24"/>
                <w:szCs w:val="24"/>
              </w:rPr>
            </w:pPr>
            <w:r w:rsidRPr="007A2F19">
              <w:rPr>
                <w:rFonts w:ascii="Times New Roman" w:hAnsi="Times New Roman"/>
                <w:sz w:val="24"/>
                <w:szCs w:val="24"/>
              </w:rPr>
              <w:t xml:space="preserve">Nutarimo projektu taip pat siekiama suteikti teisę Lietuvos Respublikos </w:t>
            </w:r>
            <w:r w:rsidRPr="007A2F19">
              <w:rPr>
                <w:rFonts w:ascii="Times New Roman" w:hAnsi="Times New Roman"/>
                <w:sz w:val="24"/>
                <w:szCs w:val="24"/>
              </w:rPr>
              <w:lastRenderedPageBreak/>
              <w:t xml:space="preserve">ekonomikos ir inovacijų ministerijai atrinkti finansuoti iš Programos finansavimo lėšų rezervo ne tik vietinės reikšmės, bet ir valstybinės reikšmės kelių objektus, vedančius į teritorijas, kuriose kuriamos darbo vietos.  </w:t>
            </w:r>
          </w:p>
          <w:p w:rsidR="007A2F19" w:rsidRPr="00040982" w:rsidRDefault="007A2F19" w:rsidP="00040982">
            <w:pPr>
              <w:spacing w:after="0"/>
              <w:jc w:val="both"/>
              <w:rPr>
                <w:rFonts w:ascii="Times New Roman" w:hAnsi="Times New Roman"/>
                <w:sz w:val="16"/>
                <w:szCs w:val="16"/>
              </w:rPr>
            </w:pPr>
          </w:p>
          <w:p w:rsidR="00040982" w:rsidRDefault="00040982" w:rsidP="00040982">
            <w:pPr>
              <w:spacing w:after="0"/>
              <w:jc w:val="both"/>
              <w:rPr>
                <w:rFonts w:ascii="Times New Roman" w:hAnsi="Times New Roman"/>
                <w:sz w:val="24"/>
                <w:szCs w:val="24"/>
              </w:rPr>
            </w:pPr>
            <w:r w:rsidRPr="00040982">
              <w:rPr>
                <w:rFonts w:ascii="Times New Roman" w:hAnsi="Times New Roman"/>
                <w:sz w:val="24"/>
                <w:szCs w:val="24"/>
              </w:rPr>
              <w:t xml:space="preserve">2019 metų duomenimis, dauguma savivaldybių administracijų dar neįregistravo Nekilnojamojo turto registre savo valdomų vietinės reikšmės kelių. Įvertinus tai, siūloma nuo 2020 metų Programos finansavimo skaičiuojamųjų lėšų savivaldybių institucijoms paskirstymui planuotą naudoti naują kriterijų „Nekilnojamojo turto registre įregistruotų kelių ilgis“ pradėti taikyti 2021 metais. </w:t>
            </w:r>
            <w:r>
              <w:rPr>
                <w:rFonts w:ascii="Times New Roman" w:hAnsi="Times New Roman"/>
                <w:sz w:val="24"/>
                <w:szCs w:val="24"/>
              </w:rPr>
              <w:t xml:space="preserve"> </w:t>
            </w:r>
          </w:p>
          <w:p w:rsidR="00BC1D13" w:rsidRDefault="00BC1D13" w:rsidP="00040982">
            <w:pPr>
              <w:spacing w:after="0"/>
              <w:jc w:val="both"/>
              <w:rPr>
                <w:rFonts w:ascii="Times New Roman" w:hAnsi="Times New Roman"/>
                <w:sz w:val="24"/>
                <w:szCs w:val="24"/>
              </w:rPr>
            </w:pPr>
          </w:p>
          <w:p w:rsidR="00BC1D13" w:rsidRPr="00505468" w:rsidRDefault="00BC1D13" w:rsidP="00505468">
            <w:pPr>
              <w:jc w:val="both"/>
              <w:rPr>
                <w:rFonts w:ascii="Times New Roman" w:hAnsi="Times New Roman"/>
                <w:color w:val="000000" w:themeColor="text1"/>
                <w:sz w:val="24"/>
                <w:szCs w:val="24"/>
              </w:rPr>
            </w:pPr>
            <w:r w:rsidRPr="00505468">
              <w:rPr>
                <w:rFonts w:ascii="Times New Roman" w:hAnsi="Times New Roman"/>
                <w:sz w:val="24"/>
                <w:szCs w:val="24"/>
              </w:rPr>
              <w:t xml:space="preserve">Vietinės reikšmės keliams ir toliau bus skiriama 30 proc. Programos finansavimo lėšų, tačiau nutarimo projektu siūloma aiškiau nustatyti </w:t>
            </w:r>
            <w:r w:rsidR="004C4DAE" w:rsidRPr="004C4DAE">
              <w:rPr>
                <w:rFonts w:ascii="Times New Roman" w:hAnsi="Times New Roman"/>
                <w:sz w:val="24"/>
                <w:szCs w:val="24"/>
              </w:rPr>
              <w:t>lėš</w:t>
            </w:r>
            <w:r w:rsidR="004C4DAE">
              <w:rPr>
                <w:rFonts w:ascii="Times New Roman" w:hAnsi="Times New Roman"/>
                <w:sz w:val="24"/>
                <w:szCs w:val="24"/>
              </w:rPr>
              <w:t>ų</w:t>
            </w:r>
            <w:r w:rsidRPr="00505468">
              <w:rPr>
                <w:rFonts w:ascii="Times New Roman" w:hAnsi="Times New Roman"/>
                <w:sz w:val="24"/>
                <w:szCs w:val="24"/>
              </w:rPr>
              <w:t xml:space="preserve"> </w:t>
            </w:r>
            <w:r w:rsidR="004C4DAE">
              <w:rPr>
                <w:rFonts w:ascii="Times New Roman" w:hAnsi="Times New Roman"/>
                <w:sz w:val="24"/>
                <w:szCs w:val="24"/>
              </w:rPr>
              <w:t xml:space="preserve">skyrimo </w:t>
            </w:r>
            <w:r w:rsidRPr="00505468">
              <w:rPr>
                <w:rFonts w:ascii="Times New Roman" w:hAnsi="Times New Roman"/>
                <w:sz w:val="24"/>
                <w:szCs w:val="24"/>
              </w:rPr>
              <w:t>savivaldybių institucijų valdomiems vietinės reikšmės keliams</w:t>
            </w:r>
            <w:r w:rsidR="004C4DAE">
              <w:rPr>
                <w:rFonts w:ascii="Times New Roman" w:hAnsi="Times New Roman"/>
                <w:sz w:val="24"/>
                <w:szCs w:val="24"/>
              </w:rPr>
              <w:t xml:space="preserve"> tvarką</w:t>
            </w:r>
            <w:r w:rsidRPr="00505468">
              <w:rPr>
                <w:rFonts w:ascii="Times New Roman" w:hAnsi="Times New Roman"/>
                <w:sz w:val="24"/>
                <w:szCs w:val="24"/>
              </w:rPr>
              <w:t>.</w:t>
            </w:r>
            <w:r w:rsidRPr="00505468">
              <w:rPr>
                <w:rFonts w:ascii="Times New Roman" w:hAnsi="Times New Roman"/>
                <w:sz w:val="24"/>
                <w:szCs w:val="24"/>
                <w:lang w:val="en-US"/>
              </w:rPr>
              <w:t xml:space="preserve"> </w:t>
            </w:r>
            <w:r w:rsidRPr="00505468">
              <w:rPr>
                <w:rFonts w:ascii="Times New Roman" w:hAnsi="Times New Roman"/>
                <w:color w:val="000000" w:themeColor="text1"/>
                <w:sz w:val="24"/>
                <w:szCs w:val="24"/>
              </w:rPr>
              <w:t xml:space="preserve">Įgyvendinant Nutarimą Nr. 5 ir siekiant sumažinti Sostinės regione esančius vidinius socialinius ir ekonominius skirtumus, užtikrinti pradėtų vykdyti Sostinės regione nacionalinės regioninės politikos įgyvendinimo priemonių ilgalaikį poveikį tolygiai ir tvariai plėtrai, Sostinės regione esančių savivaldybių, išskyrus Vilniaus miesto, vietinės reikšmės keliams siūloma numatyti </w:t>
            </w:r>
            <w:r w:rsidRPr="00505468">
              <w:rPr>
                <w:rFonts w:ascii="Times New Roman" w:hAnsi="Times New Roman"/>
                <w:color w:val="000000" w:themeColor="text1"/>
                <w:sz w:val="24"/>
                <w:szCs w:val="24"/>
                <w:lang w:val="en-US"/>
              </w:rPr>
              <w:t xml:space="preserve">2 </w:t>
            </w:r>
            <w:r w:rsidRPr="00505468">
              <w:rPr>
                <w:rFonts w:ascii="Times New Roman" w:hAnsi="Times New Roman"/>
                <w:color w:val="000000" w:themeColor="text1"/>
                <w:sz w:val="24"/>
                <w:szCs w:val="24"/>
              </w:rPr>
              <w:t xml:space="preserve">proc. iš </w:t>
            </w:r>
            <w:r w:rsidRPr="00505468">
              <w:rPr>
                <w:rFonts w:ascii="Times New Roman" w:hAnsi="Times New Roman"/>
                <w:color w:val="000000" w:themeColor="text1"/>
                <w:sz w:val="24"/>
                <w:szCs w:val="24"/>
                <w:lang w:val="en-US"/>
              </w:rPr>
              <w:t>30 proc. P</w:t>
            </w:r>
            <w:r w:rsidRPr="00505468">
              <w:rPr>
                <w:rFonts w:ascii="Times New Roman" w:hAnsi="Times New Roman"/>
                <w:color w:val="000000" w:themeColor="text1"/>
                <w:sz w:val="24"/>
                <w:szCs w:val="24"/>
              </w:rPr>
              <w:t xml:space="preserve">rogramos finansavimo lėšų. </w:t>
            </w:r>
          </w:p>
          <w:p w:rsidR="00040982" w:rsidRPr="00040982" w:rsidRDefault="00BC1D13" w:rsidP="00040982">
            <w:pPr>
              <w:spacing w:after="0"/>
              <w:jc w:val="both"/>
              <w:rPr>
                <w:rFonts w:ascii="Times New Roman" w:hAnsi="Times New Roman"/>
                <w:sz w:val="16"/>
                <w:szCs w:val="16"/>
              </w:rPr>
            </w:pPr>
            <w:r w:rsidRPr="00505468">
              <w:rPr>
                <w:rFonts w:ascii="Times New Roman" w:hAnsi="Times New Roman"/>
                <w:color w:val="000000" w:themeColor="text1"/>
                <w:sz w:val="24"/>
                <w:szCs w:val="24"/>
              </w:rPr>
              <w:t xml:space="preserve">Taip pat nutarimo projektu siūloma numatyti </w:t>
            </w:r>
            <w:r w:rsidRPr="00505468">
              <w:rPr>
                <w:rFonts w:ascii="Times New Roman" w:hAnsi="Times New Roman"/>
                <w:color w:val="000000" w:themeColor="text1"/>
                <w:sz w:val="24"/>
                <w:szCs w:val="24"/>
                <w:lang w:val="en-US"/>
              </w:rPr>
              <w:t xml:space="preserve">2 </w:t>
            </w:r>
            <w:r w:rsidRPr="00505468">
              <w:rPr>
                <w:rFonts w:ascii="Times New Roman" w:hAnsi="Times New Roman"/>
                <w:color w:val="000000" w:themeColor="text1"/>
                <w:sz w:val="24"/>
                <w:szCs w:val="24"/>
              </w:rPr>
              <w:t xml:space="preserve">proc. iš </w:t>
            </w:r>
            <w:r w:rsidRPr="00505468">
              <w:rPr>
                <w:rFonts w:ascii="Times New Roman" w:hAnsi="Times New Roman"/>
                <w:color w:val="000000" w:themeColor="text1"/>
                <w:sz w:val="24"/>
                <w:szCs w:val="24"/>
                <w:lang w:val="en-US"/>
              </w:rPr>
              <w:t>30 proc. P</w:t>
            </w:r>
            <w:r w:rsidRPr="00505468">
              <w:rPr>
                <w:rFonts w:ascii="Times New Roman" w:hAnsi="Times New Roman"/>
                <w:color w:val="000000" w:themeColor="text1"/>
                <w:sz w:val="24"/>
                <w:szCs w:val="24"/>
              </w:rPr>
              <w:t xml:space="preserve">rogramos finansavimo lėšų vietinės reikšmės keliams žiedinėse savivaldybėse, kurios </w:t>
            </w:r>
            <w:r w:rsidR="00CA0782">
              <w:rPr>
                <w:rFonts w:ascii="Times New Roman" w:hAnsi="Times New Roman"/>
                <w:color w:val="000000" w:themeColor="text1"/>
                <w:sz w:val="24"/>
                <w:szCs w:val="24"/>
              </w:rPr>
              <w:t>yra šalia</w:t>
            </w:r>
            <w:r w:rsidRPr="00505468">
              <w:rPr>
                <w:rFonts w:ascii="Times New Roman" w:hAnsi="Times New Roman"/>
                <w:color w:val="000000" w:themeColor="text1"/>
                <w:sz w:val="24"/>
                <w:szCs w:val="24"/>
              </w:rPr>
              <w:t xml:space="preserve"> didži</w:t>
            </w:r>
            <w:r w:rsidR="00CA0782">
              <w:rPr>
                <w:rFonts w:ascii="Times New Roman" w:hAnsi="Times New Roman"/>
                <w:color w:val="000000" w:themeColor="text1"/>
                <w:sz w:val="24"/>
                <w:szCs w:val="24"/>
              </w:rPr>
              <w:t>ųjų</w:t>
            </w:r>
            <w:r w:rsidR="00CA0782" w:rsidRPr="00CA0782">
              <w:rPr>
                <w:rFonts w:ascii="Times New Roman" w:hAnsi="Times New Roman"/>
                <w:color w:val="000000" w:themeColor="text1"/>
                <w:sz w:val="24"/>
                <w:szCs w:val="24"/>
              </w:rPr>
              <w:t xml:space="preserve"> miest</w:t>
            </w:r>
            <w:r w:rsidR="00CA0782">
              <w:rPr>
                <w:rFonts w:ascii="Times New Roman" w:hAnsi="Times New Roman"/>
                <w:color w:val="000000" w:themeColor="text1"/>
                <w:sz w:val="24"/>
                <w:szCs w:val="24"/>
              </w:rPr>
              <w:t>ų</w:t>
            </w:r>
            <w:r w:rsidRPr="00505468">
              <w:rPr>
                <w:rFonts w:ascii="Times New Roman" w:hAnsi="Times New Roman"/>
                <w:color w:val="000000" w:themeColor="text1"/>
                <w:sz w:val="24"/>
                <w:szCs w:val="24"/>
              </w:rPr>
              <w:t xml:space="preserve">, tačiau nepatenka į tų miestų </w:t>
            </w:r>
            <w:r w:rsidR="00CA0782">
              <w:rPr>
                <w:rFonts w:ascii="Times New Roman" w:hAnsi="Times New Roman"/>
                <w:color w:val="000000" w:themeColor="text1"/>
                <w:sz w:val="24"/>
                <w:szCs w:val="24"/>
              </w:rPr>
              <w:t>teritoriją</w:t>
            </w:r>
            <w:r w:rsidRPr="00505468">
              <w:rPr>
                <w:rFonts w:ascii="Times New Roman" w:hAnsi="Times New Roman"/>
                <w:color w:val="000000" w:themeColor="text1"/>
                <w:sz w:val="24"/>
                <w:szCs w:val="24"/>
              </w:rPr>
              <w:t>. Lėšos būtų skiriamos Vilniaus rajono, Trakų rajono, Kauno rajono, Klaipėdos rajono, Panevėžio rajono, Šiaulių rajono ir Alytaus rajono savivaldybėse esantiems vietinės reikšmės keliams. Planuojama, kad</w:t>
            </w:r>
            <w:r w:rsidR="00CA0782">
              <w:rPr>
                <w:rFonts w:ascii="Times New Roman" w:hAnsi="Times New Roman"/>
                <w:color w:val="000000" w:themeColor="text1"/>
                <w:sz w:val="24"/>
                <w:szCs w:val="24"/>
              </w:rPr>
              <w:t xml:space="preserve"> įgyvendinus </w:t>
            </w:r>
            <w:r w:rsidRPr="00505468">
              <w:rPr>
                <w:rFonts w:ascii="Times New Roman" w:hAnsi="Times New Roman"/>
                <w:color w:val="000000" w:themeColor="text1"/>
                <w:sz w:val="24"/>
                <w:szCs w:val="24"/>
              </w:rPr>
              <w:t>s</w:t>
            </w:r>
            <w:r w:rsidR="00CA0782" w:rsidRPr="00CA0782">
              <w:rPr>
                <w:rFonts w:ascii="Times New Roman" w:hAnsi="Times New Roman"/>
                <w:color w:val="000000" w:themeColor="text1"/>
                <w:sz w:val="24"/>
                <w:szCs w:val="24"/>
              </w:rPr>
              <w:t>iūlymą</w:t>
            </w:r>
            <w:r w:rsidR="00CA0782">
              <w:rPr>
                <w:rFonts w:ascii="Times New Roman" w:hAnsi="Times New Roman"/>
                <w:color w:val="000000" w:themeColor="text1"/>
                <w:sz w:val="24"/>
                <w:szCs w:val="24"/>
              </w:rPr>
              <w:t xml:space="preserve">, bus </w:t>
            </w:r>
            <w:r w:rsidRPr="00505468">
              <w:rPr>
                <w:rFonts w:ascii="Times New Roman" w:hAnsi="Times New Roman"/>
                <w:color w:val="000000" w:themeColor="text1"/>
                <w:sz w:val="24"/>
                <w:szCs w:val="24"/>
              </w:rPr>
              <w:t>sumažin</w:t>
            </w:r>
            <w:r w:rsidR="00CA0782">
              <w:rPr>
                <w:rFonts w:ascii="Times New Roman" w:hAnsi="Times New Roman"/>
                <w:color w:val="000000" w:themeColor="text1"/>
                <w:sz w:val="24"/>
                <w:szCs w:val="24"/>
              </w:rPr>
              <w:t>ti</w:t>
            </w:r>
            <w:r w:rsidRPr="00505468">
              <w:rPr>
                <w:rFonts w:ascii="Times New Roman" w:hAnsi="Times New Roman"/>
                <w:color w:val="000000" w:themeColor="text1"/>
                <w:sz w:val="24"/>
                <w:szCs w:val="24"/>
              </w:rPr>
              <w:t xml:space="preserve"> </w:t>
            </w:r>
            <w:bookmarkStart w:id="0" w:name="_GoBack"/>
            <w:bookmarkEnd w:id="0"/>
            <w:r w:rsidR="00CA0782" w:rsidRPr="00CA0782">
              <w:rPr>
                <w:rFonts w:ascii="Times New Roman" w:hAnsi="Times New Roman"/>
                <w:color w:val="000000" w:themeColor="text1"/>
                <w:sz w:val="24"/>
                <w:szCs w:val="24"/>
              </w:rPr>
              <w:t>socialiniai ir ekonominiai skirtum</w:t>
            </w:r>
            <w:r w:rsidR="00CA0782">
              <w:rPr>
                <w:rFonts w:ascii="Times New Roman" w:hAnsi="Times New Roman"/>
                <w:color w:val="000000" w:themeColor="text1"/>
                <w:sz w:val="24"/>
                <w:szCs w:val="24"/>
              </w:rPr>
              <w:t>ai</w:t>
            </w:r>
            <w:r w:rsidRPr="00505468">
              <w:rPr>
                <w:rFonts w:ascii="Times New Roman" w:hAnsi="Times New Roman"/>
                <w:color w:val="000000" w:themeColor="text1"/>
                <w:sz w:val="24"/>
                <w:szCs w:val="24"/>
              </w:rPr>
              <w:t xml:space="preserve">, </w:t>
            </w:r>
            <w:r w:rsidR="00CA0782">
              <w:rPr>
                <w:rFonts w:ascii="Times New Roman" w:hAnsi="Times New Roman"/>
                <w:color w:val="000000" w:themeColor="text1"/>
                <w:sz w:val="24"/>
                <w:szCs w:val="24"/>
              </w:rPr>
              <w:t xml:space="preserve">bus </w:t>
            </w:r>
            <w:r w:rsidR="00CA0782" w:rsidRPr="00CA0782">
              <w:rPr>
                <w:rFonts w:ascii="Times New Roman" w:hAnsi="Times New Roman"/>
                <w:color w:val="000000" w:themeColor="text1"/>
                <w:sz w:val="24"/>
                <w:szCs w:val="24"/>
              </w:rPr>
              <w:t>užtikrinta gyvenimo kokyb</w:t>
            </w:r>
            <w:r w:rsidR="00CA0782">
              <w:rPr>
                <w:rFonts w:ascii="Times New Roman" w:hAnsi="Times New Roman"/>
                <w:color w:val="000000" w:themeColor="text1"/>
                <w:sz w:val="24"/>
                <w:szCs w:val="24"/>
              </w:rPr>
              <w:t>ė</w:t>
            </w:r>
            <w:r w:rsidRPr="00505468">
              <w:rPr>
                <w:rFonts w:ascii="Times New Roman" w:hAnsi="Times New Roman"/>
                <w:color w:val="000000" w:themeColor="text1"/>
                <w:sz w:val="24"/>
                <w:szCs w:val="24"/>
              </w:rPr>
              <w:t xml:space="preserve"> žiedinėse savivaldybėse, kurių didelė dalis gyventojų kasdien vyksta į didžiuosius miestus darbo reikalais.</w:t>
            </w:r>
            <w:r>
              <w:rPr>
                <w:color w:val="000000" w:themeColor="text1"/>
                <w:sz w:val="24"/>
                <w:szCs w:val="24"/>
              </w:rPr>
              <w:t xml:space="preserve">  </w:t>
            </w:r>
          </w:p>
          <w:p w:rsidR="007A2F19" w:rsidRPr="007A2F19" w:rsidRDefault="007A2F19" w:rsidP="00040982">
            <w:pPr>
              <w:spacing w:after="0"/>
              <w:jc w:val="both"/>
              <w:rPr>
                <w:rFonts w:ascii="Times New Roman" w:hAnsi="Times New Roman"/>
                <w:sz w:val="24"/>
                <w:szCs w:val="24"/>
              </w:rPr>
            </w:pPr>
          </w:p>
        </w:tc>
      </w:tr>
    </w:tbl>
    <w:p w:rsidR="00C15ADA" w:rsidRPr="00040982" w:rsidRDefault="00C15ADA" w:rsidP="00040982">
      <w:pPr>
        <w:spacing w:after="0"/>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15ADA" w:rsidRPr="007A2F19" w:rsidTr="0050389F">
        <w:trPr>
          <w:jc w:val="center"/>
        </w:trPr>
        <w:tc>
          <w:tcPr>
            <w:tcW w:w="2268" w:type="dxa"/>
            <w:shd w:val="clear" w:color="auto" w:fill="FFFFFF"/>
            <w:hideMark/>
          </w:tcPr>
          <w:p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 xml:space="preserve">Poveikis </w:t>
            </w:r>
          </w:p>
          <w:p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valstybės finansams</w:t>
            </w:r>
          </w:p>
        </w:tc>
        <w:tc>
          <w:tcPr>
            <w:tcW w:w="7371" w:type="dxa"/>
            <w:shd w:val="clear" w:color="auto" w:fill="auto"/>
            <w:hideMark/>
          </w:tcPr>
          <w:p w:rsidR="00C15ADA" w:rsidRPr="007A2F19" w:rsidRDefault="00D43E88" w:rsidP="00040982">
            <w:pPr>
              <w:spacing w:after="0"/>
              <w:jc w:val="both"/>
              <w:rPr>
                <w:rFonts w:ascii="Times New Roman" w:hAnsi="Times New Roman"/>
                <w:sz w:val="24"/>
                <w:szCs w:val="24"/>
              </w:rPr>
            </w:pPr>
            <w:r w:rsidRPr="007A2F19">
              <w:rPr>
                <w:rFonts w:ascii="Times New Roman" w:hAnsi="Times New Roman"/>
                <w:sz w:val="24"/>
                <w:szCs w:val="24"/>
              </w:rPr>
              <w:t>Nenumatomas</w:t>
            </w:r>
            <w:r w:rsidR="004D607F" w:rsidRPr="007A2F19">
              <w:rPr>
                <w:rFonts w:ascii="Times New Roman" w:hAnsi="Times New Roman"/>
                <w:sz w:val="24"/>
                <w:szCs w:val="24"/>
              </w:rPr>
              <w:t>.</w:t>
            </w:r>
          </w:p>
        </w:tc>
      </w:tr>
    </w:tbl>
    <w:p w:rsidR="00C15ADA" w:rsidRPr="007A2F19" w:rsidRDefault="00C15ADA" w:rsidP="00040982">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7A2F19" w:rsidTr="00B9167D">
        <w:trPr>
          <w:jc w:val="center"/>
        </w:trPr>
        <w:tc>
          <w:tcPr>
            <w:tcW w:w="2268" w:type="dxa"/>
            <w:tcBorders>
              <w:top w:val="nil"/>
              <w:left w:val="nil"/>
              <w:bottom w:val="nil"/>
              <w:right w:val="nil"/>
            </w:tcBorders>
            <w:shd w:val="clear" w:color="auto" w:fill="FFFFFF"/>
          </w:tcPr>
          <w:p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rsidR="00C15ADA" w:rsidRPr="007A2F19" w:rsidRDefault="00D43E88" w:rsidP="00040982">
            <w:pPr>
              <w:spacing w:after="0"/>
              <w:jc w:val="both"/>
              <w:rPr>
                <w:rFonts w:ascii="Times New Roman" w:hAnsi="Times New Roman"/>
                <w:sz w:val="24"/>
                <w:szCs w:val="24"/>
              </w:rPr>
            </w:pPr>
            <w:r w:rsidRPr="007A2F19">
              <w:rPr>
                <w:rFonts w:ascii="Times New Roman" w:hAnsi="Times New Roman"/>
                <w:sz w:val="24"/>
                <w:szCs w:val="24"/>
              </w:rPr>
              <w:t>Nenumatomas</w:t>
            </w:r>
            <w:r w:rsidR="005F563B" w:rsidRPr="007A2F19">
              <w:rPr>
                <w:rFonts w:ascii="Times New Roman" w:hAnsi="Times New Roman"/>
                <w:sz w:val="24"/>
                <w:szCs w:val="24"/>
              </w:rPr>
              <w:t>.</w:t>
            </w:r>
          </w:p>
        </w:tc>
      </w:tr>
    </w:tbl>
    <w:p w:rsidR="00C15ADA" w:rsidRPr="00040982" w:rsidRDefault="00C15ADA" w:rsidP="00040982">
      <w:pPr>
        <w:shd w:val="clear" w:color="auto" w:fill="FFFFFF"/>
        <w:spacing w:after="0"/>
        <w:rPr>
          <w:rFonts w:ascii="Times New Roman" w:hAnsi="Times New Roman"/>
          <w:i/>
          <w:sz w:val="16"/>
          <w:szCs w:val="16"/>
        </w:rPr>
      </w:pPr>
    </w:p>
    <w:tbl>
      <w:tblPr>
        <w:tblW w:w="9639" w:type="dxa"/>
        <w:jc w:val="center"/>
        <w:shd w:val="clear" w:color="auto" w:fill="FFFFFF"/>
        <w:tblLook w:val="00A0" w:firstRow="1" w:lastRow="0" w:firstColumn="1" w:lastColumn="0" w:noHBand="0" w:noVBand="0"/>
      </w:tblPr>
      <w:tblGrid>
        <w:gridCol w:w="9639"/>
      </w:tblGrid>
      <w:tr w:rsidR="00C15ADA" w:rsidRPr="007A2F19" w:rsidTr="00B9167D">
        <w:trPr>
          <w:trHeight w:val="379"/>
          <w:jc w:val="center"/>
        </w:trPr>
        <w:tc>
          <w:tcPr>
            <w:tcW w:w="9639" w:type="dxa"/>
            <w:vMerge w:val="restart"/>
            <w:shd w:val="clear" w:color="auto" w:fill="FFFFFF"/>
            <w:hideMark/>
          </w:tcPr>
          <w:p w:rsidR="00C15ADA" w:rsidRPr="007A2F19" w:rsidRDefault="00C15ADA" w:rsidP="00040982">
            <w:pPr>
              <w:shd w:val="clear" w:color="auto" w:fill="FFFFFF"/>
              <w:spacing w:after="0"/>
              <w:rPr>
                <w:rFonts w:ascii="Times New Roman" w:hAnsi="Times New Roman"/>
                <w:b/>
                <w:sz w:val="24"/>
                <w:szCs w:val="24"/>
              </w:rPr>
            </w:pPr>
            <w:r w:rsidRPr="007A2F19">
              <w:rPr>
                <w:rFonts w:ascii="Times New Roman" w:hAnsi="Times New Roman"/>
                <w:b/>
                <w:sz w:val="24"/>
                <w:szCs w:val="24"/>
              </w:rPr>
              <w:t>Kita svarbi informacija</w:t>
            </w:r>
            <w:r w:rsidR="00664346" w:rsidRPr="007A2F19">
              <w:rPr>
                <w:rFonts w:ascii="Times New Roman" w:hAnsi="Times New Roman"/>
                <w:sz w:val="24"/>
                <w:szCs w:val="24"/>
              </w:rPr>
              <w:t xml:space="preserve"> Nėra.</w:t>
            </w:r>
          </w:p>
        </w:tc>
      </w:tr>
      <w:tr w:rsidR="00C15ADA" w:rsidRPr="007A2F19" w:rsidTr="00040982">
        <w:trPr>
          <w:trHeight w:val="317"/>
          <w:jc w:val="center"/>
        </w:trPr>
        <w:tc>
          <w:tcPr>
            <w:tcW w:w="0" w:type="auto"/>
            <w:vMerge/>
            <w:shd w:val="clear" w:color="auto" w:fill="FFFFFF"/>
            <w:vAlign w:val="center"/>
            <w:hideMark/>
          </w:tcPr>
          <w:p w:rsidR="00C15ADA" w:rsidRPr="007A2F19" w:rsidRDefault="00C15ADA" w:rsidP="00040982">
            <w:pPr>
              <w:spacing w:after="0"/>
              <w:rPr>
                <w:rFonts w:ascii="Times New Roman" w:hAnsi="Times New Roman"/>
                <w:b/>
                <w:sz w:val="24"/>
                <w:szCs w:val="24"/>
              </w:rPr>
            </w:pPr>
          </w:p>
        </w:tc>
      </w:tr>
    </w:tbl>
    <w:p w:rsidR="00C15ADA" w:rsidRPr="007A2F19" w:rsidRDefault="00C15ADA" w:rsidP="00040982">
      <w:pPr>
        <w:pStyle w:val="ListParagraph1"/>
        <w:spacing w:line="276" w:lineRule="auto"/>
        <w:ind w:left="0" w:firstLine="142"/>
        <w:jc w:val="both"/>
        <w:rPr>
          <w:b/>
          <w:szCs w:val="24"/>
        </w:rPr>
      </w:pPr>
      <w:r w:rsidRPr="007A2F19">
        <w:rPr>
          <w:b/>
          <w:szCs w:val="24"/>
        </w:rPr>
        <w:t>Informacija apie asmenį ir instituciją, atsakingą už poveikio vertinimą</w:t>
      </w:r>
    </w:p>
    <w:p w:rsidR="00C15ADA" w:rsidRPr="00040982" w:rsidRDefault="00C15ADA" w:rsidP="00040982">
      <w:pPr>
        <w:spacing w:after="0"/>
        <w:jc w:val="both"/>
        <w:rPr>
          <w:rFonts w:ascii="Times New Roman" w:hAnsi="Times New Roman"/>
          <w:sz w:val="16"/>
          <w:szCs w:val="16"/>
        </w:rPr>
      </w:pPr>
    </w:p>
    <w:tbl>
      <w:tblPr>
        <w:tblW w:w="9639" w:type="dxa"/>
        <w:jc w:val="center"/>
        <w:tblLook w:val="00A0" w:firstRow="1" w:lastRow="0" w:firstColumn="1" w:lastColumn="0" w:noHBand="0" w:noVBand="0"/>
      </w:tblPr>
      <w:tblGrid>
        <w:gridCol w:w="2835"/>
        <w:gridCol w:w="6804"/>
      </w:tblGrid>
      <w:tr w:rsidR="001C1659" w:rsidRPr="007A2F19" w:rsidTr="00040982">
        <w:trPr>
          <w:trHeight w:val="489"/>
          <w:jc w:val="center"/>
        </w:trPr>
        <w:tc>
          <w:tcPr>
            <w:tcW w:w="2835" w:type="dxa"/>
            <w:tcMar>
              <w:top w:w="28" w:type="dxa"/>
              <w:bottom w:w="28" w:type="dxa"/>
            </w:tcMar>
            <w:hideMark/>
          </w:tcPr>
          <w:p w:rsidR="001C1659" w:rsidRPr="007A2F19" w:rsidRDefault="001C1659" w:rsidP="00040982">
            <w:pPr>
              <w:pStyle w:val="ListParagraph1"/>
              <w:spacing w:line="276" w:lineRule="auto"/>
              <w:ind w:left="0"/>
              <w:rPr>
                <w:szCs w:val="24"/>
              </w:rPr>
            </w:pPr>
            <w:r w:rsidRPr="007A2F19">
              <w:rPr>
                <w:szCs w:val="24"/>
              </w:rPr>
              <w:t>Vardas ir pavardė</w:t>
            </w:r>
          </w:p>
        </w:tc>
        <w:tc>
          <w:tcPr>
            <w:tcW w:w="6804" w:type="dxa"/>
            <w:tcMar>
              <w:top w:w="28" w:type="dxa"/>
              <w:bottom w:w="28" w:type="dxa"/>
            </w:tcMar>
          </w:tcPr>
          <w:p w:rsidR="001C1659" w:rsidRPr="007A2F19" w:rsidRDefault="007A408D" w:rsidP="00040982">
            <w:pPr>
              <w:pStyle w:val="ListParagraph1"/>
              <w:spacing w:line="276" w:lineRule="auto"/>
              <w:ind w:left="0"/>
              <w:rPr>
                <w:szCs w:val="24"/>
              </w:rPr>
            </w:pPr>
            <w:r w:rsidRPr="007A2F19">
              <w:rPr>
                <w:szCs w:val="24"/>
              </w:rPr>
              <w:t>Sergėjus Volkovas</w:t>
            </w:r>
          </w:p>
        </w:tc>
      </w:tr>
      <w:tr w:rsidR="001C1659" w:rsidRPr="007A2F19" w:rsidTr="00040982">
        <w:trPr>
          <w:trHeight w:val="394"/>
          <w:jc w:val="center"/>
        </w:trPr>
        <w:tc>
          <w:tcPr>
            <w:tcW w:w="2835" w:type="dxa"/>
            <w:tcMar>
              <w:top w:w="28" w:type="dxa"/>
              <w:bottom w:w="28" w:type="dxa"/>
            </w:tcMar>
            <w:hideMark/>
          </w:tcPr>
          <w:p w:rsidR="001C1659" w:rsidRPr="007A2F19" w:rsidRDefault="001C1659" w:rsidP="00040982">
            <w:pPr>
              <w:pStyle w:val="ListParagraph1"/>
              <w:spacing w:line="276" w:lineRule="auto"/>
              <w:ind w:left="0"/>
              <w:rPr>
                <w:b/>
                <w:szCs w:val="24"/>
              </w:rPr>
            </w:pPr>
            <w:r w:rsidRPr="007A2F19">
              <w:rPr>
                <w:szCs w:val="24"/>
              </w:rPr>
              <w:t>Pareigos</w:t>
            </w:r>
          </w:p>
        </w:tc>
        <w:tc>
          <w:tcPr>
            <w:tcW w:w="6804" w:type="dxa"/>
            <w:tcMar>
              <w:top w:w="28" w:type="dxa"/>
              <w:bottom w:w="28" w:type="dxa"/>
            </w:tcMar>
          </w:tcPr>
          <w:p w:rsidR="001C1659" w:rsidRPr="007A2F19" w:rsidRDefault="007A408D" w:rsidP="00040982">
            <w:pPr>
              <w:pStyle w:val="ListParagraph1"/>
              <w:spacing w:line="276" w:lineRule="auto"/>
              <w:ind w:left="0"/>
              <w:rPr>
                <w:szCs w:val="24"/>
              </w:rPr>
            </w:pPr>
            <w:r w:rsidRPr="007A2F19">
              <w:rPr>
                <w:szCs w:val="24"/>
              </w:rPr>
              <w:t xml:space="preserve">Vyresnysis patarėjas </w:t>
            </w:r>
          </w:p>
        </w:tc>
      </w:tr>
      <w:tr w:rsidR="001C1659" w:rsidRPr="007A2F19" w:rsidTr="00040982">
        <w:trPr>
          <w:trHeight w:val="672"/>
          <w:jc w:val="center"/>
        </w:trPr>
        <w:tc>
          <w:tcPr>
            <w:tcW w:w="2835" w:type="dxa"/>
            <w:tcMar>
              <w:top w:w="28" w:type="dxa"/>
              <w:bottom w:w="28" w:type="dxa"/>
            </w:tcMar>
            <w:hideMark/>
          </w:tcPr>
          <w:p w:rsidR="001C1659" w:rsidRPr="007A2F19" w:rsidRDefault="001C1659" w:rsidP="00040982">
            <w:pPr>
              <w:pStyle w:val="ListParagraph1"/>
              <w:spacing w:line="276" w:lineRule="auto"/>
              <w:ind w:left="0"/>
              <w:rPr>
                <w:b/>
                <w:szCs w:val="24"/>
              </w:rPr>
            </w:pPr>
            <w:r w:rsidRPr="007A2F19">
              <w:rPr>
                <w:szCs w:val="24"/>
              </w:rPr>
              <w:lastRenderedPageBreak/>
              <w:t>Institucija (padalinys)</w:t>
            </w:r>
          </w:p>
        </w:tc>
        <w:tc>
          <w:tcPr>
            <w:tcW w:w="6804" w:type="dxa"/>
            <w:tcMar>
              <w:top w:w="28" w:type="dxa"/>
              <w:bottom w:w="28" w:type="dxa"/>
            </w:tcMar>
          </w:tcPr>
          <w:p w:rsidR="001C1659" w:rsidRPr="007A2F19" w:rsidRDefault="001C1659" w:rsidP="00040982">
            <w:pPr>
              <w:pStyle w:val="ListParagraph1"/>
              <w:spacing w:line="276" w:lineRule="auto"/>
              <w:ind w:left="0"/>
              <w:rPr>
                <w:szCs w:val="24"/>
              </w:rPr>
            </w:pPr>
            <w:r w:rsidRPr="007A2F19">
              <w:rPr>
                <w:szCs w:val="24"/>
              </w:rPr>
              <w:t xml:space="preserve">Lietuvos Respublikos </w:t>
            </w:r>
            <w:r w:rsidR="006631A6" w:rsidRPr="007A2F19">
              <w:rPr>
                <w:szCs w:val="24"/>
              </w:rPr>
              <w:t xml:space="preserve">susisiekimo </w:t>
            </w:r>
            <w:r w:rsidRPr="007A2F19">
              <w:rPr>
                <w:szCs w:val="24"/>
              </w:rPr>
              <w:t xml:space="preserve">ministerijos </w:t>
            </w:r>
            <w:r w:rsidR="007A408D" w:rsidRPr="007A2F19">
              <w:rPr>
                <w:szCs w:val="24"/>
              </w:rPr>
              <w:t xml:space="preserve">Kelių </w:t>
            </w:r>
            <w:r w:rsidR="005F07F9" w:rsidRPr="007A2F19">
              <w:rPr>
                <w:szCs w:val="24"/>
              </w:rPr>
              <w:t xml:space="preserve">ir oro </w:t>
            </w:r>
            <w:r w:rsidR="007A408D" w:rsidRPr="007A2F19">
              <w:rPr>
                <w:szCs w:val="24"/>
              </w:rPr>
              <w:t xml:space="preserve">transporto politikos </w:t>
            </w:r>
            <w:r w:rsidR="005F07F9" w:rsidRPr="007A2F19">
              <w:rPr>
                <w:szCs w:val="24"/>
              </w:rPr>
              <w:t xml:space="preserve">grupė </w:t>
            </w:r>
          </w:p>
        </w:tc>
      </w:tr>
      <w:tr w:rsidR="001C1659" w:rsidRPr="007A2F19" w:rsidTr="00F81AAB">
        <w:trPr>
          <w:trHeight w:val="491"/>
          <w:jc w:val="center"/>
        </w:trPr>
        <w:tc>
          <w:tcPr>
            <w:tcW w:w="2835" w:type="dxa"/>
            <w:tcMar>
              <w:top w:w="28" w:type="dxa"/>
              <w:bottom w:w="28" w:type="dxa"/>
            </w:tcMar>
            <w:hideMark/>
          </w:tcPr>
          <w:p w:rsidR="001C1659" w:rsidRPr="007A2F19" w:rsidRDefault="001C1659" w:rsidP="00040982">
            <w:pPr>
              <w:pStyle w:val="ListParagraph1"/>
              <w:spacing w:line="276" w:lineRule="auto"/>
              <w:ind w:left="0"/>
              <w:rPr>
                <w:szCs w:val="24"/>
              </w:rPr>
            </w:pPr>
            <w:r w:rsidRPr="007A2F19">
              <w:rPr>
                <w:szCs w:val="24"/>
              </w:rPr>
              <w:t>Telefono numeris ir elektroninio pašto adresas</w:t>
            </w:r>
          </w:p>
        </w:tc>
        <w:tc>
          <w:tcPr>
            <w:tcW w:w="6804" w:type="dxa"/>
            <w:tcMar>
              <w:top w:w="28" w:type="dxa"/>
              <w:bottom w:w="28" w:type="dxa"/>
            </w:tcMar>
          </w:tcPr>
          <w:p w:rsidR="001C1659" w:rsidRPr="007A2F19" w:rsidRDefault="001C1659" w:rsidP="00040982">
            <w:pPr>
              <w:pStyle w:val="ListParagraph1"/>
              <w:spacing w:line="276" w:lineRule="auto"/>
              <w:ind w:left="0"/>
              <w:rPr>
                <w:szCs w:val="24"/>
              </w:rPr>
            </w:pPr>
            <w:r w:rsidRPr="007A2F19">
              <w:rPr>
                <w:szCs w:val="24"/>
              </w:rPr>
              <w:t xml:space="preserve">Tel. </w:t>
            </w:r>
            <w:r w:rsidR="007A408D" w:rsidRPr="007A2F19">
              <w:rPr>
                <w:szCs w:val="24"/>
              </w:rPr>
              <w:t>(</w:t>
            </w:r>
            <w:r w:rsidRPr="007A2F19">
              <w:rPr>
                <w:szCs w:val="24"/>
              </w:rPr>
              <w:t xml:space="preserve">8 </w:t>
            </w:r>
            <w:r w:rsidR="007A408D" w:rsidRPr="007A2F19">
              <w:rPr>
                <w:szCs w:val="24"/>
              </w:rPr>
              <w:t>5) 239 3877</w:t>
            </w:r>
            <w:r w:rsidR="00B2700D" w:rsidRPr="007A2F19">
              <w:rPr>
                <w:szCs w:val="24"/>
              </w:rPr>
              <w:t>,</w:t>
            </w:r>
            <w:r w:rsidRPr="007A2F19">
              <w:rPr>
                <w:szCs w:val="24"/>
              </w:rPr>
              <w:t xml:space="preserve"> el. paštas </w:t>
            </w:r>
            <w:r w:rsidR="0037290F" w:rsidRPr="007A2F19">
              <w:rPr>
                <w:szCs w:val="24"/>
              </w:rPr>
              <w:t>serge</w:t>
            </w:r>
            <w:r w:rsidR="007A408D" w:rsidRPr="007A2F19">
              <w:rPr>
                <w:szCs w:val="24"/>
              </w:rPr>
              <w:t>jus</w:t>
            </w:r>
            <w:r w:rsidR="00DE6568" w:rsidRPr="007A2F19">
              <w:rPr>
                <w:szCs w:val="24"/>
              </w:rPr>
              <w:t>.</w:t>
            </w:r>
            <w:r w:rsidR="007A408D" w:rsidRPr="007A2F19">
              <w:rPr>
                <w:szCs w:val="24"/>
              </w:rPr>
              <w:t>volkovas</w:t>
            </w:r>
            <w:r w:rsidRPr="007A2F19">
              <w:rPr>
                <w:szCs w:val="24"/>
              </w:rPr>
              <w:t>@</w:t>
            </w:r>
            <w:r w:rsidR="007A408D" w:rsidRPr="007A2F19">
              <w:rPr>
                <w:szCs w:val="24"/>
              </w:rPr>
              <w:t>sumin</w:t>
            </w:r>
            <w:r w:rsidRPr="007A2F19">
              <w:rPr>
                <w:szCs w:val="24"/>
              </w:rPr>
              <w:t xml:space="preserve">.lt </w:t>
            </w:r>
          </w:p>
        </w:tc>
      </w:tr>
    </w:tbl>
    <w:p w:rsidR="00C15ADA" w:rsidRPr="008D6FD1" w:rsidRDefault="00C15ADA" w:rsidP="00040982">
      <w:pPr>
        <w:pStyle w:val="Antrats"/>
        <w:tabs>
          <w:tab w:val="clear" w:pos="4153"/>
          <w:tab w:val="clear" w:pos="8306"/>
          <w:tab w:val="left" w:pos="6237"/>
        </w:tabs>
        <w:spacing w:line="276" w:lineRule="auto"/>
        <w:rPr>
          <w:szCs w:val="24"/>
        </w:rPr>
      </w:pPr>
    </w:p>
    <w:sectPr w:rsidR="00C15ADA" w:rsidRPr="008D6FD1" w:rsidSect="00040982">
      <w:pgSz w:w="11906" w:h="16838"/>
      <w:pgMar w:top="85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DBC98" w16cid:durableId="215B1A32"/>
  <w16cid:commentId w16cid:paraId="299389ED" w16cid:durableId="215B1ABF"/>
  <w16cid:commentId w16cid:paraId="60E51D3E" w16cid:durableId="215B1A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0NDewMDY1MTQ0szBT0lEKTi0uzszPAykwrAUA9zZSWCwAAAA="/>
  </w:docVars>
  <w:rsids>
    <w:rsidRoot w:val="00C15ADA"/>
    <w:rsid w:val="00006AC3"/>
    <w:rsid w:val="00033998"/>
    <w:rsid w:val="00040982"/>
    <w:rsid w:val="00044851"/>
    <w:rsid w:val="00045506"/>
    <w:rsid w:val="0005529F"/>
    <w:rsid w:val="00097F64"/>
    <w:rsid w:val="000C30F8"/>
    <w:rsid w:val="000D746A"/>
    <w:rsid w:val="00125C9D"/>
    <w:rsid w:val="00133A34"/>
    <w:rsid w:val="00147C5F"/>
    <w:rsid w:val="00180BD6"/>
    <w:rsid w:val="00185596"/>
    <w:rsid w:val="001B7EA3"/>
    <w:rsid w:val="001C1659"/>
    <w:rsid w:val="001C28CC"/>
    <w:rsid w:val="002044B8"/>
    <w:rsid w:val="00224D60"/>
    <w:rsid w:val="00225FAE"/>
    <w:rsid w:val="00231EFF"/>
    <w:rsid w:val="0023413B"/>
    <w:rsid w:val="0025522A"/>
    <w:rsid w:val="002D0499"/>
    <w:rsid w:val="002D0BB7"/>
    <w:rsid w:val="002D48B7"/>
    <w:rsid w:val="0030780F"/>
    <w:rsid w:val="0033233F"/>
    <w:rsid w:val="00342792"/>
    <w:rsid w:val="00344B2D"/>
    <w:rsid w:val="00344F17"/>
    <w:rsid w:val="00353932"/>
    <w:rsid w:val="0037290F"/>
    <w:rsid w:val="00375C23"/>
    <w:rsid w:val="003777CA"/>
    <w:rsid w:val="003A3EDB"/>
    <w:rsid w:val="003E564C"/>
    <w:rsid w:val="003E6DDA"/>
    <w:rsid w:val="003F475B"/>
    <w:rsid w:val="00426CC8"/>
    <w:rsid w:val="00431C9D"/>
    <w:rsid w:val="00465B39"/>
    <w:rsid w:val="004765E1"/>
    <w:rsid w:val="004A0B9D"/>
    <w:rsid w:val="004A38EB"/>
    <w:rsid w:val="004B7D91"/>
    <w:rsid w:val="004C3697"/>
    <w:rsid w:val="004C4DAE"/>
    <w:rsid w:val="004D52BA"/>
    <w:rsid w:val="004D607F"/>
    <w:rsid w:val="004E34E3"/>
    <w:rsid w:val="0050389F"/>
    <w:rsid w:val="00505468"/>
    <w:rsid w:val="00505541"/>
    <w:rsid w:val="00534D7B"/>
    <w:rsid w:val="005435E9"/>
    <w:rsid w:val="00577378"/>
    <w:rsid w:val="00581CC9"/>
    <w:rsid w:val="005C1C87"/>
    <w:rsid w:val="005E457A"/>
    <w:rsid w:val="005F07F9"/>
    <w:rsid w:val="005F563B"/>
    <w:rsid w:val="006019BB"/>
    <w:rsid w:val="006432A2"/>
    <w:rsid w:val="00655068"/>
    <w:rsid w:val="0066060D"/>
    <w:rsid w:val="006631A6"/>
    <w:rsid w:val="00664346"/>
    <w:rsid w:val="00674470"/>
    <w:rsid w:val="00681DA3"/>
    <w:rsid w:val="006C0AA6"/>
    <w:rsid w:val="006C2029"/>
    <w:rsid w:val="006F3DB3"/>
    <w:rsid w:val="00735F6A"/>
    <w:rsid w:val="0074398C"/>
    <w:rsid w:val="00754E77"/>
    <w:rsid w:val="007A2F19"/>
    <w:rsid w:val="007A408D"/>
    <w:rsid w:val="007B3CC6"/>
    <w:rsid w:val="007C5C02"/>
    <w:rsid w:val="007D2BDD"/>
    <w:rsid w:val="0080763B"/>
    <w:rsid w:val="00835E6F"/>
    <w:rsid w:val="00893594"/>
    <w:rsid w:val="008D6FD1"/>
    <w:rsid w:val="008F35E1"/>
    <w:rsid w:val="009238CE"/>
    <w:rsid w:val="0093434E"/>
    <w:rsid w:val="009504E9"/>
    <w:rsid w:val="009E76D1"/>
    <w:rsid w:val="009F1C91"/>
    <w:rsid w:val="00A008E0"/>
    <w:rsid w:val="00A7083B"/>
    <w:rsid w:val="00A90717"/>
    <w:rsid w:val="00AA1EE6"/>
    <w:rsid w:val="00AA3664"/>
    <w:rsid w:val="00AA484C"/>
    <w:rsid w:val="00AB0976"/>
    <w:rsid w:val="00AE61E8"/>
    <w:rsid w:val="00AE6B45"/>
    <w:rsid w:val="00B24A43"/>
    <w:rsid w:val="00B2700D"/>
    <w:rsid w:val="00B462AF"/>
    <w:rsid w:val="00B82E43"/>
    <w:rsid w:val="00B91124"/>
    <w:rsid w:val="00B9167D"/>
    <w:rsid w:val="00B92F5C"/>
    <w:rsid w:val="00BA00EB"/>
    <w:rsid w:val="00BB1D20"/>
    <w:rsid w:val="00BC1D13"/>
    <w:rsid w:val="00BC636E"/>
    <w:rsid w:val="00BD2018"/>
    <w:rsid w:val="00C15705"/>
    <w:rsid w:val="00C15ADA"/>
    <w:rsid w:val="00C20F3E"/>
    <w:rsid w:val="00C5414D"/>
    <w:rsid w:val="00C861E2"/>
    <w:rsid w:val="00C964FE"/>
    <w:rsid w:val="00CA0782"/>
    <w:rsid w:val="00CA506A"/>
    <w:rsid w:val="00CB0D0B"/>
    <w:rsid w:val="00CF4FA2"/>
    <w:rsid w:val="00CF7FF3"/>
    <w:rsid w:val="00D2394F"/>
    <w:rsid w:val="00D4001F"/>
    <w:rsid w:val="00D43E88"/>
    <w:rsid w:val="00D76AE9"/>
    <w:rsid w:val="00DB1529"/>
    <w:rsid w:val="00DC5F97"/>
    <w:rsid w:val="00DE6568"/>
    <w:rsid w:val="00E21229"/>
    <w:rsid w:val="00E60122"/>
    <w:rsid w:val="00E80358"/>
    <w:rsid w:val="00E83F98"/>
    <w:rsid w:val="00EC7614"/>
    <w:rsid w:val="00EE431B"/>
    <w:rsid w:val="00F00896"/>
    <w:rsid w:val="00F20699"/>
    <w:rsid w:val="00F52763"/>
    <w:rsid w:val="00F57041"/>
    <w:rsid w:val="00F81AAB"/>
    <w:rsid w:val="00F86CD9"/>
    <w:rsid w:val="00FC3F54"/>
    <w:rsid w:val="00FE5A07"/>
    <w:rsid w:val="00FF2BF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A25C4-B7F3-475B-8B10-69EB9BE2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80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44827">
      <w:bodyDiv w:val="1"/>
      <w:marLeft w:val="0"/>
      <w:marRight w:val="0"/>
      <w:marTop w:val="0"/>
      <w:marBottom w:val="0"/>
      <w:divBdr>
        <w:top w:val="none" w:sz="0" w:space="0" w:color="auto"/>
        <w:left w:val="none" w:sz="0" w:space="0" w:color="auto"/>
        <w:bottom w:val="none" w:sz="0" w:space="0" w:color="auto"/>
        <w:right w:val="none" w:sz="0" w:space="0" w:color="auto"/>
      </w:divBdr>
    </w:div>
    <w:div w:id="821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ommentsIds.xml" Type="http://schemas.microsoft.com/office/2016/09/relationships/commentsId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3301</Words>
  <Characters>1882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2019-10-21T05:19:00Z</dcterms:created>
  <dc:creator>Audrius Naktinis</dc:creator>
  <cp:lastModifiedBy>Sergėjus Volkovas</cp:lastModifiedBy>
  <dcterms:modified xsi:type="dcterms:W3CDTF">2019-10-25T07:46:00Z</dcterms:modified>
  <cp:revision>8</cp:revision>
</cp:coreProperties>
</file>