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E07FD" w:rsidRDefault="00293045">
            <w:permStart w:id="1142119605" w:edGrp="everyone"/>
            <w:r>
              <w:t>Vidaus reikalų ministerijai</w:t>
            </w:r>
          </w:p>
        </w:tc>
        <w:tc>
          <w:tcPr>
            <w:tcW w:w="4820" w:type="dxa"/>
          </w:tcPr>
          <w:p w:rsidR="002207D5" w:rsidRDefault="002207D5"/>
          <w:p w:rsidR="00676E45" w:rsidRDefault="00676E45">
            <w:r>
              <w:t xml:space="preserve">Į  </w:t>
            </w:r>
            <w:r w:rsidR="008151E8">
              <w:t>201</w:t>
            </w:r>
            <w:r w:rsidR="00C612D0">
              <w:t>9</w:t>
            </w:r>
            <w:r>
              <w:t>-</w:t>
            </w:r>
            <w:r w:rsidR="009D432D">
              <w:t>0</w:t>
            </w:r>
            <w:r w:rsidR="004C0ACD">
              <w:t>4</w:t>
            </w:r>
            <w:r>
              <w:t>-</w:t>
            </w:r>
            <w:r w:rsidR="009317AC">
              <w:t>25</w:t>
            </w:r>
            <w:r>
              <w:t xml:space="preserve"> Nr. </w:t>
            </w:r>
            <w:r w:rsidR="009D432D">
              <w:t>1D-</w:t>
            </w:r>
            <w:r w:rsidR="009317AC">
              <w:t>2213</w:t>
            </w:r>
          </w:p>
          <w:p w:rsidR="00B23061" w:rsidRPr="00E806B4" w:rsidRDefault="00B23061">
            <w:pPr>
              <w:rPr>
                <w:lang w:val="en-US"/>
              </w:rPr>
            </w:pPr>
          </w:p>
        </w:tc>
      </w:tr>
      <w:tr w:rsidR="00C612D0" w:rsidRPr="00B62CC5" w:rsidTr="00BD6FD8">
        <w:trPr>
          <w:cantSplit/>
          <w:trHeight w:val="629"/>
        </w:trPr>
        <w:tc>
          <w:tcPr>
            <w:tcW w:w="9747" w:type="dxa"/>
            <w:gridSpan w:val="2"/>
          </w:tcPr>
          <w:p w:rsidR="00694378" w:rsidRPr="00B62CC5" w:rsidRDefault="00293045" w:rsidP="002207D5">
            <w:pPr>
              <w:jc w:val="both"/>
              <w:rPr>
                <w:b/>
              </w:rPr>
            </w:pPr>
            <w:r w:rsidRPr="00293045">
              <w:rPr>
                <w:b/>
                <w:bCs/>
                <w:szCs w:val="24"/>
              </w:rPr>
              <w:t xml:space="preserve">DĖL </w:t>
            </w:r>
            <w:r w:rsidR="004C0ACD">
              <w:rPr>
                <w:b/>
                <w:bCs/>
                <w:szCs w:val="24"/>
              </w:rPr>
              <w:t>VYRIAUSYBĖS NUTARIMO PROJEKTO</w:t>
            </w:r>
          </w:p>
        </w:tc>
      </w:tr>
    </w:tbl>
    <w:p w:rsidR="001165BB" w:rsidRDefault="00D509D5" w:rsidP="001165BB">
      <w:pPr>
        <w:ind w:firstLine="720"/>
        <w:jc w:val="both"/>
        <w:rPr>
          <w:szCs w:val="24"/>
        </w:rPr>
      </w:pPr>
      <w:r>
        <w:rPr>
          <w:szCs w:val="24"/>
        </w:rPr>
        <w:t xml:space="preserve">Finansų ministerija, </w:t>
      </w:r>
      <w:r w:rsidR="001165BB">
        <w:rPr>
          <w:szCs w:val="24"/>
        </w:rPr>
        <w:t>išnagrinėjo Vidaus reikalų ministerijos pateiktą derinti Lietuvos Respublikos Vyriausybės nutarimo „Dėl viešosios įstaigos Bendrystės ir inovacijų centro steigimo ir valstybės turto investavimo“ projektą</w:t>
      </w:r>
      <w:r w:rsidR="00A0204D">
        <w:rPr>
          <w:szCs w:val="24"/>
        </w:rPr>
        <w:t xml:space="preserve"> ir </w:t>
      </w:r>
      <w:r w:rsidR="00517963">
        <w:rPr>
          <w:szCs w:val="24"/>
        </w:rPr>
        <w:t>teikia šias</w:t>
      </w:r>
      <w:r w:rsidR="00A0204D">
        <w:rPr>
          <w:szCs w:val="24"/>
        </w:rPr>
        <w:t xml:space="preserve"> pastab</w:t>
      </w:r>
      <w:r w:rsidR="00517963">
        <w:rPr>
          <w:szCs w:val="24"/>
        </w:rPr>
        <w:t>as</w:t>
      </w:r>
      <w:r w:rsidR="00A0204D">
        <w:rPr>
          <w:szCs w:val="24"/>
        </w:rPr>
        <w:t>.</w:t>
      </w:r>
      <w:r w:rsidR="001165BB">
        <w:rPr>
          <w:szCs w:val="24"/>
        </w:rPr>
        <w:t xml:space="preserve"> </w:t>
      </w:r>
    </w:p>
    <w:p w:rsidR="006E49F6" w:rsidRDefault="00517963" w:rsidP="006E49F6">
      <w:pPr>
        <w:ind w:firstLine="720"/>
        <w:jc w:val="both"/>
        <w:rPr>
          <w:color w:val="000000"/>
          <w:szCs w:val="24"/>
        </w:rPr>
      </w:pPr>
      <w:r>
        <w:rPr>
          <w:szCs w:val="24"/>
        </w:rPr>
        <w:t xml:space="preserve">Įvertinę nutarimo projekto teikime </w:t>
      </w:r>
      <w:r w:rsidR="001640EB">
        <w:rPr>
          <w:szCs w:val="24"/>
        </w:rPr>
        <w:t xml:space="preserve">pateiktą informaciją, </w:t>
      </w:r>
      <w:r w:rsidR="001165BB">
        <w:rPr>
          <w:szCs w:val="24"/>
        </w:rPr>
        <w:t xml:space="preserve">norėtume </w:t>
      </w:r>
      <w:r w:rsidR="001640EB">
        <w:rPr>
          <w:szCs w:val="24"/>
        </w:rPr>
        <w:t>pažym</w:t>
      </w:r>
      <w:r w:rsidR="001165BB">
        <w:rPr>
          <w:szCs w:val="24"/>
        </w:rPr>
        <w:t>ėti</w:t>
      </w:r>
      <w:r w:rsidR="001640EB">
        <w:rPr>
          <w:szCs w:val="24"/>
        </w:rPr>
        <w:t xml:space="preserve">, kad naujos viešosios įstaigos </w:t>
      </w:r>
      <w:r w:rsidR="00A274CD" w:rsidRPr="00C869B9">
        <w:rPr>
          <w:spacing w:val="-2"/>
          <w:szCs w:val="24"/>
        </w:rPr>
        <w:t>Bendrystės ir</w:t>
      </w:r>
      <w:r w:rsidR="00A274CD">
        <w:rPr>
          <w:spacing w:val="-2"/>
          <w:szCs w:val="24"/>
        </w:rPr>
        <w:t xml:space="preserve"> inovacijų centro </w:t>
      </w:r>
      <w:r w:rsidR="00A553BE">
        <w:rPr>
          <w:spacing w:val="-2"/>
          <w:szCs w:val="24"/>
        </w:rPr>
        <w:t xml:space="preserve">(toliau – viešoji įstaiga) </w:t>
      </w:r>
      <w:r w:rsidR="001640EB">
        <w:rPr>
          <w:szCs w:val="24"/>
        </w:rPr>
        <w:t>steigimas galimai prieštarauja 2018 m. gegužės 16 d. Vyriausybės nutarimu Nr.495 patvirtintam Viešojo sektoriaus įstaigų sistemos tobulinimo gairių aprašui (toliau – Gairių aprašas), kurio 5</w:t>
      </w:r>
      <w:r w:rsidR="007134E7">
        <w:rPr>
          <w:szCs w:val="24"/>
        </w:rPr>
        <w:t xml:space="preserve"> </w:t>
      </w:r>
      <w:r w:rsidR="001640EB">
        <w:rPr>
          <w:szCs w:val="24"/>
        </w:rPr>
        <w:t>punkt</w:t>
      </w:r>
      <w:r w:rsidR="002051D5">
        <w:rPr>
          <w:szCs w:val="24"/>
        </w:rPr>
        <w:t>e</w:t>
      </w:r>
      <w:r w:rsidR="001640EB">
        <w:rPr>
          <w:szCs w:val="24"/>
        </w:rPr>
        <w:t xml:space="preserve"> imperatyviai nustatyta, kad bet</w:t>
      </w:r>
      <w:r w:rsidR="001640EB">
        <w:rPr>
          <w:rFonts w:ascii="Arial" w:hAnsi="Arial" w:cs="Arial"/>
          <w:color w:val="000000"/>
        </w:rPr>
        <w:t xml:space="preserve"> </w:t>
      </w:r>
      <w:r w:rsidR="001640EB" w:rsidRPr="005206BB">
        <w:rPr>
          <w:color w:val="000000"/>
          <w:szCs w:val="24"/>
        </w:rPr>
        <w:t xml:space="preserve">kuri nauja viešojo sektoriaus įstaiga steigiama </w:t>
      </w:r>
      <w:r w:rsidR="001640EB" w:rsidRPr="005206BB">
        <w:rPr>
          <w:i/>
          <w:color w:val="000000"/>
          <w:szCs w:val="24"/>
        </w:rPr>
        <w:t>tik tada, kai</w:t>
      </w:r>
      <w:r w:rsidR="001640EB" w:rsidRPr="005206BB">
        <w:rPr>
          <w:color w:val="000000"/>
          <w:szCs w:val="24"/>
        </w:rPr>
        <w:t xml:space="preserve"> tai pagrįstai būtina ir nėra galimybės pasiekti užsibrėžtų tikslų kitomis priemonėmis</w:t>
      </w:r>
      <w:r w:rsidR="007134E7">
        <w:rPr>
          <w:color w:val="000000"/>
          <w:szCs w:val="24"/>
        </w:rPr>
        <w:t>.</w:t>
      </w:r>
      <w:r w:rsidR="001640EB">
        <w:rPr>
          <w:color w:val="000000"/>
          <w:szCs w:val="24"/>
        </w:rPr>
        <w:t xml:space="preserve"> </w:t>
      </w:r>
      <w:r w:rsidR="002051D5">
        <w:rPr>
          <w:color w:val="000000"/>
          <w:szCs w:val="24"/>
        </w:rPr>
        <w:t xml:space="preserve">Gairių aprašo 6 punkte nustatyta, kad </w:t>
      </w:r>
      <w:r w:rsidR="002051D5" w:rsidRPr="00517963">
        <w:rPr>
          <w:i/>
          <w:color w:val="000000"/>
          <w:szCs w:val="24"/>
        </w:rPr>
        <w:t>v</w:t>
      </w:r>
      <w:r w:rsidR="001640EB" w:rsidRPr="00517963">
        <w:rPr>
          <w:i/>
          <w:color w:val="000000"/>
          <w:szCs w:val="24"/>
        </w:rPr>
        <w:t>isais atvejais</w:t>
      </w:r>
      <w:r w:rsidR="001640EB" w:rsidRPr="005206BB">
        <w:rPr>
          <w:color w:val="000000"/>
          <w:szCs w:val="24"/>
        </w:rPr>
        <w:t xml:space="preserve"> turi būti įvertinama galimybė naujas funkcijas pavesti jau veikiančiai viešojo sektoriaus įstaigai (ar veikiančioms viešojo sektoriaus įstaigoms) arba įvertinamos su naujų funkcijų sritimi susijusių jau veikiančių viešojo sektoriaus įstaigų reorganizavimo ar pertvarkymo galimybės.</w:t>
      </w:r>
      <w:r w:rsidR="00BE5ECE">
        <w:rPr>
          <w:color w:val="000000"/>
          <w:szCs w:val="24"/>
        </w:rPr>
        <w:t xml:space="preserve"> </w:t>
      </w:r>
      <w:r w:rsidR="00283069">
        <w:rPr>
          <w:color w:val="000000"/>
          <w:szCs w:val="24"/>
        </w:rPr>
        <w:t xml:space="preserve">Pažymėtina, kad pagal viešosios įstaigos steigimo aktą bus siekiama tokių pat tikslų, kokie yra šiuo metu nustatyti viešosios įstaigos Vilniaus kultūros, pramogų ir sporto rūmų įstatuose, patvirtintuose vidaus reikalų ministro 2017 m. spalio 31 d. įsakymu Nr. 1V-756. </w:t>
      </w:r>
      <w:r w:rsidR="00BE5ECE">
        <w:rPr>
          <w:color w:val="000000"/>
          <w:szCs w:val="24"/>
        </w:rPr>
        <w:t xml:space="preserve">Taip pat, pagal </w:t>
      </w:r>
      <w:r w:rsidR="001640EB">
        <w:rPr>
          <w:color w:val="000000"/>
          <w:szCs w:val="24"/>
        </w:rPr>
        <w:t xml:space="preserve">Gairių aprašo 7 </w:t>
      </w:r>
      <w:r w:rsidR="001640EB" w:rsidRPr="005206BB">
        <w:rPr>
          <w:color w:val="000000"/>
          <w:szCs w:val="24"/>
        </w:rPr>
        <w:t>punktą teikiant siūlymą įsteigti naują viešojo sektoriaus įstaigą, kartu turi būti pateiktas išsamus siūlomo sprendimo pagrindimas, apimantis visų galimų alternatyvų, atitinkančių Gairių 5 ir 6 punktų nuostatas (taip pat ir tų, kurios buvo nagrinėtos ir atmestos), analizės rezultatus.</w:t>
      </w:r>
      <w:r w:rsidR="001640EB">
        <w:rPr>
          <w:color w:val="000000"/>
          <w:szCs w:val="24"/>
        </w:rPr>
        <w:t xml:space="preserve"> </w:t>
      </w:r>
    </w:p>
    <w:p w:rsidR="006E49F6" w:rsidRDefault="001640EB" w:rsidP="006E49F6">
      <w:pPr>
        <w:ind w:firstLine="720"/>
        <w:jc w:val="both"/>
        <w:rPr>
          <w:color w:val="000000"/>
          <w:szCs w:val="24"/>
        </w:rPr>
      </w:pPr>
      <w:r>
        <w:rPr>
          <w:color w:val="000000"/>
          <w:szCs w:val="24"/>
        </w:rPr>
        <w:t xml:space="preserve">Kalbant apie </w:t>
      </w:r>
      <w:r w:rsidR="00517963">
        <w:rPr>
          <w:color w:val="000000"/>
          <w:szCs w:val="24"/>
        </w:rPr>
        <w:t xml:space="preserve">teikime </w:t>
      </w:r>
      <w:r>
        <w:rPr>
          <w:color w:val="000000"/>
          <w:szCs w:val="24"/>
        </w:rPr>
        <w:t xml:space="preserve">pateiktą informaciją, galima daryti išvadas, kad ketinama steigti viešoji įstaiga savo veiklos pobūdžiu nebus viešojo administravimo įstaiga, nors pagal Gairių </w:t>
      </w:r>
      <w:r w:rsidRPr="00621060">
        <w:rPr>
          <w:color w:val="000000"/>
          <w:szCs w:val="24"/>
        </w:rPr>
        <w:t xml:space="preserve">aprašo 33 punktą valstybė galėtų dalyvauti tik tose viešosiose įstaigose, kurios vykdo viešojo administravimo veiklą, teikia viešąsias paslaugas </w:t>
      </w:r>
      <w:r w:rsidRPr="00621060">
        <w:rPr>
          <w:i/>
          <w:color w:val="000000"/>
          <w:szCs w:val="24"/>
        </w:rPr>
        <w:t>ar atlieka kitas valstybei ar savivaldybei svarbias funkcijas</w:t>
      </w:r>
      <w:r w:rsidRPr="00621060">
        <w:rPr>
          <w:color w:val="000000"/>
          <w:szCs w:val="24"/>
        </w:rPr>
        <w:t xml:space="preserve">. </w:t>
      </w:r>
      <w:r>
        <w:rPr>
          <w:color w:val="000000"/>
          <w:szCs w:val="24"/>
        </w:rPr>
        <w:t xml:space="preserve">Manytume, kad ketinamos steigti viešosios įstaigos veiklos turinys atitiktų asociacijoms būdingas veiklas. Abejones dėl naujos viešosios įstaigos veiklos atitikties Gairių </w:t>
      </w:r>
      <w:r w:rsidR="00BE5ECE">
        <w:rPr>
          <w:color w:val="000000"/>
          <w:szCs w:val="24"/>
        </w:rPr>
        <w:t xml:space="preserve">aprašo </w:t>
      </w:r>
      <w:r>
        <w:rPr>
          <w:color w:val="000000"/>
          <w:szCs w:val="24"/>
        </w:rPr>
        <w:t xml:space="preserve">reikalavimams pagrindžia ir tai, kad teikiant nutarimo projektą dėl valstybės piniginių išteklių investavimo nėra atskleista informacija, </w:t>
      </w:r>
      <w:r w:rsidR="00517963">
        <w:rPr>
          <w:color w:val="000000"/>
          <w:szCs w:val="24"/>
        </w:rPr>
        <w:t>kiek planuojama įdarbinti darbuotojų šioje įstaigoje,</w:t>
      </w:r>
      <w:r>
        <w:rPr>
          <w:color w:val="000000"/>
          <w:szCs w:val="24"/>
        </w:rPr>
        <w:t xml:space="preserve"> iš kokių šaltinių bus  finansuojamos šios įstaigos veiklos sąnaudos/išlaidos, kokie pajamų šaltiniai užtikrins šios įstaigos veiklų vykdymą, ar reikės/nereikės valstybės biudžeto lėšų</w:t>
      </w:r>
      <w:r w:rsidR="00517963">
        <w:rPr>
          <w:color w:val="000000"/>
          <w:szCs w:val="24"/>
        </w:rPr>
        <w:t xml:space="preserve"> veikloms finansuoti</w:t>
      </w:r>
      <w:r>
        <w:rPr>
          <w:color w:val="000000"/>
          <w:szCs w:val="24"/>
        </w:rPr>
        <w:t>.</w:t>
      </w:r>
      <w:r w:rsidR="006E49F6">
        <w:rPr>
          <w:color w:val="000000"/>
          <w:szCs w:val="24"/>
        </w:rPr>
        <w:t xml:space="preserve"> </w:t>
      </w:r>
    </w:p>
    <w:p w:rsidR="001640EB" w:rsidRDefault="00517963" w:rsidP="006E49F6">
      <w:pPr>
        <w:ind w:firstLine="720"/>
        <w:jc w:val="both"/>
        <w:rPr>
          <w:color w:val="000000"/>
          <w:szCs w:val="24"/>
        </w:rPr>
      </w:pPr>
      <w:r>
        <w:rPr>
          <w:color w:val="000000"/>
          <w:szCs w:val="24"/>
        </w:rPr>
        <w:t>N</w:t>
      </w:r>
      <w:r w:rsidR="001640EB">
        <w:rPr>
          <w:color w:val="000000"/>
          <w:szCs w:val="24"/>
        </w:rPr>
        <w:t>urodyti trūkumai sudaro pagrindą tei</w:t>
      </w:r>
      <w:r w:rsidR="004A6998">
        <w:rPr>
          <w:color w:val="000000"/>
          <w:szCs w:val="24"/>
        </w:rPr>
        <w:t>g</w:t>
      </w:r>
      <w:r w:rsidR="001640EB">
        <w:rPr>
          <w:color w:val="000000"/>
          <w:szCs w:val="24"/>
        </w:rPr>
        <w:t>ti, jog naujos viešosios įstaigos steigimas kelia pagrįstų abejonių dėl šios įstaigos steigimo tikslingumo, todėl siekiant skaidrumo ir atitikties Gairių aprašui turėtų bū</w:t>
      </w:r>
      <w:r w:rsidR="00BE5ECE">
        <w:rPr>
          <w:color w:val="000000"/>
          <w:szCs w:val="24"/>
        </w:rPr>
        <w:t xml:space="preserve">ti atskleista visa </w:t>
      </w:r>
      <w:r>
        <w:rPr>
          <w:color w:val="000000"/>
          <w:szCs w:val="24"/>
        </w:rPr>
        <w:t xml:space="preserve">teisės aktų reikalaujama </w:t>
      </w:r>
      <w:r w:rsidR="00BE5ECE">
        <w:rPr>
          <w:color w:val="000000"/>
          <w:szCs w:val="24"/>
        </w:rPr>
        <w:t>informacija.</w:t>
      </w:r>
    </w:p>
    <w:p w:rsidR="001640EB" w:rsidRDefault="001640EB" w:rsidP="00207378">
      <w:pPr>
        <w:spacing w:line="360" w:lineRule="auto"/>
        <w:ind w:firstLine="720"/>
        <w:jc w:val="both"/>
      </w:pPr>
    </w:p>
    <w:p w:rsidR="00283069" w:rsidRDefault="00283069" w:rsidP="00207378">
      <w:pPr>
        <w:spacing w:line="360" w:lineRule="auto"/>
        <w:ind w:firstLine="720"/>
        <w:jc w:val="both"/>
      </w:pPr>
    </w:p>
    <w:p w:rsidR="004F457E" w:rsidRDefault="004F457E" w:rsidP="00207378">
      <w:pPr>
        <w:spacing w:line="360" w:lineRule="auto"/>
        <w:ind w:firstLine="720"/>
        <w:jc w:val="both"/>
      </w:pPr>
    </w:p>
    <w:p w:rsidR="001A4EA6" w:rsidRPr="004F457E" w:rsidRDefault="001A4EA6" w:rsidP="00E43B49">
      <w:pPr>
        <w:rPr>
          <w:sz w:val="18"/>
          <w:szCs w:val="18"/>
        </w:rPr>
      </w:pPr>
      <w:r w:rsidRPr="004F457E">
        <w:rPr>
          <w:sz w:val="18"/>
          <w:szCs w:val="18"/>
        </w:rPr>
        <w:t xml:space="preserve">Akvilina </w:t>
      </w:r>
      <w:proofErr w:type="spellStart"/>
      <w:r w:rsidRPr="004F457E">
        <w:rPr>
          <w:sz w:val="18"/>
          <w:szCs w:val="18"/>
        </w:rPr>
        <w:t>Bružienė</w:t>
      </w:r>
      <w:proofErr w:type="spellEnd"/>
      <w:r w:rsidRPr="004F457E">
        <w:rPr>
          <w:sz w:val="18"/>
          <w:szCs w:val="18"/>
        </w:rPr>
        <w:t>, tel.(8 5)</w:t>
      </w:r>
      <w:r w:rsidR="00894048" w:rsidRPr="004F457E">
        <w:rPr>
          <w:sz w:val="18"/>
          <w:szCs w:val="18"/>
        </w:rPr>
        <w:t xml:space="preserve"> </w:t>
      </w:r>
      <w:r w:rsidRPr="004F457E">
        <w:rPr>
          <w:sz w:val="18"/>
          <w:szCs w:val="18"/>
        </w:rPr>
        <w:t xml:space="preserve">239 0036 el. p. </w:t>
      </w:r>
      <w:hyperlink r:id="rId13" w:history="1">
        <w:r w:rsidRPr="004F457E">
          <w:rPr>
            <w:rStyle w:val="Hipersaitas"/>
            <w:color w:val="auto"/>
            <w:sz w:val="18"/>
            <w:szCs w:val="18"/>
            <w:u w:val="none"/>
          </w:rPr>
          <w:t>akvilina.bruziene</w:t>
        </w:r>
        <w:r w:rsidRPr="004F457E">
          <w:rPr>
            <w:rStyle w:val="Hipersaitas"/>
            <w:color w:val="auto"/>
            <w:sz w:val="18"/>
            <w:szCs w:val="18"/>
            <w:u w:val="none"/>
            <w:lang w:val="en-US"/>
          </w:rPr>
          <w:t>@</w:t>
        </w:r>
        <w:proofErr w:type="spellStart"/>
        <w:r w:rsidRPr="004F457E">
          <w:rPr>
            <w:rStyle w:val="Hipersaitas"/>
            <w:color w:val="auto"/>
            <w:sz w:val="18"/>
            <w:szCs w:val="18"/>
            <w:u w:val="none"/>
          </w:rPr>
          <w:t>finmin.lt</w:t>
        </w:r>
        <w:proofErr w:type="spellEnd"/>
      </w:hyperlink>
      <w:r w:rsidRPr="004F457E">
        <w:rPr>
          <w:sz w:val="18"/>
          <w:szCs w:val="18"/>
        </w:rPr>
        <w:t>.</w:t>
      </w:r>
    </w:p>
    <w:p w:rsidR="00BE5ECE" w:rsidRPr="004F457E" w:rsidRDefault="00BE5ECE" w:rsidP="00E43B49">
      <w:pPr>
        <w:rPr>
          <w:sz w:val="18"/>
          <w:szCs w:val="18"/>
        </w:rPr>
      </w:pPr>
      <w:r w:rsidRPr="004F457E">
        <w:rPr>
          <w:sz w:val="18"/>
          <w:szCs w:val="18"/>
        </w:rPr>
        <w:t xml:space="preserve">Laima Kalinauskienė, tel. (8 5) 239 0127 el. p. </w:t>
      </w:r>
      <w:proofErr w:type="spellStart"/>
      <w:r w:rsidRPr="004F457E">
        <w:rPr>
          <w:sz w:val="18"/>
          <w:szCs w:val="18"/>
        </w:rPr>
        <w:t>laima.</w:t>
      </w:r>
      <w:r w:rsidR="006E49F6" w:rsidRPr="004F457E">
        <w:rPr>
          <w:sz w:val="18"/>
          <w:szCs w:val="18"/>
        </w:rPr>
        <w:t>kal</w:t>
      </w:r>
      <w:r w:rsidRPr="004F457E">
        <w:rPr>
          <w:sz w:val="18"/>
          <w:szCs w:val="18"/>
        </w:rPr>
        <w:t>inauskienė</w:t>
      </w:r>
      <w:proofErr w:type="spellEnd"/>
      <w:r w:rsidRPr="004F457E">
        <w:rPr>
          <w:sz w:val="18"/>
          <w:szCs w:val="18"/>
          <w:lang w:val="en-US"/>
        </w:rPr>
        <w:t>@</w:t>
      </w:r>
      <w:proofErr w:type="spellStart"/>
      <w:r w:rsidRPr="004F457E">
        <w:rPr>
          <w:sz w:val="18"/>
          <w:szCs w:val="18"/>
        </w:rPr>
        <w:t>finmin.lt</w:t>
      </w:r>
      <w:permEnd w:id="1142119605"/>
      <w:proofErr w:type="spellEnd"/>
    </w:p>
    <w:sectPr w:rsidR="00BE5ECE" w:rsidRPr="004F457E">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052" w:rsidRDefault="00892052">
      <w:r>
        <w:separator/>
      </w:r>
    </w:p>
  </w:endnote>
  <w:endnote w:type="continuationSeparator" w:id="0">
    <w:p w:rsidR="00892052" w:rsidRDefault="0089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1F2F71">
      <w:rPr>
        <w:noProof/>
        <w:sz w:val="10"/>
      </w:rPr>
      <w:t>VRM dėl Vši inovacijų centro23.docx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1F2F71">
      <w:rPr>
        <w:noProof/>
        <w:sz w:val="10"/>
      </w:rPr>
      <w:t>VRM dėl Vši inovacijų centro23.docx</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052" w:rsidRDefault="00892052">
      <w:r>
        <w:separator/>
      </w:r>
    </w:p>
  </w:footnote>
  <w:footnote w:type="continuationSeparator" w:id="0">
    <w:p w:rsidR="00892052" w:rsidRDefault="0089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3069">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F4"/>
    <w:rsid w:val="000103E4"/>
    <w:rsid w:val="000224A0"/>
    <w:rsid w:val="00026D9F"/>
    <w:rsid w:val="00030AFB"/>
    <w:rsid w:val="00032E76"/>
    <w:rsid w:val="0003731C"/>
    <w:rsid w:val="0006079A"/>
    <w:rsid w:val="000632E6"/>
    <w:rsid w:val="0006460C"/>
    <w:rsid w:val="00064771"/>
    <w:rsid w:val="00066BC1"/>
    <w:rsid w:val="00076760"/>
    <w:rsid w:val="00087E3A"/>
    <w:rsid w:val="000A5E91"/>
    <w:rsid w:val="000A7656"/>
    <w:rsid w:val="000B35CB"/>
    <w:rsid w:val="000C706C"/>
    <w:rsid w:val="000E0BAE"/>
    <w:rsid w:val="000E3A0D"/>
    <w:rsid w:val="000E6336"/>
    <w:rsid w:val="000E66F2"/>
    <w:rsid w:val="00106272"/>
    <w:rsid w:val="001165BB"/>
    <w:rsid w:val="0012069E"/>
    <w:rsid w:val="001303BC"/>
    <w:rsid w:val="00131AF6"/>
    <w:rsid w:val="00144A3E"/>
    <w:rsid w:val="001640EB"/>
    <w:rsid w:val="0016541E"/>
    <w:rsid w:val="0017313B"/>
    <w:rsid w:val="0017493E"/>
    <w:rsid w:val="001762C6"/>
    <w:rsid w:val="00190B88"/>
    <w:rsid w:val="001A1D75"/>
    <w:rsid w:val="001A4EA6"/>
    <w:rsid w:val="001B13BF"/>
    <w:rsid w:val="001B25B8"/>
    <w:rsid w:val="001B670C"/>
    <w:rsid w:val="001C2427"/>
    <w:rsid w:val="001F2F71"/>
    <w:rsid w:val="001F62A7"/>
    <w:rsid w:val="001F654F"/>
    <w:rsid w:val="002032F8"/>
    <w:rsid w:val="002042C7"/>
    <w:rsid w:val="002051D5"/>
    <w:rsid w:val="00207378"/>
    <w:rsid w:val="002149E0"/>
    <w:rsid w:val="00214CDC"/>
    <w:rsid w:val="00215B65"/>
    <w:rsid w:val="002207D5"/>
    <w:rsid w:val="00226405"/>
    <w:rsid w:val="00230C0B"/>
    <w:rsid w:val="0023616F"/>
    <w:rsid w:val="00245CF5"/>
    <w:rsid w:val="0025434A"/>
    <w:rsid w:val="00254A44"/>
    <w:rsid w:val="00254BEC"/>
    <w:rsid w:val="00256B27"/>
    <w:rsid w:val="00256C96"/>
    <w:rsid w:val="00264A87"/>
    <w:rsid w:val="00283069"/>
    <w:rsid w:val="00293045"/>
    <w:rsid w:val="002D5E05"/>
    <w:rsid w:val="002E3AFF"/>
    <w:rsid w:val="002F325D"/>
    <w:rsid w:val="0030447B"/>
    <w:rsid w:val="003130DE"/>
    <w:rsid w:val="00317D73"/>
    <w:rsid w:val="00353792"/>
    <w:rsid w:val="0035622A"/>
    <w:rsid w:val="0038600A"/>
    <w:rsid w:val="00390EEB"/>
    <w:rsid w:val="003B6D4A"/>
    <w:rsid w:val="003D1114"/>
    <w:rsid w:val="003D7384"/>
    <w:rsid w:val="003E0348"/>
    <w:rsid w:val="003F0F08"/>
    <w:rsid w:val="00404656"/>
    <w:rsid w:val="00436095"/>
    <w:rsid w:val="00436910"/>
    <w:rsid w:val="00436F8A"/>
    <w:rsid w:val="00463CCB"/>
    <w:rsid w:val="00467C94"/>
    <w:rsid w:val="00471A03"/>
    <w:rsid w:val="004856BF"/>
    <w:rsid w:val="004A14F8"/>
    <w:rsid w:val="004A626E"/>
    <w:rsid w:val="004A6998"/>
    <w:rsid w:val="004B2FD8"/>
    <w:rsid w:val="004C0ACD"/>
    <w:rsid w:val="004C28C2"/>
    <w:rsid w:val="004F04DF"/>
    <w:rsid w:val="004F1AE4"/>
    <w:rsid w:val="004F289A"/>
    <w:rsid w:val="004F457E"/>
    <w:rsid w:val="00517963"/>
    <w:rsid w:val="00527109"/>
    <w:rsid w:val="005547B5"/>
    <w:rsid w:val="00565378"/>
    <w:rsid w:val="00583A07"/>
    <w:rsid w:val="0059333B"/>
    <w:rsid w:val="005A745A"/>
    <w:rsid w:val="005B687E"/>
    <w:rsid w:val="005E0490"/>
    <w:rsid w:val="005F7A8D"/>
    <w:rsid w:val="00607612"/>
    <w:rsid w:val="00622609"/>
    <w:rsid w:val="00652B21"/>
    <w:rsid w:val="00664D44"/>
    <w:rsid w:val="006719CC"/>
    <w:rsid w:val="00676E45"/>
    <w:rsid w:val="00694378"/>
    <w:rsid w:val="006A114D"/>
    <w:rsid w:val="006B2448"/>
    <w:rsid w:val="006B46EB"/>
    <w:rsid w:val="006E07FD"/>
    <w:rsid w:val="006E384F"/>
    <w:rsid w:val="006E49F6"/>
    <w:rsid w:val="007134E7"/>
    <w:rsid w:val="00714248"/>
    <w:rsid w:val="00714AD7"/>
    <w:rsid w:val="00732BE0"/>
    <w:rsid w:val="00741C12"/>
    <w:rsid w:val="0074230B"/>
    <w:rsid w:val="0074762B"/>
    <w:rsid w:val="007500BF"/>
    <w:rsid w:val="007651A1"/>
    <w:rsid w:val="00773CF1"/>
    <w:rsid w:val="00775CB5"/>
    <w:rsid w:val="00786C63"/>
    <w:rsid w:val="00796592"/>
    <w:rsid w:val="007A71C3"/>
    <w:rsid w:val="007B1827"/>
    <w:rsid w:val="007B4EDF"/>
    <w:rsid w:val="007B58B5"/>
    <w:rsid w:val="007C1D2B"/>
    <w:rsid w:val="007C27A4"/>
    <w:rsid w:val="007D3DD9"/>
    <w:rsid w:val="007E2010"/>
    <w:rsid w:val="0080493D"/>
    <w:rsid w:val="00804E27"/>
    <w:rsid w:val="00805636"/>
    <w:rsid w:val="008151E8"/>
    <w:rsid w:val="00826869"/>
    <w:rsid w:val="008361AA"/>
    <w:rsid w:val="00841269"/>
    <w:rsid w:val="008644A6"/>
    <w:rsid w:val="00892052"/>
    <w:rsid w:val="008930BB"/>
    <w:rsid w:val="00894048"/>
    <w:rsid w:val="008A416C"/>
    <w:rsid w:val="008A45E3"/>
    <w:rsid w:val="00902C52"/>
    <w:rsid w:val="00916E0D"/>
    <w:rsid w:val="009317AC"/>
    <w:rsid w:val="009351FB"/>
    <w:rsid w:val="00955E99"/>
    <w:rsid w:val="0096013A"/>
    <w:rsid w:val="009A3433"/>
    <w:rsid w:val="009B757A"/>
    <w:rsid w:val="009D0547"/>
    <w:rsid w:val="009D432D"/>
    <w:rsid w:val="009D7311"/>
    <w:rsid w:val="009E6D44"/>
    <w:rsid w:val="00A0204D"/>
    <w:rsid w:val="00A24C68"/>
    <w:rsid w:val="00A274CD"/>
    <w:rsid w:val="00A553BE"/>
    <w:rsid w:val="00A64222"/>
    <w:rsid w:val="00A646A2"/>
    <w:rsid w:val="00A722A3"/>
    <w:rsid w:val="00A9081B"/>
    <w:rsid w:val="00A95AE6"/>
    <w:rsid w:val="00AA3413"/>
    <w:rsid w:val="00AC2666"/>
    <w:rsid w:val="00AD316B"/>
    <w:rsid w:val="00AE35C4"/>
    <w:rsid w:val="00AF2370"/>
    <w:rsid w:val="00B065F7"/>
    <w:rsid w:val="00B21A2D"/>
    <w:rsid w:val="00B23061"/>
    <w:rsid w:val="00B45CFC"/>
    <w:rsid w:val="00B62CC5"/>
    <w:rsid w:val="00B638D3"/>
    <w:rsid w:val="00B64870"/>
    <w:rsid w:val="00BA14F5"/>
    <w:rsid w:val="00BB35D3"/>
    <w:rsid w:val="00BD32C5"/>
    <w:rsid w:val="00BD3865"/>
    <w:rsid w:val="00BD4B3C"/>
    <w:rsid w:val="00BD65BC"/>
    <w:rsid w:val="00BE5ECE"/>
    <w:rsid w:val="00C04099"/>
    <w:rsid w:val="00C230C2"/>
    <w:rsid w:val="00C24754"/>
    <w:rsid w:val="00C34399"/>
    <w:rsid w:val="00C42950"/>
    <w:rsid w:val="00C500F4"/>
    <w:rsid w:val="00C5408E"/>
    <w:rsid w:val="00C55CCF"/>
    <w:rsid w:val="00C612D0"/>
    <w:rsid w:val="00C869B9"/>
    <w:rsid w:val="00C87045"/>
    <w:rsid w:val="00C9687B"/>
    <w:rsid w:val="00CA6BA9"/>
    <w:rsid w:val="00CA7055"/>
    <w:rsid w:val="00CB02E7"/>
    <w:rsid w:val="00CB0E0D"/>
    <w:rsid w:val="00CE2D74"/>
    <w:rsid w:val="00CF0062"/>
    <w:rsid w:val="00CF5CFC"/>
    <w:rsid w:val="00CF662A"/>
    <w:rsid w:val="00D114B4"/>
    <w:rsid w:val="00D31D1E"/>
    <w:rsid w:val="00D44547"/>
    <w:rsid w:val="00D47873"/>
    <w:rsid w:val="00D509D5"/>
    <w:rsid w:val="00D56076"/>
    <w:rsid w:val="00D642A5"/>
    <w:rsid w:val="00D65BAB"/>
    <w:rsid w:val="00D925FB"/>
    <w:rsid w:val="00DA31A2"/>
    <w:rsid w:val="00DA6D32"/>
    <w:rsid w:val="00DB2BDD"/>
    <w:rsid w:val="00DD48E6"/>
    <w:rsid w:val="00E03622"/>
    <w:rsid w:val="00E21F66"/>
    <w:rsid w:val="00E236D3"/>
    <w:rsid w:val="00E35059"/>
    <w:rsid w:val="00E43B49"/>
    <w:rsid w:val="00E806B4"/>
    <w:rsid w:val="00E93284"/>
    <w:rsid w:val="00EB5D9C"/>
    <w:rsid w:val="00EB7998"/>
    <w:rsid w:val="00EC11FC"/>
    <w:rsid w:val="00EC5898"/>
    <w:rsid w:val="00EE1B7F"/>
    <w:rsid w:val="00EE777F"/>
    <w:rsid w:val="00EF2672"/>
    <w:rsid w:val="00F12CE5"/>
    <w:rsid w:val="00F23A6E"/>
    <w:rsid w:val="00F24EC4"/>
    <w:rsid w:val="00F408B0"/>
    <w:rsid w:val="00F5742E"/>
    <w:rsid w:val="00F60BDA"/>
    <w:rsid w:val="00F62AFD"/>
    <w:rsid w:val="00F64FDA"/>
    <w:rsid w:val="00F66332"/>
    <w:rsid w:val="00F82BF7"/>
    <w:rsid w:val="00F8505D"/>
    <w:rsid w:val="00F905CF"/>
    <w:rsid w:val="00F954E9"/>
    <w:rsid w:val="00F978B4"/>
    <w:rsid w:val="00FA05DB"/>
    <w:rsid w:val="00FA2786"/>
    <w:rsid w:val="00FB1E35"/>
    <w:rsid w:val="00FB6EE8"/>
    <w:rsid w:val="00FC1DD2"/>
    <w:rsid w:val="00FD7891"/>
    <w:rsid w:val="00FE3206"/>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D3E1D4-3D75-4D1B-A16F-CDE11BA6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1A4EA6"/>
    <w:rPr>
      <w:color w:val="0000FF" w:themeColor="hyperlink"/>
      <w:u w:val="single"/>
    </w:rPr>
  </w:style>
  <w:style w:type="paragraph" w:customStyle="1" w:styleId="Pavadinimas1">
    <w:name w:val="Pavadinimas1"/>
    <w:basedOn w:val="prastasis"/>
    <w:rsid w:val="00293045"/>
    <w:pPr>
      <w:spacing w:before="40" w:after="40"/>
      <w:ind w:right="1959"/>
    </w:pPr>
    <w:rPr>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495416">
      <w:bodyDiv w:val="1"/>
      <w:marLeft w:val="0"/>
      <w:marRight w:val="0"/>
      <w:marTop w:val="0"/>
      <w:marBottom w:val="0"/>
      <w:divBdr>
        <w:top w:val="none" w:sz="0" w:space="0" w:color="auto"/>
        <w:left w:val="none" w:sz="0" w:space="0" w:color="auto"/>
        <w:bottom w:val="none" w:sz="0" w:space="0" w:color="auto"/>
        <w:right w:val="none" w:sz="0" w:space="0" w:color="auto"/>
      </w:divBdr>
      <w:divsChild>
        <w:div w:id="1171676378">
          <w:marLeft w:val="0"/>
          <w:marRight w:val="0"/>
          <w:marTop w:val="0"/>
          <w:marBottom w:val="0"/>
          <w:divBdr>
            <w:top w:val="none" w:sz="0" w:space="0" w:color="auto"/>
            <w:left w:val="none" w:sz="0" w:space="0" w:color="auto"/>
            <w:bottom w:val="none" w:sz="0" w:space="0" w:color="auto"/>
            <w:right w:val="none" w:sz="0" w:space="0" w:color="auto"/>
          </w:divBdr>
        </w:div>
      </w:divsChild>
    </w:div>
    <w:div w:id="809252312">
      <w:bodyDiv w:val="1"/>
      <w:marLeft w:val="0"/>
      <w:marRight w:val="0"/>
      <w:marTop w:val="0"/>
      <w:marBottom w:val="0"/>
      <w:divBdr>
        <w:top w:val="none" w:sz="0" w:space="0" w:color="auto"/>
        <w:left w:val="none" w:sz="0" w:space="0" w:color="auto"/>
        <w:bottom w:val="none" w:sz="0" w:space="0" w:color="auto"/>
        <w:right w:val="none" w:sz="0" w:space="0" w:color="auto"/>
      </w:divBdr>
      <w:divsChild>
        <w:div w:id="2000110394">
          <w:marLeft w:val="0"/>
          <w:marRight w:val="0"/>
          <w:marTop w:val="0"/>
          <w:marBottom w:val="0"/>
          <w:divBdr>
            <w:top w:val="none" w:sz="0" w:space="0" w:color="auto"/>
            <w:left w:val="none" w:sz="0" w:space="0" w:color="auto"/>
            <w:bottom w:val="none" w:sz="0" w:space="0" w:color="auto"/>
            <w:right w:val="none" w:sz="0" w:space="0" w:color="auto"/>
          </w:divBdr>
          <w:divsChild>
            <w:div w:id="1051415981">
              <w:marLeft w:val="0"/>
              <w:marRight w:val="0"/>
              <w:marTop w:val="0"/>
              <w:marBottom w:val="0"/>
              <w:divBdr>
                <w:top w:val="none" w:sz="0" w:space="0" w:color="auto"/>
                <w:left w:val="none" w:sz="0" w:space="0" w:color="auto"/>
                <w:bottom w:val="none" w:sz="0" w:space="0" w:color="auto"/>
                <w:right w:val="none" w:sz="0" w:space="0" w:color="auto"/>
              </w:divBdr>
            </w:div>
            <w:div w:id="18262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999">
      <w:bodyDiv w:val="1"/>
      <w:marLeft w:val="0"/>
      <w:marRight w:val="0"/>
      <w:marTop w:val="0"/>
      <w:marBottom w:val="0"/>
      <w:divBdr>
        <w:top w:val="none" w:sz="0" w:space="0" w:color="auto"/>
        <w:left w:val="none" w:sz="0" w:space="0" w:color="auto"/>
        <w:bottom w:val="none" w:sz="0" w:space="0" w:color="auto"/>
        <w:right w:val="none" w:sz="0" w:space="0" w:color="auto"/>
      </w:divBdr>
      <w:divsChild>
        <w:div w:id="1020814575">
          <w:marLeft w:val="0"/>
          <w:marRight w:val="0"/>
          <w:marTop w:val="0"/>
          <w:marBottom w:val="0"/>
          <w:divBdr>
            <w:top w:val="none" w:sz="0" w:space="0" w:color="auto"/>
            <w:left w:val="none" w:sz="0" w:space="0" w:color="auto"/>
            <w:bottom w:val="none" w:sz="0" w:space="0" w:color="auto"/>
            <w:right w:val="none" w:sz="0" w:space="0" w:color="auto"/>
          </w:divBdr>
          <w:divsChild>
            <w:div w:id="1016157298">
              <w:marLeft w:val="0"/>
              <w:marRight w:val="0"/>
              <w:marTop w:val="0"/>
              <w:marBottom w:val="0"/>
              <w:divBdr>
                <w:top w:val="none" w:sz="0" w:space="0" w:color="auto"/>
                <w:left w:val="none" w:sz="0" w:space="0" w:color="auto"/>
                <w:bottom w:val="none" w:sz="0" w:space="0" w:color="auto"/>
                <w:right w:val="none" w:sz="0" w:space="0" w:color="auto"/>
              </w:divBdr>
              <w:divsChild>
                <w:div w:id="141428017">
                  <w:marLeft w:val="0"/>
                  <w:marRight w:val="0"/>
                  <w:marTop w:val="0"/>
                  <w:marBottom w:val="0"/>
                  <w:divBdr>
                    <w:top w:val="none" w:sz="0" w:space="0" w:color="auto"/>
                    <w:left w:val="none" w:sz="0" w:space="0" w:color="auto"/>
                    <w:bottom w:val="none" w:sz="0" w:space="0" w:color="auto"/>
                    <w:right w:val="none" w:sz="0" w:space="0" w:color="auto"/>
                  </w:divBdr>
                  <w:divsChild>
                    <w:div w:id="1060636485">
                      <w:marLeft w:val="0"/>
                      <w:marRight w:val="0"/>
                      <w:marTop w:val="0"/>
                      <w:marBottom w:val="0"/>
                      <w:divBdr>
                        <w:top w:val="none" w:sz="0" w:space="0" w:color="auto"/>
                        <w:left w:val="none" w:sz="0" w:space="0" w:color="auto"/>
                        <w:bottom w:val="none" w:sz="0" w:space="0" w:color="auto"/>
                        <w:right w:val="none" w:sz="0" w:space="0" w:color="auto"/>
                      </w:divBdr>
                    </w:div>
                    <w:div w:id="1612515283">
                      <w:marLeft w:val="0"/>
                      <w:marRight w:val="0"/>
                      <w:marTop w:val="0"/>
                      <w:marBottom w:val="0"/>
                      <w:divBdr>
                        <w:top w:val="none" w:sz="0" w:space="0" w:color="auto"/>
                        <w:left w:val="none" w:sz="0" w:space="0" w:color="auto"/>
                        <w:bottom w:val="none" w:sz="0" w:space="0" w:color="auto"/>
                        <w:right w:val="none" w:sz="0" w:space="0" w:color="auto"/>
                      </w:divBdr>
                    </w:div>
                    <w:div w:id="1009675711">
                      <w:marLeft w:val="0"/>
                      <w:marRight w:val="0"/>
                      <w:marTop w:val="0"/>
                      <w:marBottom w:val="0"/>
                      <w:divBdr>
                        <w:top w:val="none" w:sz="0" w:space="0" w:color="auto"/>
                        <w:left w:val="none" w:sz="0" w:space="0" w:color="auto"/>
                        <w:bottom w:val="none" w:sz="0" w:space="0" w:color="auto"/>
                        <w:right w:val="none" w:sz="0" w:space="0" w:color="auto"/>
                      </w:divBdr>
                    </w:div>
                    <w:div w:id="1371297554">
                      <w:marLeft w:val="0"/>
                      <w:marRight w:val="0"/>
                      <w:marTop w:val="0"/>
                      <w:marBottom w:val="0"/>
                      <w:divBdr>
                        <w:top w:val="none" w:sz="0" w:space="0" w:color="auto"/>
                        <w:left w:val="none" w:sz="0" w:space="0" w:color="auto"/>
                        <w:bottom w:val="none" w:sz="0" w:space="0" w:color="auto"/>
                        <w:right w:val="none" w:sz="0" w:space="0" w:color="auto"/>
                      </w:divBdr>
                    </w:div>
                    <w:div w:id="1809318525">
                      <w:marLeft w:val="0"/>
                      <w:marRight w:val="0"/>
                      <w:marTop w:val="0"/>
                      <w:marBottom w:val="0"/>
                      <w:divBdr>
                        <w:top w:val="none" w:sz="0" w:space="0" w:color="auto"/>
                        <w:left w:val="none" w:sz="0" w:space="0" w:color="auto"/>
                        <w:bottom w:val="none" w:sz="0" w:space="0" w:color="auto"/>
                        <w:right w:val="none" w:sz="0" w:space="0" w:color="auto"/>
                      </w:divBdr>
                    </w:div>
                    <w:div w:id="158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27710">
      <w:bodyDiv w:val="1"/>
      <w:marLeft w:val="0"/>
      <w:marRight w:val="0"/>
      <w:marTop w:val="0"/>
      <w:marBottom w:val="0"/>
      <w:divBdr>
        <w:top w:val="none" w:sz="0" w:space="0" w:color="auto"/>
        <w:left w:val="none" w:sz="0" w:space="0" w:color="auto"/>
        <w:bottom w:val="none" w:sz="0" w:space="0" w:color="auto"/>
        <w:right w:val="none" w:sz="0" w:space="0" w:color="auto"/>
      </w:divBdr>
      <w:divsChild>
        <w:div w:id="853959325">
          <w:marLeft w:val="0"/>
          <w:marRight w:val="0"/>
          <w:marTop w:val="0"/>
          <w:marBottom w:val="0"/>
          <w:divBdr>
            <w:top w:val="none" w:sz="0" w:space="0" w:color="auto"/>
            <w:left w:val="none" w:sz="0" w:space="0" w:color="auto"/>
            <w:bottom w:val="none" w:sz="0" w:space="0" w:color="auto"/>
            <w:right w:val="none" w:sz="0" w:space="0" w:color="auto"/>
          </w:divBdr>
          <w:divsChild>
            <w:div w:id="66265675">
              <w:marLeft w:val="0"/>
              <w:marRight w:val="0"/>
              <w:marTop w:val="0"/>
              <w:marBottom w:val="0"/>
              <w:divBdr>
                <w:top w:val="none" w:sz="0" w:space="0" w:color="auto"/>
                <w:left w:val="none" w:sz="0" w:space="0" w:color="auto"/>
                <w:bottom w:val="none" w:sz="0" w:space="0" w:color="auto"/>
                <w:right w:val="none" w:sz="0" w:space="0" w:color="auto"/>
              </w:divBdr>
              <w:divsChild>
                <w:div w:id="358120774">
                  <w:marLeft w:val="0"/>
                  <w:marRight w:val="0"/>
                  <w:marTop w:val="0"/>
                  <w:marBottom w:val="0"/>
                  <w:divBdr>
                    <w:top w:val="none" w:sz="0" w:space="0" w:color="auto"/>
                    <w:left w:val="none" w:sz="0" w:space="0" w:color="auto"/>
                    <w:bottom w:val="none" w:sz="0" w:space="0" w:color="auto"/>
                    <w:right w:val="none" w:sz="0" w:space="0" w:color="auto"/>
                  </w:divBdr>
                  <w:divsChild>
                    <w:div w:id="18197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08414">
      <w:bodyDiv w:val="1"/>
      <w:marLeft w:val="0"/>
      <w:marRight w:val="0"/>
      <w:marTop w:val="0"/>
      <w:marBottom w:val="0"/>
      <w:divBdr>
        <w:top w:val="none" w:sz="0" w:space="0" w:color="auto"/>
        <w:left w:val="none" w:sz="0" w:space="0" w:color="auto"/>
        <w:bottom w:val="none" w:sz="0" w:space="0" w:color="auto"/>
        <w:right w:val="none" w:sz="0" w:space="0" w:color="auto"/>
      </w:divBdr>
    </w:div>
    <w:div w:id="2056420493">
      <w:bodyDiv w:val="1"/>
      <w:marLeft w:val="0"/>
      <w:marRight w:val="0"/>
      <w:marTop w:val="0"/>
      <w:marBottom w:val="0"/>
      <w:divBdr>
        <w:top w:val="none" w:sz="0" w:space="0" w:color="auto"/>
        <w:left w:val="none" w:sz="0" w:space="0" w:color="auto"/>
        <w:bottom w:val="none" w:sz="0" w:space="0" w:color="auto"/>
        <w:right w:val="none" w:sz="0" w:space="0" w:color="auto"/>
      </w:divBdr>
      <w:divsChild>
        <w:div w:id="1950235989">
          <w:marLeft w:val="0"/>
          <w:marRight w:val="0"/>
          <w:marTop w:val="0"/>
          <w:marBottom w:val="0"/>
          <w:divBdr>
            <w:top w:val="none" w:sz="0" w:space="0" w:color="auto"/>
            <w:left w:val="none" w:sz="0" w:space="0" w:color="auto"/>
            <w:bottom w:val="none" w:sz="0" w:space="0" w:color="auto"/>
            <w:right w:val="none" w:sz="0" w:space="0" w:color="auto"/>
          </w:divBdr>
          <w:divsChild>
            <w:div w:id="781804320">
              <w:marLeft w:val="0"/>
              <w:marRight w:val="0"/>
              <w:marTop w:val="0"/>
              <w:marBottom w:val="0"/>
              <w:divBdr>
                <w:top w:val="none" w:sz="0" w:space="0" w:color="auto"/>
                <w:left w:val="none" w:sz="0" w:space="0" w:color="auto"/>
                <w:bottom w:val="none" w:sz="0" w:space="0" w:color="auto"/>
                <w:right w:val="none" w:sz="0" w:space="0" w:color="auto"/>
              </w:divBdr>
              <w:divsChild>
                <w:div w:id="588075572">
                  <w:marLeft w:val="0"/>
                  <w:marRight w:val="0"/>
                  <w:marTop w:val="0"/>
                  <w:marBottom w:val="0"/>
                  <w:divBdr>
                    <w:top w:val="none" w:sz="0" w:space="0" w:color="auto"/>
                    <w:left w:val="none" w:sz="0" w:space="0" w:color="auto"/>
                    <w:bottom w:val="none" w:sz="0" w:space="0" w:color="auto"/>
                    <w:right w:val="none" w:sz="0" w:space="0" w:color="auto"/>
                  </w:divBdr>
                  <w:divsChild>
                    <w:div w:id="962662195">
                      <w:marLeft w:val="0"/>
                      <w:marRight w:val="0"/>
                      <w:marTop w:val="0"/>
                      <w:marBottom w:val="0"/>
                      <w:divBdr>
                        <w:top w:val="none" w:sz="0" w:space="0" w:color="auto"/>
                        <w:left w:val="none" w:sz="0" w:space="0" w:color="auto"/>
                        <w:bottom w:val="none" w:sz="0" w:space="0" w:color="auto"/>
                        <w:right w:val="none" w:sz="0" w:space="0" w:color="auto"/>
                      </w:divBdr>
                      <w:divsChild>
                        <w:div w:id="1110592345">
                          <w:marLeft w:val="0"/>
                          <w:marRight w:val="0"/>
                          <w:marTop w:val="0"/>
                          <w:marBottom w:val="0"/>
                          <w:divBdr>
                            <w:top w:val="none" w:sz="0" w:space="0" w:color="auto"/>
                            <w:left w:val="none" w:sz="0" w:space="0" w:color="auto"/>
                            <w:bottom w:val="none" w:sz="0" w:space="0" w:color="auto"/>
                            <w:right w:val="none" w:sz="0" w:space="0" w:color="auto"/>
                          </w:divBdr>
                          <w:divsChild>
                            <w:div w:id="362828364">
                              <w:marLeft w:val="0"/>
                              <w:marRight w:val="0"/>
                              <w:marTop w:val="0"/>
                              <w:marBottom w:val="0"/>
                              <w:divBdr>
                                <w:top w:val="none" w:sz="0" w:space="0" w:color="auto"/>
                                <w:left w:val="none" w:sz="0" w:space="0" w:color="auto"/>
                                <w:bottom w:val="none" w:sz="0" w:space="0" w:color="auto"/>
                                <w:right w:val="none" w:sz="0" w:space="0" w:color="auto"/>
                              </w:divBdr>
                              <w:divsChild>
                                <w:div w:id="1132820379">
                                  <w:marLeft w:val="0"/>
                                  <w:marRight w:val="0"/>
                                  <w:marTop w:val="0"/>
                                  <w:marBottom w:val="0"/>
                                  <w:divBdr>
                                    <w:top w:val="none" w:sz="0" w:space="0" w:color="auto"/>
                                    <w:left w:val="none" w:sz="0" w:space="0" w:color="auto"/>
                                    <w:bottom w:val="none" w:sz="0" w:space="0" w:color="auto"/>
                                    <w:right w:val="none" w:sz="0" w:space="0" w:color="auto"/>
                                  </w:divBdr>
                                  <w:divsChild>
                                    <w:div w:id="1772814348">
                                      <w:marLeft w:val="0"/>
                                      <w:marRight w:val="0"/>
                                      <w:marTop w:val="0"/>
                                      <w:marBottom w:val="0"/>
                                      <w:divBdr>
                                        <w:top w:val="none" w:sz="0" w:space="0" w:color="auto"/>
                                        <w:left w:val="none" w:sz="0" w:space="0" w:color="auto"/>
                                        <w:bottom w:val="none" w:sz="0" w:space="0" w:color="auto"/>
                                        <w:right w:val="none" w:sz="0" w:space="0" w:color="auto"/>
                                      </w:divBdr>
                                      <w:divsChild>
                                        <w:div w:id="262156477">
                                          <w:marLeft w:val="0"/>
                                          <w:marRight w:val="0"/>
                                          <w:marTop w:val="0"/>
                                          <w:marBottom w:val="0"/>
                                          <w:divBdr>
                                            <w:top w:val="none" w:sz="0" w:space="0" w:color="auto"/>
                                            <w:left w:val="none" w:sz="0" w:space="0" w:color="auto"/>
                                            <w:bottom w:val="none" w:sz="0" w:space="0" w:color="auto"/>
                                            <w:right w:val="none" w:sz="0" w:space="0" w:color="auto"/>
                                          </w:divBdr>
                                        </w:div>
                                        <w:div w:id="1248491358">
                                          <w:marLeft w:val="0"/>
                                          <w:marRight w:val="0"/>
                                          <w:marTop w:val="0"/>
                                          <w:marBottom w:val="0"/>
                                          <w:divBdr>
                                            <w:top w:val="none" w:sz="0" w:space="0" w:color="auto"/>
                                            <w:left w:val="none" w:sz="0" w:space="0" w:color="auto"/>
                                            <w:bottom w:val="none" w:sz="0" w:space="0" w:color="auto"/>
                                            <w:right w:val="none" w:sz="0" w:space="0" w:color="auto"/>
                                          </w:divBdr>
                                        </w:div>
                                        <w:div w:id="1788546007">
                                          <w:marLeft w:val="0"/>
                                          <w:marRight w:val="0"/>
                                          <w:marTop w:val="0"/>
                                          <w:marBottom w:val="0"/>
                                          <w:divBdr>
                                            <w:top w:val="none" w:sz="0" w:space="0" w:color="auto"/>
                                            <w:left w:val="none" w:sz="0" w:space="0" w:color="auto"/>
                                            <w:bottom w:val="none" w:sz="0" w:space="0" w:color="auto"/>
                                            <w:right w:val="none" w:sz="0" w:space="0" w:color="auto"/>
                                          </w:divBdr>
                                        </w:div>
                                        <w:div w:id="868756790">
                                          <w:marLeft w:val="0"/>
                                          <w:marRight w:val="0"/>
                                          <w:marTop w:val="0"/>
                                          <w:marBottom w:val="0"/>
                                          <w:divBdr>
                                            <w:top w:val="none" w:sz="0" w:space="0" w:color="auto"/>
                                            <w:left w:val="none" w:sz="0" w:space="0" w:color="auto"/>
                                            <w:bottom w:val="none" w:sz="0" w:space="0" w:color="auto"/>
                                            <w:right w:val="none" w:sz="0" w:space="0" w:color="auto"/>
                                          </w:divBdr>
                                        </w:div>
                                        <w:div w:id="192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mailto:akvilina.bruziene@finmin.lt" TargetMode="External"
                 Type="http://schemas.openxmlformats.org/officeDocument/2006/relationships/hyperlink"/>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m:/BLANKAI/DOT_FOR.97/FIRMINIAI_2019/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F81C-47AE-48E5-BCDE-8CEB62CC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1</TotalTime>
  <Pages>1</Pages>
  <Words>2111</Words>
  <Characters>1204</Characters>
  <Application>Microsoft Office Word</Application>
  <DocSecurity>8</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2019-05-23T06:50:00Z</dcterms:created>
  <dc:creator>Akvilė Bružienė</dc:creator>
  <cp:lastModifiedBy>Audronė Zdanevičienė</cp:lastModifiedBy>
  <cp:lastPrinted>2019-05-13T11:34:00Z</cp:lastPrinted>
  <dcterms:modified xsi:type="dcterms:W3CDTF">2019-05-23T06:50:00Z</dcterms:modified>
  <cp:revision>2</cp:revision>
</cp:coreProperties>
</file>