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816EB" w14:textId="77777777" w:rsidR="009E2419" w:rsidRPr="00894B24" w:rsidRDefault="00BA1C07" w:rsidP="00DB062F">
      <w:pPr>
        <w:spacing w:line="240" w:lineRule="auto"/>
        <w:jc w:val="center"/>
        <w:rPr>
          <w:rFonts w:ascii="Times New Roman" w:hAnsi="Times New Roman" w:cs="Times New Roman"/>
          <w:b/>
          <w:sz w:val="24"/>
          <w:szCs w:val="24"/>
        </w:rPr>
      </w:pPr>
      <w:r w:rsidRPr="00894B24">
        <w:rPr>
          <w:rFonts w:ascii="Times New Roman" w:hAnsi="Times New Roman" w:cs="Times New Roman"/>
          <w:b/>
          <w:sz w:val="24"/>
          <w:szCs w:val="24"/>
        </w:rPr>
        <w:t xml:space="preserve">                              </w:t>
      </w:r>
      <w:r w:rsidR="00755F3B" w:rsidRPr="00894B24">
        <w:rPr>
          <w:rFonts w:ascii="Times New Roman" w:hAnsi="Times New Roman" w:cs="Times New Roman"/>
          <w:b/>
          <w:sz w:val="24"/>
          <w:szCs w:val="24"/>
        </w:rPr>
        <w:t>DERINIMO PAŽYMA</w:t>
      </w:r>
    </w:p>
    <w:p w14:paraId="1D33FC2E" w14:textId="65C7D762" w:rsidR="00755F3B" w:rsidRPr="00894B24" w:rsidRDefault="00AD370B" w:rsidP="00DB062F">
      <w:pPr>
        <w:spacing w:line="240" w:lineRule="auto"/>
        <w:jc w:val="both"/>
        <w:rPr>
          <w:rFonts w:ascii="Times New Roman" w:hAnsi="Times New Roman" w:cs="Times New Roman"/>
          <w:b/>
          <w:color w:val="000000"/>
          <w:sz w:val="24"/>
          <w:szCs w:val="24"/>
        </w:rPr>
      </w:pPr>
      <w:r w:rsidRPr="00894B24">
        <w:rPr>
          <w:rFonts w:ascii="Times New Roman" w:hAnsi="Times New Roman" w:cs="Times New Roman"/>
          <w:b/>
          <w:color w:val="000000"/>
          <w:sz w:val="24"/>
          <w:szCs w:val="24"/>
        </w:rPr>
        <w:t>LIETUVOS RESPUBLIKOS VYRIAUSYBĖS ĮSTATYMO NR. I-464 VIENUOLIKTOJO SKIRSNIO PAVADINIMO PAKEITIMO, 52 STRAIPSNIO PAKEITIMO IR ĮSTATYMO PAPILDYMO 35</w:t>
      </w:r>
      <w:r w:rsidR="006343E6" w:rsidRPr="00894B24">
        <w:rPr>
          <w:rFonts w:ascii="Times New Roman" w:hAnsi="Times New Roman" w:cs="Times New Roman"/>
          <w:b/>
          <w:color w:val="000000"/>
          <w:sz w:val="24"/>
          <w:szCs w:val="24"/>
        </w:rPr>
        <w:t>-</w:t>
      </w:r>
      <w:r w:rsidRPr="00894B24">
        <w:rPr>
          <w:rFonts w:ascii="Times New Roman" w:hAnsi="Times New Roman" w:cs="Times New Roman"/>
          <w:b/>
          <w:color w:val="000000"/>
          <w:sz w:val="24"/>
          <w:szCs w:val="24"/>
        </w:rPr>
        <w:t>1 IR 53 STRAIPSNIU ĮSTATYMO PROJEKTO</w:t>
      </w:r>
      <w:r w:rsidR="00BE2333">
        <w:rPr>
          <w:rFonts w:ascii="Times New Roman" w:hAnsi="Times New Roman" w:cs="Times New Roman"/>
          <w:b/>
          <w:color w:val="000000"/>
          <w:sz w:val="24"/>
          <w:szCs w:val="24"/>
        </w:rPr>
        <w:t xml:space="preserve"> ĮSTATYMO PROJEKTO</w:t>
      </w:r>
    </w:p>
    <w:tbl>
      <w:tblPr>
        <w:tblStyle w:val="TableGrid"/>
        <w:tblW w:w="0" w:type="auto"/>
        <w:tblLook w:val="04A0" w:firstRow="1" w:lastRow="0" w:firstColumn="1" w:lastColumn="0" w:noHBand="0" w:noVBand="1"/>
      </w:tblPr>
      <w:tblGrid>
        <w:gridCol w:w="570"/>
        <w:gridCol w:w="2490"/>
        <w:gridCol w:w="5174"/>
        <w:gridCol w:w="4716"/>
      </w:tblGrid>
      <w:tr w:rsidR="003E61BD" w:rsidRPr="00894B24" w14:paraId="26080D7E" w14:textId="77777777" w:rsidTr="00AD370B">
        <w:trPr>
          <w:trHeight w:val="1112"/>
        </w:trPr>
        <w:tc>
          <w:tcPr>
            <w:tcW w:w="0" w:type="auto"/>
          </w:tcPr>
          <w:p w14:paraId="6E5E3D23" w14:textId="77777777" w:rsidR="00755F3B" w:rsidRPr="00894B24" w:rsidRDefault="00755F3B" w:rsidP="00DB062F">
            <w:pPr>
              <w:jc w:val="both"/>
              <w:rPr>
                <w:rFonts w:ascii="Times New Roman" w:hAnsi="Times New Roman" w:cs="Times New Roman"/>
                <w:b/>
                <w:sz w:val="24"/>
                <w:szCs w:val="24"/>
              </w:rPr>
            </w:pPr>
            <w:r w:rsidRPr="00894B24">
              <w:rPr>
                <w:rFonts w:ascii="Times New Roman" w:hAnsi="Times New Roman" w:cs="Times New Roman"/>
                <w:b/>
                <w:sz w:val="24"/>
                <w:szCs w:val="24"/>
              </w:rPr>
              <w:t>Eil.</w:t>
            </w:r>
          </w:p>
          <w:p w14:paraId="305C4C0C"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Nr.</w:t>
            </w:r>
          </w:p>
        </w:tc>
        <w:tc>
          <w:tcPr>
            <w:tcW w:w="0" w:type="auto"/>
          </w:tcPr>
          <w:p w14:paraId="5FDE243A"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Institucijos, su kuria derinta, pavadinimas, rašto data ir numeris</w:t>
            </w:r>
          </w:p>
        </w:tc>
        <w:tc>
          <w:tcPr>
            <w:tcW w:w="0" w:type="auto"/>
          </w:tcPr>
          <w:p w14:paraId="6820A3ED"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Pastabos ir pasiūlymai</w:t>
            </w:r>
          </w:p>
        </w:tc>
        <w:tc>
          <w:tcPr>
            <w:tcW w:w="0" w:type="auto"/>
          </w:tcPr>
          <w:p w14:paraId="473DB9A7"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Žyma apie pastabas ir pasiūlymus, į kuriuos</w:t>
            </w:r>
            <w:r w:rsidRPr="00894B24">
              <w:rPr>
                <w:rFonts w:ascii="Times New Roman" w:hAnsi="Times New Roman" w:cs="Times New Roman"/>
                <w:b/>
                <w:sz w:val="24"/>
                <w:szCs w:val="24"/>
              </w:rPr>
              <w:br/>
              <w:t>nebuvo atsižvelgta arba atsižvelgta iš dalies</w:t>
            </w:r>
          </w:p>
        </w:tc>
      </w:tr>
      <w:tr w:rsidR="003E61BD" w:rsidRPr="00894B24" w14:paraId="77DD0FC8" w14:textId="77777777" w:rsidTr="00AF6E53">
        <w:tc>
          <w:tcPr>
            <w:tcW w:w="0" w:type="auto"/>
          </w:tcPr>
          <w:p w14:paraId="1DFA5BBD"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sz w:val="24"/>
                <w:szCs w:val="24"/>
              </w:rPr>
              <w:t>1.</w:t>
            </w:r>
          </w:p>
        </w:tc>
        <w:tc>
          <w:tcPr>
            <w:tcW w:w="0" w:type="auto"/>
          </w:tcPr>
          <w:p w14:paraId="289E27A5" w14:textId="06F9A54C" w:rsidR="00755F3B" w:rsidRPr="00894B24" w:rsidRDefault="00BE4274" w:rsidP="00BE4274">
            <w:pPr>
              <w:jc w:val="both"/>
              <w:rPr>
                <w:rFonts w:ascii="Times New Roman" w:hAnsi="Times New Roman" w:cs="Times New Roman"/>
                <w:sz w:val="24"/>
                <w:szCs w:val="24"/>
              </w:rPr>
            </w:pPr>
            <w:r>
              <w:rPr>
                <w:rFonts w:ascii="Times New Roman" w:hAnsi="Times New Roman" w:cs="Times New Roman"/>
                <w:sz w:val="24"/>
                <w:szCs w:val="24"/>
              </w:rPr>
              <w:t>Lietuvos Respublikos Vyriausybės kanceliarijos Viešojo valdymo grupės</w:t>
            </w:r>
            <w:r w:rsidR="00755F3B" w:rsidRPr="00894B24">
              <w:rPr>
                <w:rFonts w:ascii="Times New Roman" w:hAnsi="Times New Roman" w:cs="Times New Roman"/>
                <w:sz w:val="24"/>
                <w:szCs w:val="24"/>
              </w:rPr>
              <w:t xml:space="preserve"> 20</w:t>
            </w:r>
            <w:r w:rsidR="006343E6" w:rsidRPr="00894B24">
              <w:rPr>
                <w:rFonts w:ascii="Times New Roman" w:hAnsi="Times New Roman" w:cs="Times New Roman"/>
                <w:sz w:val="24"/>
                <w:szCs w:val="24"/>
              </w:rPr>
              <w:t>20-</w:t>
            </w:r>
            <w:r>
              <w:rPr>
                <w:rFonts w:ascii="Times New Roman" w:hAnsi="Times New Roman" w:cs="Times New Roman"/>
                <w:sz w:val="24"/>
                <w:szCs w:val="24"/>
              </w:rPr>
              <w:t>06-30</w:t>
            </w:r>
            <w:r w:rsidR="00755F3B" w:rsidRPr="00894B24">
              <w:rPr>
                <w:rFonts w:ascii="Times New Roman" w:hAnsi="Times New Roman" w:cs="Times New Roman"/>
                <w:sz w:val="24"/>
                <w:szCs w:val="24"/>
              </w:rPr>
              <w:t xml:space="preserve"> </w:t>
            </w:r>
            <w:r>
              <w:rPr>
                <w:rFonts w:ascii="Times New Roman" w:hAnsi="Times New Roman" w:cs="Times New Roman"/>
                <w:sz w:val="24"/>
                <w:szCs w:val="24"/>
              </w:rPr>
              <w:t xml:space="preserve">pažyma Nr. </w:t>
            </w:r>
            <w:r w:rsidRPr="00BE4274">
              <w:rPr>
                <w:rFonts w:ascii="Times New Roman" w:hAnsi="Times New Roman" w:cs="Times New Roman"/>
                <w:sz w:val="24"/>
                <w:szCs w:val="24"/>
              </w:rPr>
              <w:t>NV-1826</w:t>
            </w:r>
          </w:p>
        </w:tc>
        <w:tc>
          <w:tcPr>
            <w:tcW w:w="0" w:type="auto"/>
          </w:tcPr>
          <w:p w14:paraId="149E4C19" w14:textId="77777777" w:rsidR="00BE4274" w:rsidRDefault="00BE4274" w:rsidP="00BE4274">
            <w:pPr>
              <w:pStyle w:val="ListParagraph"/>
              <w:spacing w:after="0"/>
              <w:ind w:firstLine="709"/>
              <w:jc w:val="both"/>
            </w:pPr>
            <w:r>
              <w:t>Atkreiptinas dėmesys į Užsienio reikalų ministerijos pateiktą pastabą, kad šiuo metu galiojančiuose teisės aktuose nėra paskirta institucija, atsakinga už Lietuvos atstovavimą ir oficialios Vyriausybės pozicijos teikimą asmenų ar jų grupių (jų vardu) pateiktų individualių skundų Lietuvos atžvilgiu nagrinėjimo procesuose pagal Neįgaliųjų teisių konvencijos fakultatyvinį protokolą, Konvencijos dėl visų formų diskriminacijos panaikinimo moterims fakultatyvinį protokolą ir Tarptautinę konvenciją dėl asmenų apsaugos nuo priverstinio dingimo. Šis klausimas taip pat iškils Lietuvai ratifikavus 2015 m. pasirašytą Vaiko teisių konvencijos fakultatyvinį protokolą dėl komunikavimo procedūros.</w:t>
            </w:r>
          </w:p>
          <w:p w14:paraId="17DA238A" w14:textId="77777777" w:rsidR="00BE4274" w:rsidRDefault="00BE4274" w:rsidP="00BE4274">
            <w:pPr>
              <w:pStyle w:val="ListParagraph"/>
              <w:spacing w:after="0"/>
              <w:ind w:firstLine="709"/>
              <w:jc w:val="both"/>
            </w:pPr>
            <w:r>
              <w:t>Projekto rengėjai derinimo pažymoje nurodo, kad į šią pastabą yra atsižvelgta įtraukiant į projektą nuostatą, kad Vyriausybė gali pavesti Vyriausybės atstovui EŽTT atstovauti valstybei ir kituose JT komitetuose (ne tik ŽTK, kas yra expressis verbis nurodyta projekte).</w:t>
            </w:r>
          </w:p>
          <w:p w14:paraId="26923169" w14:textId="77777777" w:rsidR="00BE4274" w:rsidRDefault="00BE4274" w:rsidP="00BE4274">
            <w:pPr>
              <w:pStyle w:val="ListParagraph"/>
              <w:spacing w:after="0"/>
              <w:ind w:firstLine="709"/>
              <w:jc w:val="both"/>
            </w:pPr>
            <w:r>
              <w:lastRenderedPageBreak/>
              <w:t xml:space="preserve">Pabrėžtina tai, kad, nors tokia siūlomo teisinio reguliavimo korekcija ir sudaro formalias prielaidas spręsti Lietuvos atstovavimo JT pagal aukščiau minėtas konvencijas klausimą, tačiau nesprendžia klausimo iš esmės. Aiškinamajame rašte nurodoma, kad projektu siūlomi pakeitimai nepareikalaus papildomų biudžeto lėšų. Tačiau, pagal atsakingų institucijų teikiamas indikacijas, yra itin tikėtina, kad artimiausiu metu labai išaugs individualių skundų pagal aukščiau minėtas JT konvencijas apimtys, kas suponuoja itin daug (bent kelis kartus) išaugsiantį Vyriausybės atstovo EŽTT darbo krūvį (kas savo ruožtu reiškia ir daug didesnius personalo bei finansinius poreikius, kurie, kaip minėta, aiškinamajame rašte nėra įvertinti). </w:t>
            </w:r>
          </w:p>
          <w:p w14:paraId="46F4716A" w14:textId="517E5F89" w:rsidR="00755F3B" w:rsidRPr="00894B24" w:rsidRDefault="00BE4274" w:rsidP="00BE4274">
            <w:pPr>
              <w:pStyle w:val="ListParagraph"/>
              <w:spacing w:after="0"/>
              <w:ind w:firstLine="709"/>
              <w:jc w:val="both"/>
            </w:pPr>
            <w:r>
              <w:t>Atsižvelgiant į tai yra būtina įvertinti poreikius ir imtis reikiamų veiksmų siekiant spręsti šią problemą ne formaliai, bet iš esmės (pavyzdžiui, svarstant galimybę  steigti specialią Vyriausybės atstovo EŽTT instituciją).</w:t>
            </w:r>
          </w:p>
        </w:tc>
        <w:tc>
          <w:tcPr>
            <w:tcW w:w="0" w:type="auto"/>
          </w:tcPr>
          <w:p w14:paraId="4EA8B54D" w14:textId="73DD7F41" w:rsidR="00BE4274" w:rsidRDefault="00BE4274" w:rsidP="00DB062F">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r w:rsidR="003E61BD">
              <w:rPr>
                <w:rFonts w:ascii="Times New Roman" w:hAnsi="Times New Roman" w:cs="Times New Roman"/>
                <w:sz w:val="24"/>
                <w:szCs w:val="24"/>
              </w:rPr>
              <w:t xml:space="preserve"> (bendru sutarimu 2020 m. liepos 13 d. suinteresuotų institucijų pasitarime)</w:t>
            </w:r>
            <w:r>
              <w:rPr>
                <w:rFonts w:ascii="Times New Roman" w:hAnsi="Times New Roman" w:cs="Times New Roman"/>
                <w:sz w:val="24"/>
                <w:szCs w:val="24"/>
              </w:rPr>
              <w:t xml:space="preserve">. </w:t>
            </w:r>
          </w:p>
          <w:p w14:paraId="73184F7F" w14:textId="512B3A15" w:rsidR="00F10532" w:rsidRDefault="00BE4274" w:rsidP="00DB062F">
            <w:pPr>
              <w:jc w:val="both"/>
              <w:rPr>
                <w:rFonts w:ascii="Times New Roman" w:hAnsi="Times New Roman" w:cs="Times New Roman"/>
                <w:sz w:val="24"/>
                <w:szCs w:val="24"/>
              </w:rPr>
            </w:pPr>
            <w:r>
              <w:rPr>
                <w:rFonts w:ascii="Times New Roman" w:hAnsi="Times New Roman" w:cs="Times New Roman"/>
                <w:sz w:val="24"/>
                <w:szCs w:val="24"/>
              </w:rPr>
              <w:t>Siūlomas įstatymo projektas sudaro galimy</w:t>
            </w:r>
            <w:r w:rsidR="0012783D">
              <w:rPr>
                <w:rFonts w:ascii="Times New Roman" w:hAnsi="Times New Roman" w:cs="Times New Roman"/>
                <w:sz w:val="24"/>
                <w:szCs w:val="24"/>
              </w:rPr>
              <w:t>be</w:t>
            </w:r>
            <w:r>
              <w:rPr>
                <w:rFonts w:ascii="Times New Roman" w:hAnsi="Times New Roman" w:cs="Times New Roman"/>
                <w:sz w:val="24"/>
                <w:szCs w:val="24"/>
              </w:rPr>
              <w:t xml:space="preserve">s Vyriausybės sprendimu pavesti Vyriausybės atstovui Europos Žmogaus Teisių Teisme atstovauti ir kituose Jungtinių Tautų komitetuose. </w:t>
            </w:r>
            <w:r w:rsidR="0012783D">
              <w:rPr>
                <w:rFonts w:ascii="Times New Roman" w:hAnsi="Times New Roman" w:cs="Times New Roman"/>
                <w:sz w:val="24"/>
                <w:szCs w:val="24"/>
              </w:rPr>
              <w:t xml:space="preserve">Toks teisinis reguliavimas atitinka teisėkūros ekonomiškumo principą, nes nesąlygoja dažno Vyriausybės įstatymo keitimo dėl poreikio įrašyti naujus komitetus. </w:t>
            </w:r>
            <w:r>
              <w:rPr>
                <w:rFonts w:ascii="Times New Roman" w:hAnsi="Times New Roman" w:cs="Times New Roman"/>
                <w:sz w:val="24"/>
                <w:szCs w:val="24"/>
              </w:rPr>
              <w:t>Be</w:t>
            </w:r>
            <w:r w:rsidR="0012783D">
              <w:rPr>
                <w:rFonts w:ascii="Times New Roman" w:hAnsi="Times New Roman" w:cs="Times New Roman"/>
                <w:sz w:val="24"/>
                <w:szCs w:val="24"/>
              </w:rPr>
              <w:t xml:space="preserve"> </w:t>
            </w:r>
            <w:r>
              <w:rPr>
                <w:rFonts w:ascii="Times New Roman" w:hAnsi="Times New Roman" w:cs="Times New Roman"/>
                <w:sz w:val="24"/>
                <w:szCs w:val="24"/>
              </w:rPr>
              <w:t>t</w:t>
            </w:r>
            <w:r w:rsidR="0012783D">
              <w:rPr>
                <w:rFonts w:ascii="Times New Roman" w:hAnsi="Times New Roman" w:cs="Times New Roman"/>
                <w:sz w:val="24"/>
                <w:szCs w:val="24"/>
              </w:rPr>
              <w:t>o,</w:t>
            </w:r>
            <w:r>
              <w:rPr>
                <w:rFonts w:ascii="Times New Roman" w:hAnsi="Times New Roman" w:cs="Times New Roman"/>
                <w:sz w:val="24"/>
                <w:szCs w:val="24"/>
              </w:rPr>
              <w:t xml:space="preserve"> kiekvienu konkrečiu</w:t>
            </w:r>
            <w:r w:rsidR="003E61BD">
              <w:rPr>
                <w:rFonts w:ascii="Times New Roman" w:hAnsi="Times New Roman" w:cs="Times New Roman"/>
                <w:sz w:val="24"/>
                <w:szCs w:val="24"/>
              </w:rPr>
              <w:t xml:space="preserve"> atveju turėtų būti sprendžiama,</w:t>
            </w:r>
            <w:r>
              <w:rPr>
                <w:rFonts w:ascii="Times New Roman" w:hAnsi="Times New Roman" w:cs="Times New Roman"/>
                <w:sz w:val="24"/>
                <w:szCs w:val="24"/>
              </w:rPr>
              <w:t xml:space="preserve"> kokiai Vyriausybės įgaliotai institucijai atstovavimas konkrečiame Jungtinių Tautų komitete turi būti priskirtas, įvertinant šios institucijos </w:t>
            </w:r>
            <w:r w:rsidR="003E61BD">
              <w:rPr>
                <w:rFonts w:ascii="Times New Roman" w:hAnsi="Times New Roman" w:cs="Times New Roman"/>
                <w:sz w:val="24"/>
                <w:szCs w:val="24"/>
              </w:rPr>
              <w:t xml:space="preserve">valdymo sritį, kompetenciją, </w:t>
            </w:r>
            <w:r>
              <w:rPr>
                <w:rFonts w:ascii="Times New Roman" w:hAnsi="Times New Roman" w:cs="Times New Roman"/>
                <w:sz w:val="24"/>
                <w:szCs w:val="24"/>
              </w:rPr>
              <w:t>materialinius, personalo išteklius, sukauptą patirtį bei skiriant reikiamus finansinius išteklius. Tokia institucija nebūtina</w:t>
            </w:r>
            <w:r w:rsidR="003E61BD">
              <w:rPr>
                <w:rFonts w:ascii="Times New Roman" w:hAnsi="Times New Roman" w:cs="Times New Roman"/>
                <w:sz w:val="24"/>
                <w:szCs w:val="24"/>
              </w:rPr>
              <w:t>i</w:t>
            </w:r>
            <w:r>
              <w:rPr>
                <w:rFonts w:ascii="Times New Roman" w:hAnsi="Times New Roman" w:cs="Times New Roman"/>
                <w:sz w:val="24"/>
                <w:szCs w:val="24"/>
              </w:rPr>
              <w:t xml:space="preserve"> </w:t>
            </w:r>
            <w:r w:rsidR="003E61BD">
              <w:rPr>
                <w:rFonts w:ascii="Times New Roman" w:hAnsi="Times New Roman" w:cs="Times New Roman"/>
                <w:sz w:val="24"/>
                <w:szCs w:val="24"/>
              </w:rPr>
              <w:t xml:space="preserve">visų Jungtinių Tautų komitetų atveju </w:t>
            </w:r>
            <w:r w:rsidR="003E61BD">
              <w:rPr>
                <w:rFonts w:ascii="Times New Roman" w:hAnsi="Times New Roman" w:cs="Times New Roman"/>
                <w:sz w:val="24"/>
                <w:szCs w:val="24"/>
              </w:rPr>
              <w:t>privalo</w:t>
            </w:r>
            <w:r w:rsidR="003E61BD">
              <w:rPr>
                <w:rFonts w:ascii="Times New Roman" w:hAnsi="Times New Roman" w:cs="Times New Roman"/>
                <w:sz w:val="24"/>
                <w:szCs w:val="24"/>
              </w:rPr>
              <w:t xml:space="preserve"> </w:t>
            </w:r>
            <w:r>
              <w:rPr>
                <w:rFonts w:ascii="Times New Roman" w:hAnsi="Times New Roman" w:cs="Times New Roman"/>
                <w:sz w:val="24"/>
                <w:szCs w:val="24"/>
              </w:rPr>
              <w:t xml:space="preserve">būti Vyriausybės atstovas Europos Žmogaus Teisių Teisme. </w:t>
            </w:r>
          </w:p>
          <w:p w14:paraId="4FD5A125" w14:textId="026007E2" w:rsidR="00BE4274" w:rsidRPr="00894B24" w:rsidRDefault="00BE4274" w:rsidP="00DB062F">
            <w:pPr>
              <w:jc w:val="both"/>
              <w:rPr>
                <w:rFonts w:ascii="Times New Roman" w:hAnsi="Times New Roman" w:cs="Times New Roman"/>
                <w:sz w:val="24"/>
                <w:szCs w:val="24"/>
              </w:rPr>
            </w:pPr>
            <w:r>
              <w:rPr>
                <w:rFonts w:ascii="Times New Roman" w:hAnsi="Times New Roman" w:cs="Times New Roman"/>
                <w:sz w:val="24"/>
                <w:szCs w:val="24"/>
              </w:rPr>
              <w:t xml:space="preserve">Pažymėtina, kad Teisingumo ministerija yra parengusi ir pateikusi Vyriausybei </w:t>
            </w:r>
            <w:r w:rsidRPr="00BE4274">
              <w:rPr>
                <w:rFonts w:ascii="Times New Roman" w:hAnsi="Times New Roman" w:cs="Times New Roman"/>
                <w:sz w:val="24"/>
                <w:szCs w:val="24"/>
              </w:rPr>
              <w:t xml:space="preserve">Vyriausybės 1995 m. liepos 3 d. nutarimo Nr. 99 „Dėl </w:t>
            </w:r>
            <w:r w:rsidRPr="00BE4274">
              <w:rPr>
                <w:rFonts w:ascii="Times New Roman" w:hAnsi="Times New Roman" w:cs="Times New Roman"/>
                <w:sz w:val="24"/>
                <w:szCs w:val="24"/>
              </w:rPr>
              <w:lastRenderedPageBreak/>
              <w:t>Lietuvos Respublikos Vyriausybės atstovo Europos žmogaus teisių teisme nuostatų patvirtinimo“ pakeitimo</w:t>
            </w:r>
            <w:r>
              <w:rPr>
                <w:rFonts w:ascii="Times New Roman" w:hAnsi="Times New Roman" w:cs="Times New Roman"/>
                <w:sz w:val="24"/>
                <w:szCs w:val="24"/>
              </w:rPr>
              <w:t xml:space="preserve"> projektą, kuriame numato priskirti Vyriausybės atstovui </w:t>
            </w:r>
            <w:r w:rsidR="0012783D">
              <w:rPr>
                <w:rFonts w:ascii="Times New Roman" w:hAnsi="Times New Roman" w:cs="Times New Roman"/>
                <w:sz w:val="24"/>
                <w:szCs w:val="24"/>
              </w:rPr>
              <w:t>Europos Žmogaus Teisių Teisme</w:t>
            </w:r>
            <w:r>
              <w:rPr>
                <w:rFonts w:ascii="Times New Roman" w:hAnsi="Times New Roman" w:cs="Times New Roman"/>
                <w:sz w:val="24"/>
                <w:szCs w:val="24"/>
              </w:rPr>
              <w:t xml:space="preserve"> atstovavimą Lietuvos Respublikai bylose </w:t>
            </w:r>
            <w:r w:rsidRPr="00BE4274">
              <w:rPr>
                <w:rFonts w:ascii="Times New Roman" w:hAnsi="Times New Roman" w:cs="Times New Roman"/>
                <w:sz w:val="24"/>
                <w:szCs w:val="24"/>
              </w:rPr>
              <w:t xml:space="preserve"> </w:t>
            </w:r>
            <w:r w:rsidR="0012783D">
              <w:rPr>
                <w:rFonts w:ascii="Times New Roman" w:hAnsi="Times New Roman" w:cs="Times New Roman"/>
                <w:sz w:val="24"/>
                <w:szCs w:val="24"/>
              </w:rPr>
              <w:t xml:space="preserve">pvz., </w:t>
            </w:r>
            <w:r w:rsidR="00BE2333">
              <w:rPr>
                <w:rFonts w:ascii="Times New Roman" w:hAnsi="Times New Roman" w:cs="Times New Roman"/>
                <w:sz w:val="24"/>
                <w:szCs w:val="24"/>
              </w:rPr>
              <w:t xml:space="preserve">Jungtinių Tautų </w:t>
            </w:r>
            <w:r w:rsidRPr="00BE4274">
              <w:rPr>
                <w:rFonts w:ascii="Times New Roman" w:hAnsi="Times New Roman" w:cs="Times New Roman"/>
                <w:sz w:val="24"/>
                <w:szCs w:val="24"/>
              </w:rPr>
              <w:t>Priverstinio dingimo komitet</w:t>
            </w:r>
            <w:r w:rsidR="00BE2333">
              <w:rPr>
                <w:rFonts w:ascii="Times New Roman" w:hAnsi="Times New Roman" w:cs="Times New Roman"/>
                <w:sz w:val="24"/>
                <w:szCs w:val="24"/>
              </w:rPr>
              <w:t>e</w:t>
            </w:r>
            <w:r w:rsidR="003E61BD">
              <w:rPr>
                <w:rFonts w:ascii="Times New Roman" w:hAnsi="Times New Roman" w:cs="Times New Roman"/>
                <w:sz w:val="24"/>
                <w:szCs w:val="24"/>
              </w:rPr>
              <w:t xml:space="preserve"> ir kituose komitetuose</w:t>
            </w:r>
            <w:r w:rsidR="00BE2333">
              <w:rPr>
                <w:rFonts w:ascii="Times New Roman" w:hAnsi="Times New Roman" w:cs="Times New Roman"/>
                <w:sz w:val="24"/>
                <w:szCs w:val="24"/>
              </w:rPr>
              <w:t xml:space="preserve">. </w:t>
            </w:r>
            <w:r w:rsidR="0012783D">
              <w:rPr>
                <w:rFonts w:ascii="Times New Roman" w:hAnsi="Times New Roman" w:cs="Times New Roman"/>
                <w:sz w:val="24"/>
                <w:szCs w:val="24"/>
              </w:rPr>
              <w:t>Įvertinus poreikį bei kitų šalių praktiką, perskirsčius žmogiškuosius ir finansinius išteklius tarp institucijų, šis sąrašas galėtų ateityje plėstis.</w:t>
            </w:r>
          </w:p>
          <w:p w14:paraId="06AEB832" w14:textId="77777777" w:rsidR="006B35C9" w:rsidRPr="00894B24" w:rsidRDefault="006B35C9" w:rsidP="00DB062F">
            <w:pPr>
              <w:jc w:val="both"/>
              <w:rPr>
                <w:rFonts w:ascii="Times New Roman" w:hAnsi="Times New Roman" w:cs="Times New Roman"/>
                <w:sz w:val="24"/>
                <w:szCs w:val="24"/>
              </w:rPr>
            </w:pPr>
          </w:p>
        </w:tc>
      </w:tr>
      <w:tr w:rsidR="003E61BD" w:rsidRPr="00894B24" w14:paraId="1BEEB025" w14:textId="77777777" w:rsidTr="00AF6E53">
        <w:tc>
          <w:tcPr>
            <w:tcW w:w="0" w:type="auto"/>
          </w:tcPr>
          <w:p w14:paraId="76B35FA4" w14:textId="5F6CC840"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lastRenderedPageBreak/>
              <w:t>2</w:t>
            </w:r>
            <w:r w:rsidR="005E062F" w:rsidRPr="00894B24">
              <w:rPr>
                <w:rFonts w:ascii="Times New Roman" w:hAnsi="Times New Roman" w:cs="Times New Roman"/>
                <w:sz w:val="24"/>
                <w:szCs w:val="24"/>
              </w:rPr>
              <w:t>.</w:t>
            </w:r>
          </w:p>
        </w:tc>
        <w:tc>
          <w:tcPr>
            <w:tcW w:w="0" w:type="auto"/>
          </w:tcPr>
          <w:p w14:paraId="5A691DAC" w14:textId="7823F52A" w:rsidR="00755F3B" w:rsidRPr="00894B24" w:rsidRDefault="00755F3B" w:rsidP="00DB062F">
            <w:pPr>
              <w:jc w:val="both"/>
              <w:rPr>
                <w:rFonts w:ascii="Times New Roman" w:hAnsi="Times New Roman" w:cs="Times New Roman"/>
                <w:sz w:val="24"/>
                <w:szCs w:val="24"/>
              </w:rPr>
            </w:pPr>
          </w:p>
        </w:tc>
        <w:tc>
          <w:tcPr>
            <w:tcW w:w="0" w:type="auto"/>
          </w:tcPr>
          <w:p w14:paraId="562A5979" w14:textId="77777777" w:rsidR="00BE4274" w:rsidRPr="00BE4274" w:rsidRDefault="00BE4274" w:rsidP="00BE4274">
            <w:pPr>
              <w:jc w:val="both"/>
              <w:rPr>
                <w:rFonts w:ascii="Times New Roman" w:hAnsi="Times New Roman" w:cs="Times New Roman"/>
                <w:sz w:val="24"/>
                <w:szCs w:val="24"/>
              </w:rPr>
            </w:pPr>
            <w:r w:rsidRPr="00BE4274">
              <w:rPr>
                <w:rFonts w:ascii="Times New Roman" w:hAnsi="Times New Roman" w:cs="Times New Roman"/>
                <w:sz w:val="24"/>
                <w:szCs w:val="24"/>
              </w:rPr>
              <w:t xml:space="preserve">Vidaus reikalų ministerija pateikė pastabą dėl to, kad iš siūlomos projekto redakcijos nėra aišku, kokioje institucijoje ar įstaigoje eina pareigas Vyriausybės atstovas EŽTT (kuris, pabrėžtina, yra karjeros valstybės tarnautojas). Rengėjai derinimo pažymoje nurodo, kad Valstybės tarnybos įstatyme nustatyta, jog karjeros valstybės tarnautojas tai valstybės tarnautojas, priimtas į pareigas neterminuotam laikui arba įstatymų nustatytai kadencijai ir šio įstatymo nustatyta tvarka galintis siekti karjeros valstybės tarnyboje. Taigi nėra būtina nurodyti kokioje įstaigoje toks tarnautojas eina </w:t>
            </w:r>
            <w:r w:rsidRPr="00BE4274">
              <w:rPr>
                <w:rFonts w:ascii="Times New Roman" w:hAnsi="Times New Roman" w:cs="Times New Roman"/>
                <w:sz w:val="24"/>
                <w:szCs w:val="24"/>
              </w:rPr>
              <w:lastRenderedPageBreak/>
              <w:t>pareigas, atstovo statusas nėra keičiamas, jis ir šiuo metu nepriskirtinas jokiai įstaigai.</w:t>
            </w:r>
          </w:p>
          <w:p w14:paraId="31B76780" w14:textId="77777777" w:rsidR="00BE4274" w:rsidRPr="00BE4274" w:rsidRDefault="00BE4274" w:rsidP="00BE4274">
            <w:pPr>
              <w:jc w:val="both"/>
              <w:rPr>
                <w:rFonts w:ascii="Times New Roman" w:hAnsi="Times New Roman" w:cs="Times New Roman"/>
                <w:sz w:val="24"/>
                <w:szCs w:val="24"/>
              </w:rPr>
            </w:pPr>
            <w:r w:rsidRPr="00BE4274">
              <w:rPr>
                <w:rFonts w:ascii="Times New Roman" w:hAnsi="Times New Roman" w:cs="Times New Roman"/>
                <w:sz w:val="24"/>
                <w:szCs w:val="24"/>
              </w:rPr>
              <w:t>Manome, kad toks „jokioje institucijoje neinančio pareigų karjeros valstybės tarnautojo faktinis egzistavimas negali būti vertinamas kaip rimtas pagrindas ir toliau išlaikyti šią akivaizdžiai ydingą praktiką. Tai, kad karjeros valstybės tarnautojo sąvokoje nėra įtrauktas kaip būtinasis požymis tai, kad jis eina pareigas konkrečioje institucijoje, negali būti traktuojama kaip pagrindas kurti pareigybes karjeros valstybės tarnautojų, kurie darbo vieta yra „niekur“.</w:t>
            </w:r>
          </w:p>
          <w:p w14:paraId="640A6C98" w14:textId="77777777" w:rsidR="00BE4274" w:rsidRPr="00BE4274" w:rsidRDefault="00BE4274" w:rsidP="00BE4274">
            <w:pPr>
              <w:jc w:val="both"/>
              <w:rPr>
                <w:rFonts w:ascii="Times New Roman" w:hAnsi="Times New Roman" w:cs="Times New Roman"/>
                <w:sz w:val="24"/>
                <w:szCs w:val="24"/>
              </w:rPr>
            </w:pPr>
            <w:r w:rsidRPr="00BE4274">
              <w:rPr>
                <w:rFonts w:ascii="Times New Roman" w:hAnsi="Times New Roman" w:cs="Times New Roman"/>
                <w:sz w:val="24"/>
                <w:szCs w:val="24"/>
              </w:rPr>
              <w:t>Juo labiau šios situacijos ydingumas išryškėja, kai (kaip siūloma projekte), atstovui, nors jis ir yra karjeros valstybės tarnautojas, tačiau yra taikomos Valstybės tarnybos įstatymo nuostatos, kurios reglamentuoja ne karjeros valstybės tarnautojų, bet įstaigų vadovų tarnybą.</w:t>
            </w:r>
          </w:p>
          <w:p w14:paraId="0DA43C82" w14:textId="7EF4EDEA" w:rsidR="00755F3B" w:rsidRPr="00894B24" w:rsidRDefault="00BE4274" w:rsidP="00BE4274">
            <w:pPr>
              <w:jc w:val="both"/>
              <w:rPr>
                <w:rFonts w:ascii="Times New Roman" w:hAnsi="Times New Roman" w:cs="Times New Roman"/>
                <w:sz w:val="24"/>
                <w:szCs w:val="24"/>
              </w:rPr>
            </w:pPr>
            <w:r w:rsidRPr="00BE4274">
              <w:rPr>
                <w:rFonts w:ascii="Times New Roman" w:hAnsi="Times New Roman" w:cs="Times New Roman"/>
                <w:sz w:val="24"/>
                <w:szCs w:val="24"/>
              </w:rPr>
              <w:t>Siūlome rengėjams kompleksiškai įvertinti Vyriausybės atstovo EŽTT statusą ir apsispręsti dėl jo teisinio reguliavimo bei, atsižvelgiant į tai, pasiūlyti kompleksinį ir logiškai bei teisiškai nuoseklų sprendimą.</w:t>
            </w:r>
          </w:p>
        </w:tc>
        <w:tc>
          <w:tcPr>
            <w:tcW w:w="0" w:type="auto"/>
          </w:tcPr>
          <w:p w14:paraId="611A0550" w14:textId="77777777" w:rsidR="006B35C9" w:rsidRDefault="003113B9" w:rsidP="00BE2333">
            <w:pPr>
              <w:jc w:val="both"/>
              <w:rPr>
                <w:rFonts w:ascii="Times New Roman" w:hAnsi="Times New Roman" w:cs="Times New Roman"/>
                <w:sz w:val="24"/>
                <w:szCs w:val="24"/>
              </w:rPr>
            </w:pPr>
            <w:r w:rsidRPr="00894B24">
              <w:rPr>
                <w:rFonts w:ascii="Times New Roman" w:hAnsi="Times New Roman" w:cs="Times New Roman"/>
                <w:sz w:val="24"/>
                <w:szCs w:val="24"/>
              </w:rPr>
              <w:lastRenderedPageBreak/>
              <w:t xml:space="preserve">Neatsižvelgta. </w:t>
            </w:r>
          </w:p>
          <w:p w14:paraId="5ED7C38A" w14:textId="701A5E7F" w:rsidR="0012783D" w:rsidRDefault="00BE2333" w:rsidP="00BE2333">
            <w:pPr>
              <w:jc w:val="both"/>
              <w:rPr>
                <w:rFonts w:ascii="Times New Roman" w:hAnsi="Times New Roman" w:cs="Times New Roman"/>
                <w:sz w:val="24"/>
                <w:szCs w:val="24"/>
              </w:rPr>
            </w:pPr>
            <w:r>
              <w:rPr>
                <w:rFonts w:ascii="Times New Roman" w:hAnsi="Times New Roman" w:cs="Times New Roman"/>
                <w:sz w:val="24"/>
                <w:szCs w:val="24"/>
              </w:rPr>
              <w:t xml:space="preserve">Projekto rengėjai kompleksiškai įvertino Vyriausybės atstovo Europos Žmogaus Teisių Teisme statusą, jo veiklos praktiką ir siekiant </w:t>
            </w:r>
            <w:bookmarkStart w:id="0" w:name="_GoBack"/>
            <w:bookmarkEnd w:id="0"/>
            <w:r>
              <w:rPr>
                <w:rFonts w:ascii="Times New Roman" w:hAnsi="Times New Roman" w:cs="Times New Roman"/>
                <w:sz w:val="24"/>
                <w:szCs w:val="24"/>
              </w:rPr>
              <w:t>išspręsti praktines su tuo susijusias problemas bei aiškiai reglamentuoti šio valstybės tarnautojo statusą – teikia atitinkamus įstatymų projektus</w:t>
            </w:r>
            <w:r w:rsidR="0012783D">
              <w:rPr>
                <w:rFonts w:ascii="Times New Roman" w:hAnsi="Times New Roman" w:cs="Times New Roman"/>
                <w:sz w:val="24"/>
                <w:szCs w:val="24"/>
              </w:rPr>
              <w:t>, kurie sistemiškai sprendžia praktines problemas galinčias iškil</w:t>
            </w:r>
            <w:r w:rsidR="003E61BD">
              <w:rPr>
                <w:rFonts w:ascii="Times New Roman" w:hAnsi="Times New Roman" w:cs="Times New Roman"/>
                <w:sz w:val="24"/>
                <w:szCs w:val="24"/>
              </w:rPr>
              <w:t>ti Vyriausybės atstovo veikloje</w:t>
            </w:r>
            <w:r>
              <w:rPr>
                <w:rFonts w:ascii="Times New Roman" w:hAnsi="Times New Roman" w:cs="Times New Roman"/>
                <w:sz w:val="24"/>
                <w:szCs w:val="24"/>
              </w:rPr>
              <w:t xml:space="preserve">. Pažymėtina, kad Teisingumo ministerija nesiūlo iš esmės keisti pasiteisinusio (nuo 1995 m.) šio tarnautojo </w:t>
            </w:r>
            <w:r>
              <w:rPr>
                <w:rFonts w:ascii="Times New Roman" w:hAnsi="Times New Roman" w:cs="Times New Roman"/>
                <w:sz w:val="24"/>
                <w:szCs w:val="24"/>
              </w:rPr>
              <w:lastRenderedPageBreak/>
              <w:t>statuso, ypač turint mintyje, kad ir Vyriausybės kanceliarijos pažymoje</w:t>
            </w:r>
            <w:r w:rsidR="0012783D">
              <w:rPr>
                <w:rFonts w:ascii="Times New Roman" w:hAnsi="Times New Roman" w:cs="Times New Roman"/>
                <w:sz w:val="24"/>
                <w:szCs w:val="24"/>
              </w:rPr>
              <w:t xml:space="preserve"> bei Vidaus reikalų ministerijos išvadoje </w:t>
            </w:r>
            <w:r>
              <w:rPr>
                <w:rFonts w:ascii="Times New Roman" w:hAnsi="Times New Roman" w:cs="Times New Roman"/>
                <w:sz w:val="24"/>
                <w:szCs w:val="24"/>
              </w:rPr>
              <w:t xml:space="preserve"> nekonstatuota, jog jis prieštarauja Valstybės tarnybos įstatymui. </w:t>
            </w:r>
          </w:p>
          <w:p w14:paraId="2F42421A" w14:textId="4F734FFE" w:rsidR="00BE2333" w:rsidRPr="00894B24" w:rsidRDefault="00BE2333" w:rsidP="00BE2333">
            <w:pPr>
              <w:jc w:val="both"/>
              <w:rPr>
                <w:rFonts w:ascii="Times New Roman" w:hAnsi="Times New Roman" w:cs="Times New Roman"/>
                <w:sz w:val="24"/>
                <w:szCs w:val="24"/>
              </w:rPr>
            </w:pPr>
            <w:r>
              <w:rPr>
                <w:rFonts w:ascii="Times New Roman" w:hAnsi="Times New Roman" w:cs="Times New Roman"/>
                <w:sz w:val="24"/>
                <w:szCs w:val="24"/>
              </w:rPr>
              <w:t>Atkreiptinas dėmesys ir į tai,</w:t>
            </w:r>
            <w:r w:rsidR="0012783D">
              <w:rPr>
                <w:rFonts w:ascii="Times New Roman" w:hAnsi="Times New Roman" w:cs="Times New Roman"/>
                <w:sz w:val="24"/>
                <w:szCs w:val="24"/>
              </w:rPr>
              <w:t xml:space="preserve"> kad</w:t>
            </w:r>
            <w:r>
              <w:rPr>
                <w:rFonts w:ascii="Times New Roman" w:hAnsi="Times New Roman" w:cs="Times New Roman"/>
                <w:sz w:val="24"/>
                <w:szCs w:val="24"/>
              </w:rPr>
              <w:t xml:space="preserve"> siūlomos naujos</w:t>
            </w:r>
            <w:r w:rsidRPr="00BE2333">
              <w:rPr>
                <w:rFonts w:ascii="Times New Roman" w:hAnsi="Times New Roman" w:cs="Times New Roman"/>
                <w:sz w:val="24"/>
                <w:szCs w:val="24"/>
              </w:rPr>
              <w:t xml:space="preserve"> nedidelės įstaigos steigimas prieštarautų</w:t>
            </w:r>
            <w:r>
              <w:rPr>
                <w:rFonts w:ascii="Times New Roman" w:hAnsi="Times New Roman" w:cs="Times New Roman"/>
                <w:sz w:val="24"/>
                <w:szCs w:val="24"/>
              </w:rPr>
              <w:t xml:space="preserve"> ir Vyriausybės prioritetams ir</w:t>
            </w:r>
            <w:r w:rsidRPr="00BE2333">
              <w:rPr>
                <w:rFonts w:ascii="Times New Roman" w:hAnsi="Times New Roman" w:cs="Times New Roman"/>
                <w:sz w:val="24"/>
                <w:szCs w:val="24"/>
              </w:rPr>
              <w:t xml:space="preserve"> Biudžetinių įstaigų sąrangos koncepcijai</w:t>
            </w:r>
            <w:r w:rsidR="003E61BD">
              <w:rPr>
                <w:rFonts w:ascii="Times New Roman" w:hAnsi="Times New Roman" w:cs="Times New Roman"/>
                <w:sz w:val="24"/>
                <w:szCs w:val="24"/>
              </w:rPr>
              <w:t>.</w:t>
            </w:r>
          </w:p>
        </w:tc>
      </w:tr>
    </w:tbl>
    <w:p w14:paraId="153ACE91" w14:textId="77777777" w:rsidR="00755F3B" w:rsidRPr="00894B24" w:rsidRDefault="00755F3B" w:rsidP="00DB062F">
      <w:pPr>
        <w:spacing w:line="240" w:lineRule="auto"/>
        <w:jc w:val="both"/>
        <w:rPr>
          <w:rFonts w:ascii="Times New Roman" w:hAnsi="Times New Roman" w:cs="Times New Roman"/>
          <w:sz w:val="24"/>
          <w:szCs w:val="24"/>
        </w:rPr>
      </w:pPr>
    </w:p>
    <w:sectPr w:rsidR="00755F3B" w:rsidRPr="00894B24" w:rsidSect="00755F3B">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F77C3" w14:textId="77777777" w:rsidR="00133EAB" w:rsidRDefault="00133EAB" w:rsidP="00E93A6D">
      <w:pPr>
        <w:spacing w:after="0" w:line="240" w:lineRule="auto"/>
      </w:pPr>
      <w:r>
        <w:separator/>
      </w:r>
    </w:p>
  </w:endnote>
  <w:endnote w:type="continuationSeparator" w:id="0">
    <w:p w14:paraId="0AABD6A5" w14:textId="77777777" w:rsidR="00133EAB" w:rsidRDefault="00133EAB" w:rsidP="00E9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AFBC7" w14:textId="77777777" w:rsidR="00133EAB" w:rsidRDefault="00133EAB" w:rsidP="00E93A6D">
      <w:pPr>
        <w:spacing w:after="0" w:line="240" w:lineRule="auto"/>
      </w:pPr>
      <w:r>
        <w:separator/>
      </w:r>
    </w:p>
  </w:footnote>
  <w:footnote w:type="continuationSeparator" w:id="0">
    <w:p w14:paraId="0F6DE1BF" w14:textId="77777777" w:rsidR="00133EAB" w:rsidRDefault="00133EAB" w:rsidP="00E9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0857"/>
      <w:docPartObj>
        <w:docPartGallery w:val="Page Numbers (Top of Page)"/>
        <w:docPartUnique/>
      </w:docPartObj>
    </w:sdtPr>
    <w:sdtEndPr/>
    <w:sdtContent>
      <w:p w14:paraId="1BD69474" w14:textId="77777777" w:rsidR="00AD370B" w:rsidRDefault="00AD370B">
        <w:pPr>
          <w:pStyle w:val="Header"/>
          <w:jc w:val="center"/>
        </w:pPr>
        <w:r>
          <w:fldChar w:fldCharType="begin"/>
        </w:r>
        <w:r>
          <w:instrText>PAGE   \* MERGEFORMAT</w:instrText>
        </w:r>
        <w:r>
          <w:fldChar w:fldCharType="separate"/>
        </w:r>
        <w:r w:rsidR="003E61BD">
          <w:rPr>
            <w:noProof/>
          </w:rPr>
          <w:t>1</w:t>
        </w:r>
        <w:r>
          <w:fldChar w:fldCharType="end"/>
        </w:r>
      </w:p>
    </w:sdtContent>
  </w:sdt>
  <w:p w14:paraId="1209F7D1" w14:textId="77777777" w:rsidR="00AD370B" w:rsidRDefault="00AD3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4BE5"/>
    <w:multiLevelType w:val="hybridMultilevel"/>
    <w:tmpl w:val="BA480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14125E"/>
    <w:multiLevelType w:val="hybridMultilevel"/>
    <w:tmpl w:val="F3CC949C"/>
    <w:lvl w:ilvl="0" w:tplc="B1DE33DA">
      <w:start w:val="1"/>
      <w:numFmt w:val="decimal"/>
      <w:lvlText w:val="%1."/>
      <w:lvlJc w:val="left"/>
      <w:pPr>
        <w:ind w:left="643" w:hanging="360"/>
      </w:pPr>
      <w:rPr>
        <w:rFonts w:hint="default"/>
        <w:b w:val="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nsid w:val="224B5B68"/>
    <w:multiLevelType w:val="hybridMultilevel"/>
    <w:tmpl w:val="C480F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F261018"/>
    <w:multiLevelType w:val="hybridMultilevel"/>
    <w:tmpl w:val="B8426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A6200B1"/>
    <w:multiLevelType w:val="hybridMultilevel"/>
    <w:tmpl w:val="5BC621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5094916"/>
    <w:multiLevelType w:val="hybridMultilevel"/>
    <w:tmpl w:val="C480F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90C4EE5"/>
    <w:multiLevelType w:val="hybridMultilevel"/>
    <w:tmpl w:val="E7707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3B"/>
    <w:rsid w:val="00004E05"/>
    <w:rsid w:val="00016F44"/>
    <w:rsid w:val="00021204"/>
    <w:rsid w:val="00025740"/>
    <w:rsid w:val="00063FA9"/>
    <w:rsid w:val="00074181"/>
    <w:rsid w:val="000B27C5"/>
    <w:rsid w:val="000D347D"/>
    <w:rsid w:val="000F6FB3"/>
    <w:rsid w:val="001010A3"/>
    <w:rsid w:val="00114B0A"/>
    <w:rsid w:val="00126F0F"/>
    <w:rsid w:val="0012783D"/>
    <w:rsid w:val="00133EAB"/>
    <w:rsid w:val="00164977"/>
    <w:rsid w:val="00166E9A"/>
    <w:rsid w:val="001C3FE8"/>
    <w:rsid w:val="001C486E"/>
    <w:rsid w:val="001D02A1"/>
    <w:rsid w:val="0020084B"/>
    <w:rsid w:val="00205ACB"/>
    <w:rsid w:val="00223D07"/>
    <w:rsid w:val="00231752"/>
    <w:rsid w:val="00240DF7"/>
    <w:rsid w:val="002464AE"/>
    <w:rsid w:val="0025417D"/>
    <w:rsid w:val="00254EAC"/>
    <w:rsid w:val="0028116F"/>
    <w:rsid w:val="00290676"/>
    <w:rsid w:val="002B2789"/>
    <w:rsid w:val="002B3F33"/>
    <w:rsid w:val="002C6BFC"/>
    <w:rsid w:val="002F1382"/>
    <w:rsid w:val="003113B9"/>
    <w:rsid w:val="0033680C"/>
    <w:rsid w:val="00342ED8"/>
    <w:rsid w:val="003510F6"/>
    <w:rsid w:val="003630B1"/>
    <w:rsid w:val="00365C1F"/>
    <w:rsid w:val="00366A38"/>
    <w:rsid w:val="003A7CAE"/>
    <w:rsid w:val="003B1B0A"/>
    <w:rsid w:val="003B1C08"/>
    <w:rsid w:val="003B577F"/>
    <w:rsid w:val="003D6853"/>
    <w:rsid w:val="003E61BD"/>
    <w:rsid w:val="003F4527"/>
    <w:rsid w:val="00401251"/>
    <w:rsid w:val="004352A7"/>
    <w:rsid w:val="004447E3"/>
    <w:rsid w:val="00453867"/>
    <w:rsid w:val="00461810"/>
    <w:rsid w:val="00472C6E"/>
    <w:rsid w:val="004A4660"/>
    <w:rsid w:val="004A6E0C"/>
    <w:rsid w:val="004D22D3"/>
    <w:rsid w:val="004E3068"/>
    <w:rsid w:val="00503737"/>
    <w:rsid w:val="00513DC3"/>
    <w:rsid w:val="00522919"/>
    <w:rsid w:val="00531497"/>
    <w:rsid w:val="00545F8D"/>
    <w:rsid w:val="0055453E"/>
    <w:rsid w:val="00563E6F"/>
    <w:rsid w:val="005A01F3"/>
    <w:rsid w:val="005A74CA"/>
    <w:rsid w:val="005B3B6B"/>
    <w:rsid w:val="005C4178"/>
    <w:rsid w:val="005E062F"/>
    <w:rsid w:val="005E37FC"/>
    <w:rsid w:val="005F3556"/>
    <w:rsid w:val="005F5175"/>
    <w:rsid w:val="00617242"/>
    <w:rsid w:val="006213BB"/>
    <w:rsid w:val="006302FB"/>
    <w:rsid w:val="006343E6"/>
    <w:rsid w:val="006440AE"/>
    <w:rsid w:val="006448BB"/>
    <w:rsid w:val="00663F83"/>
    <w:rsid w:val="00665015"/>
    <w:rsid w:val="00672075"/>
    <w:rsid w:val="00672820"/>
    <w:rsid w:val="00674A1B"/>
    <w:rsid w:val="00680D1B"/>
    <w:rsid w:val="00681194"/>
    <w:rsid w:val="0068209F"/>
    <w:rsid w:val="00692F7D"/>
    <w:rsid w:val="006956AF"/>
    <w:rsid w:val="006A79D4"/>
    <w:rsid w:val="006B35C9"/>
    <w:rsid w:val="006B452D"/>
    <w:rsid w:val="006C47C1"/>
    <w:rsid w:val="006E10B6"/>
    <w:rsid w:val="0070761E"/>
    <w:rsid w:val="00725AA1"/>
    <w:rsid w:val="007436C5"/>
    <w:rsid w:val="00744645"/>
    <w:rsid w:val="00745686"/>
    <w:rsid w:val="00755BA8"/>
    <w:rsid w:val="00755F3B"/>
    <w:rsid w:val="00774990"/>
    <w:rsid w:val="00777095"/>
    <w:rsid w:val="00787CC9"/>
    <w:rsid w:val="007A39F1"/>
    <w:rsid w:val="007C30C5"/>
    <w:rsid w:val="007C591F"/>
    <w:rsid w:val="007E061A"/>
    <w:rsid w:val="007F321C"/>
    <w:rsid w:val="008210FA"/>
    <w:rsid w:val="0083073E"/>
    <w:rsid w:val="00841687"/>
    <w:rsid w:val="00842B56"/>
    <w:rsid w:val="008506EF"/>
    <w:rsid w:val="00860961"/>
    <w:rsid w:val="00865D20"/>
    <w:rsid w:val="00894B24"/>
    <w:rsid w:val="008B1993"/>
    <w:rsid w:val="008B510B"/>
    <w:rsid w:val="008B6F3B"/>
    <w:rsid w:val="008D26DE"/>
    <w:rsid w:val="008E7AAC"/>
    <w:rsid w:val="00915614"/>
    <w:rsid w:val="009265DE"/>
    <w:rsid w:val="00931DAC"/>
    <w:rsid w:val="00936175"/>
    <w:rsid w:val="00950E3D"/>
    <w:rsid w:val="009703F0"/>
    <w:rsid w:val="00973949"/>
    <w:rsid w:val="009A64E8"/>
    <w:rsid w:val="009E2419"/>
    <w:rsid w:val="009F454D"/>
    <w:rsid w:val="00A00F5E"/>
    <w:rsid w:val="00A41940"/>
    <w:rsid w:val="00A62930"/>
    <w:rsid w:val="00A65CD0"/>
    <w:rsid w:val="00A7365D"/>
    <w:rsid w:val="00A83150"/>
    <w:rsid w:val="00AA1C87"/>
    <w:rsid w:val="00AA208A"/>
    <w:rsid w:val="00AB129A"/>
    <w:rsid w:val="00AB1EB0"/>
    <w:rsid w:val="00AB52C7"/>
    <w:rsid w:val="00AC2F4E"/>
    <w:rsid w:val="00AC39AB"/>
    <w:rsid w:val="00AD370B"/>
    <w:rsid w:val="00AE4313"/>
    <w:rsid w:val="00AE77F1"/>
    <w:rsid w:val="00AF3106"/>
    <w:rsid w:val="00AF6E53"/>
    <w:rsid w:val="00B22BBA"/>
    <w:rsid w:val="00B31A3E"/>
    <w:rsid w:val="00B44177"/>
    <w:rsid w:val="00B72743"/>
    <w:rsid w:val="00B83E72"/>
    <w:rsid w:val="00BA1C07"/>
    <w:rsid w:val="00BB44C6"/>
    <w:rsid w:val="00BD4001"/>
    <w:rsid w:val="00BE2333"/>
    <w:rsid w:val="00BE4105"/>
    <w:rsid w:val="00BE4274"/>
    <w:rsid w:val="00BE7158"/>
    <w:rsid w:val="00BF157A"/>
    <w:rsid w:val="00C04EE1"/>
    <w:rsid w:val="00C35D05"/>
    <w:rsid w:val="00C50AD0"/>
    <w:rsid w:val="00C7506D"/>
    <w:rsid w:val="00C81024"/>
    <w:rsid w:val="00C85709"/>
    <w:rsid w:val="00C85FA5"/>
    <w:rsid w:val="00C878D8"/>
    <w:rsid w:val="00C87E9C"/>
    <w:rsid w:val="00C94B51"/>
    <w:rsid w:val="00C9730B"/>
    <w:rsid w:val="00CD16CA"/>
    <w:rsid w:val="00CE02EB"/>
    <w:rsid w:val="00CE3FAA"/>
    <w:rsid w:val="00CF04F1"/>
    <w:rsid w:val="00D05FB0"/>
    <w:rsid w:val="00D21851"/>
    <w:rsid w:val="00D30336"/>
    <w:rsid w:val="00D470A2"/>
    <w:rsid w:val="00D505AE"/>
    <w:rsid w:val="00D868A5"/>
    <w:rsid w:val="00D97942"/>
    <w:rsid w:val="00DB062F"/>
    <w:rsid w:val="00DB2219"/>
    <w:rsid w:val="00DB490A"/>
    <w:rsid w:val="00DB56CA"/>
    <w:rsid w:val="00DB6112"/>
    <w:rsid w:val="00DE4C6B"/>
    <w:rsid w:val="00DF2E9D"/>
    <w:rsid w:val="00DF3BDE"/>
    <w:rsid w:val="00E024F6"/>
    <w:rsid w:val="00E36984"/>
    <w:rsid w:val="00E61F62"/>
    <w:rsid w:val="00E63363"/>
    <w:rsid w:val="00E7085A"/>
    <w:rsid w:val="00E90730"/>
    <w:rsid w:val="00E93A6D"/>
    <w:rsid w:val="00E94BEF"/>
    <w:rsid w:val="00E95052"/>
    <w:rsid w:val="00EB5374"/>
    <w:rsid w:val="00EC2CB3"/>
    <w:rsid w:val="00ED063F"/>
    <w:rsid w:val="00ED2ED0"/>
    <w:rsid w:val="00EE0810"/>
    <w:rsid w:val="00EF1F43"/>
    <w:rsid w:val="00F00BC1"/>
    <w:rsid w:val="00F10532"/>
    <w:rsid w:val="00F24727"/>
    <w:rsid w:val="00F415BC"/>
    <w:rsid w:val="00F418D4"/>
    <w:rsid w:val="00F41BB4"/>
    <w:rsid w:val="00F44201"/>
    <w:rsid w:val="00F510D1"/>
    <w:rsid w:val="00F707DE"/>
    <w:rsid w:val="00F71AC8"/>
    <w:rsid w:val="00F81D11"/>
    <w:rsid w:val="00F86CC8"/>
    <w:rsid w:val="00F960E7"/>
    <w:rsid w:val="00FC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A41D"/>
  <w15:chartTrackingRefBased/>
  <w15:docId w15:val="{3F5582D4-9FA1-4F81-BB78-DD4BFCD5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F3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55F3B"/>
  </w:style>
  <w:style w:type="paragraph" w:customStyle="1" w:styleId="tajtip">
    <w:name w:val="tajtip"/>
    <w:basedOn w:val="Normal"/>
    <w:rsid w:val="00755F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5F3B"/>
    <w:rPr>
      <w:color w:val="0000FF"/>
      <w:u w:val="single"/>
    </w:rPr>
  </w:style>
  <w:style w:type="paragraph" w:styleId="PlainText">
    <w:name w:val="Plain Text"/>
    <w:basedOn w:val="Normal"/>
    <w:link w:val="PlainTextChar"/>
    <w:rsid w:val="001010A3"/>
    <w:pPr>
      <w:spacing w:after="0" w:line="240" w:lineRule="auto"/>
      <w:ind w:firstLine="720"/>
    </w:pPr>
    <w:rPr>
      <w:rFonts w:ascii="Courier New" w:eastAsia="Times New Roman" w:hAnsi="Courier New" w:cs="Courier New"/>
      <w:sz w:val="20"/>
      <w:szCs w:val="20"/>
      <w:lang w:eastAsia="lt-LT"/>
    </w:rPr>
  </w:style>
  <w:style w:type="character" w:customStyle="1" w:styleId="PlainTextChar">
    <w:name w:val="Plain Text Char"/>
    <w:basedOn w:val="DefaultParagraphFont"/>
    <w:link w:val="PlainText"/>
    <w:rsid w:val="001010A3"/>
    <w:rPr>
      <w:rFonts w:ascii="Courier New" w:eastAsia="Times New Roman" w:hAnsi="Courier New" w:cs="Courier New"/>
      <w:sz w:val="20"/>
      <w:szCs w:val="20"/>
      <w:lang w:val="lt-LT" w:eastAsia="lt-LT"/>
    </w:rPr>
  </w:style>
  <w:style w:type="paragraph" w:styleId="FootnoteText">
    <w:name w:val="footnote text"/>
    <w:basedOn w:val="Normal"/>
    <w:link w:val="FootnoteTextChar"/>
    <w:uiPriority w:val="99"/>
    <w:semiHidden/>
    <w:unhideWhenUsed/>
    <w:rsid w:val="002B3F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F33"/>
    <w:rPr>
      <w:sz w:val="20"/>
      <w:szCs w:val="20"/>
      <w:lang w:val="lt-LT"/>
    </w:rPr>
  </w:style>
  <w:style w:type="paragraph" w:styleId="Header">
    <w:name w:val="header"/>
    <w:basedOn w:val="Normal"/>
    <w:link w:val="HeaderChar"/>
    <w:uiPriority w:val="99"/>
    <w:unhideWhenUsed/>
    <w:rsid w:val="00755B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5BA8"/>
  </w:style>
  <w:style w:type="paragraph" w:styleId="Footer">
    <w:name w:val="footer"/>
    <w:basedOn w:val="Normal"/>
    <w:link w:val="FooterChar"/>
    <w:uiPriority w:val="99"/>
    <w:unhideWhenUsed/>
    <w:rsid w:val="00755B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5BA8"/>
  </w:style>
  <w:style w:type="paragraph" w:styleId="BalloonText">
    <w:name w:val="Balloon Text"/>
    <w:basedOn w:val="Normal"/>
    <w:link w:val="BalloonTextChar"/>
    <w:uiPriority w:val="99"/>
    <w:semiHidden/>
    <w:unhideWhenUsed/>
    <w:rsid w:val="00755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BA8"/>
    <w:rPr>
      <w:rFonts w:ascii="Segoe UI" w:hAnsi="Segoe UI" w:cs="Segoe UI"/>
      <w:sz w:val="18"/>
      <w:szCs w:val="18"/>
    </w:rPr>
  </w:style>
  <w:style w:type="character" w:styleId="CommentReference">
    <w:name w:val="annotation reference"/>
    <w:basedOn w:val="DefaultParagraphFont"/>
    <w:uiPriority w:val="99"/>
    <w:semiHidden/>
    <w:unhideWhenUsed/>
    <w:rsid w:val="00841687"/>
    <w:rPr>
      <w:sz w:val="16"/>
      <w:szCs w:val="16"/>
    </w:rPr>
  </w:style>
  <w:style w:type="paragraph" w:styleId="CommentText">
    <w:name w:val="annotation text"/>
    <w:basedOn w:val="Normal"/>
    <w:link w:val="CommentTextChar"/>
    <w:uiPriority w:val="99"/>
    <w:semiHidden/>
    <w:unhideWhenUsed/>
    <w:rsid w:val="00841687"/>
    <w:pPr>
      <w:spacing w:line="240" w:lineRule="auto"/>
    </w:pPr>
    <w:rPr>
      <w:sz w:val="20"/>
      <w:szCs w:val="20"/>
    </w:rPr>
  </w:style>
  <w:style w:type="character" w:customStyle="1" w:styleId="CommentTextChar">
    <w:name w:val="Comment Text Char"/>
    <w:basedOn w:val="DefaultParagraphFont"/>
    <w:link w:val="CommentText"/>
    <w:uiPriority w:val="99"/>
    <w:semiHidden/>
    <w:rsid w:val="00841687"/>
    <w:rPr>
      <w:sz w:val="20"/>
      <w:szCs w:val="20"/>
    </w:rPr>
  </w:style>
  <w:style w:type="paragraph" w:styleId="CommentSubject">
    <w:name w:val="annotation subject"/>
    <w:basedOn w:val="CommentText"/>
    <w:next w:val="CommentText"/>
    <w:link w:val="CommentSubjectChar"/>
    <w:uiPriority w:val="99"/>
    <w:semiHidden/>
    <w:unhideWhenUsed/>
    <w:rsid w:val="00841687"/>
    <w:rPr>
      <w:b/>
      <w:bCs/>
    </w:rPr>
  </w:style>
  <w:style w:type="character" w:customStyle="1" w:styleId="CommentSubjectChar">
    <w:name w:val="Comment Subject Char"/>
    <w:basedOn w:val="CommentTextChar"/>
    <w:link w:val="CommentSubject"/>
    <w:uiPriority w:val="99"/>
    <w:semiHidden/>
    <w:rsid w:val="00841687"/>
    <w:rPr>
      <w:b/>
      <w:bCs/>
      <w:sz w:val="20"/>
      <w:szCs w:val="20"/>
    </w:rPr>
  </w:style>
  <w:style w:type="paragraph" w:customStyle="1" w:styleId="Default">
    <w:name w:val="Default"/>
    <w:rsid w:val="00AE4313"/>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reformatted">
    <w:name w:val="Preformatted"/>
    <w:basedOn w:val="Normal"/>
    <w:rsid w:val="00DB062F"/>
    <w:pPr>
      <w:snapToGri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282">
      <w:bodyDiv w:val="1"/>
      <w:marLeft w:val="0"/>
      <w:marRight w:val="0"/>
      <w:marTop w:val="0"/>
      <w:marBottom w:val="0"/>
      <w:divBdr>
        <w:top w:val="none" w:sz="0" w:space="0" w:color="auto"/>
        <w:left w:val="none" w:sz="0" w:space="0" w:color="auto"/>
        <w:bottom w:val="none" w:sz="0" w:space="0" w:color="auto"/>
        <w:right w:val="none" w:sz="0" w:space="0" w:color="auto"/>
      </w:divBdr>
    </w:div>
    <w:div w:id="197357391">
      <w:bodyDiv w:val="1"/>
      <w:marLeft w:val="0"/>
      <w:marRight w:val="0"/>
      <w:marTop w:val="0"/>
      <w:marBottom w:val="0"/>
      <w:divBdr>
        <w:top w:val="none" w:sz="0" w:space="0" w:color="auto"/>
        <w:left w:val="none" w:sz="0" w:space="0" w:color="auto"/>
        <w:bottom w:val="none" w:sz="0" w:space="0" w:color="auto"/>
        <w:right w:val="none" w:sz="0" w:space="0" w:color="auto"/>
      </w:divBdr>
    </w:div>
    <w:div w:id="214050114">
      <w:bodyDiv w:val="1"/>
      <w:marLeft w:val="0"/>
      <w:marRight w:val="0"/>
      <w:marTop w:val="0"/>
      <w:marBottom w:val="0"/>
      <w:divBdr>
        <w:top w:val="none" w:sz="0" w:space="0" w:color="auto"/>
        <w:left w:val="none" w:sz="0" w:space="0" w:color="auto"/>
        <w:bottom w:val="none" w:sz="0" w:space="0" w:color="auto"/>
        <w:right w:val="none" w:sz="0" w:space="0" w:color="auto"/>
      </w:divBdr>
    </w:div>
    <w:div w:id="214242439">
      <w:bodyDiv w:val="1"/>
      <w:marLeft w:val="0"/>
      <w:marRight w:val="0"/>
      <w:marTop w:val="0"/>
      <w:marBottom w:val="0"/>
      <w:divBdr>
        <w:top w:val="none" w:sz="0" w:space="0" w:color="auto"/>
        <w:left w:val="none" w:sz="0" w:space="0" w:color="auto"/>
        <w:bottom w:val="none" w:sz="0" w:space="0" w:color="auto"/>
        <w:right w:val="none" w:sz="0" w:space="0" w:color="auto"/>
      </w:divBdr>
    </w:div>
    <w:div w:id="498616025">
      <w:bodyDiv w:val="1"/>
      <w:marLeft w:val="0"/>
      <w:marRight w:val="0"/>
      <w:marTop w:val="0"/>
      <w:marBottom w:val="0"/>
      <w:divBdr>
        <w:top w:val="none" w:sz="0" w:space="0" w:color="auto"/>
        <w:left w:val="none" w:sz="0" w:space="0" w:color="auto"/>
        <w:bottom w:val="none" w:sz="0" w:space="0" w:color="auto"/>
        <w:right w:val="none" w:sz="0" w:space="0" w:color="auto"/>
      </w:divBdr>
    </w:div>
    <w:div w:id="700133349">
      <w:bodyDiv w:val="1"/>
      <w:marLeft w:val="0"/>
      <w:marRight w:val="0"/>
      <w:marTop w:val="0"/>
      <w:marBottom w:val="0"/>
      <w:divBdr>
        <w:top w:val="none" w:sz="0" w:space="0" w:color="auto"/>
        <w:left w:val="none" w:sz="0" w:space="0" w:color="auto"/>
        <w:bottom w:val="none" w:sz="0" w:space="0" w:color="auto"/>
        <w:right w:val="none" w:sz="0" w:space="0" w:color="auto"/>
      </w:divBdr>
    </w:div>
    <w:div w:id="710959052">
      <w:bodyDiv w:val="1"/>
      <w:marLeft w:val="0"/>
      <w:marRight w:val="0"/>
      <w:marTop w:val="0"/>
      <w:marBottom w:val="0"/>
      <w:divBdr>
        <w:top w:val="none" w:sz="0" w:space="0" w:color="auto"/>
        <w:left w:val="none" w:sz="0" w:space="0" w:color="auto"/>
        <w:bottom w:val="none" w:sz="0" w:space="0" w:color="auto"/>
        <w:right w:val="none" w:sz="0" w:space="0" w:color="auto"/>
      </w:divBdr>
      <w:divsChild>
        <w:div w:id="1895117308">
          <w:marLeft w:val="0"/>
          <w:marRight w:val="0"/>
          <w:marTop w:val="0"/>
          <w:marBottom w:val="0"/>
          <w:divBdr>
            <w:top w:val="none" w:sz="0" w:space="0" w:color="auto"/>
            <w:left w:val="none" w:sz="0" w:space="0" w:color="auto"/>
            <w:bottom w:val="none" w:sz="0" w:space="0" w:color="auto"/>
            <w:right w:val="none" w:sz="0" w:space="0" w:color="auto"/>
          </w:divBdr>
        </w:div>
      </w:divsChild>
    </w:div>
    <w:div w:id="711004923">
      <w:bodyDiv w:val="1"/>
      <w:marLeft w:val="0"/>
      <w:marRight w:val="0"/>
      <w:marTop w:val="0"/>
      <w:marBottom w:val="0"/>
      <w:divBdr>
        <w:top w:val="none" w:sz="0" w:space="0" w:color="auto"/>
        <w:left w:val="none" w:sz="0" w:space="0" w:color="auto"/>
        <w:bottom w:val="none" w:sz="0" w:space="0" w:color="auto"/>
        <w:right w:val="none" w:sz="0" w:space="0" w:color="auto"/>
      </w:divBdr>
    </w:div>
    <w:div w:id="718748939">
      <w:bodyDiv w:val="1"/>
      <w:marLeft w:val="0"/>
      <w:marRight w:val="0"/>
      <w:marTop w:val="0"/>
      <w:marBottom w:val="0"/>
      <w:divBdr>
        <w:top w:val="none" w:sz="0" w:space="0" w:color="auto"/>
        <w:left w:val="none" w:sz="0" w:space="0" w:color="auto"/>
        <w:bottom w:val="none" w:sz="0" w:space="0" w:color="auto"/>
        <w:right w:val="none" w:sz="0" w:space="0" w:color="auto"/>
      </w:divBdr>
    </w:div>
    <w:div w:id="881596335">
      <w:bodyDiv w:val="1"/>
      <w:marLeft w:val="0"/>
      <w:marRight w:val="0"/>
      <w:marTop w:val="0"/>
      <w:marBottom w:val="0"/>
      <w:divBdr>
        <w:top w:val="none" w:sz="0" w:space="0" w:color="auto"/>
        <w:left w:val="none" w:sz="0" w:space="0" w:color="auto"/>
        <w:bottom w:val="none" w:sz="0" w:space="0" w:color="auto"/>
        <w:right w:val="none" w:sz="0" w:space="0" w:color="auto"/>
      </w:divBdr>
    </w:div>
    <w:div w:id="930547011">
      <w:bodyDiv w:val="1"/>
      <w:marLeft w:val="0"/>
      <w:marRight w:val="0"/>
      <w:marTop w:val="0"/>
      <w:marBottom w:val="0"/>
      <w:divBdr>
        <w:top w:val="none" w:sz="0" w:space="0" w:color="auto"/>
        <w:left w:val="none" w:sz="0" w:space="0" w:color="auto"/>
        <w:bottom w:val="none" w:sz="0" w:space="0" w:color="auto"/>
        <w:right w:val="none" w:sz="0" w:space="0" w:color="auto"/>
      </w:divBdr>
    </w:div>
    <w:div w:id="1057125622">
      <w:bodyDiv w:val="1"/>
      <w:marLeft w:val="0"/>
      <w:marRight w:val="0"/>
      <w:marTop w:val="0"/>
      <w:marBottom w:val="0"/>
      <w:divBdr>
        <w:top w:val="none" w:sz="0" w:space="0" w:color="auto"/>
        <w:left w:val="none" w:sz="0" w:space="0" w:color="auto"/>
        <w:bottom w:val="none" w:sz="0" w:space="0" w:color="auto"/>
        <w:right w:val="none" w:sz="0" w:space="0" w:color="auto"/>
      </w:divBdr>
    </w:div>
    <w:div w:id="1110974212">
      <w:bodyDiv w:val="1"/>
      <w:marLeft w:val="0"/>
      <w:marRight w:val="0"/>
      <w:marTop w:val="0"/>
      <w:marBottom w:val="0"/>
      <w:divBdr>
        <w:top w:val="none" w:sz="0" w:space="0" w:color="auto"/>
        <w:left w:val="none" w:sz="0" w:space="0" w:color="auto"/>
        <w:bottom w:val="none" w:sz="0" w:space="0" w:color="auto"/>
        <w:right w:val="none" w:sz="0" w:space="0" w:color="auto"/>
      </w:divBdr>
    </w:div>
    <w:div w:id="1186480446">
      <w:bodyDiv w:val="1"/>
      <w:marLeft w:val="0"/>
      <w:marRight w:val="0"/>
      <w:marTop w:val="0"/>
      <w:marBottom w:val="0"/>
      <w:divBdr>
        <w:top w:val="none" w:sz="0" w:space="0" w:color="auto"/>
        <w:left w:val="none" w:sz="0" w:space="0" w:color="auto"/>
        <w:bottom w:val="none" w:sz="0" w:space="0" w:color="auto"/>
        <w:right w:val="none" w:sz="0" w:space="0" w:color="auto"/>
      </w:divBdr>
    </w:div>
    <w:div w:id="1199007324">
      <w:bodyDiv w:val="1"/>
      <w:marLeft w:val="0"/>
      <w:marRight w:val="0"/>
      <w:marTop w:val="0"/>
      <w:marBottom w:val="0"/>
      <w:divBdr>
        <w:top w:val="none" w:sz="0" w:space="0" w:color="auto"/>
        <w:left w:val="none" w:sz="0" w:space="0" w:color="auto"/>
        <w:bottom w:val="none" w:sz="0" w:space="0" w:color="auto"/>
        <w:right w:val="none" w:sz="0" w:space="0" w:color="auto"/>
      </w:divBdr>
    </w:div>
    <w:div w:id="1280843572">
      <w:bodyDiv w:val="1"/>
      <w:marLeft w:val="0"/>
      <w:marRight w:val="0"/>
      <w:marTop w:val="0"/>
      <w:marBottom w:val="0"/>
      <w:divBdr>
        <w:top w:val="none" w:sz="0" w:space="0" w:color="auto"/>
        <w:left w:val="none" w:sz="0" w:space="0" w:color="auto"/>
        <w:bottom w:val="none" w:sz="0" w:space="0" w:color="auto"/>
        <w:right w:val="none" w:sz="0" w:space="0" w:color="auto"/>
      </w:divBdr>
    </w:div>
    <w:div w:id="1333869709">
      <w:bodyDiv w:val="1"/>
      <w:marLeft w:val="0"/>
      <w:marRight w:val="0"/>
      <w:marTop w:val="0"/>
      <w:marBottom w:val="0"/>
      <w:divBdr>
        <w:top w:val="none" w:sz="0" w:space="0" w:color="auto"/>
        <w:left w:val="none" w:sz="0" w:space="0" w:color="auto"/>
        <w:bottom w:val="none" w:sz="0" w:space="0" w:color="auto"/>
        <w:right w:val="none" w:sz="0" w:space="0" w:color="auto"/>
      </w:divBdr>
    </w:div>
    <w:div w:id="1409111049">
      <w:bodyDiv w:val="1"/>
      <w:marLeft w:val="0"/>
      <w:marRight w:val="0"/>
      <w:marTop w:val="0"/>
      <w:marBottom w:val="0"/>
      <w:divBdr>
        <w:top w:val="none" w:sz="0" w:space="0" w:color="auto"/>
        <w:left w:val="none" w:sz="0" w:space="0" w:color="auto"/>
        <w:bottom w:val="none" w:sz="0" w:space="0" w:color="auto"/>
        <w:right w:val="none" w:sz="0" w:space="0" w:color="auto"/>
      </w:divBdr>
    </w:div>
    <w:div w:id="1437825832">
      <w:bodyDiv w:val="1"/>
      <w:marLeft w:val="0"/>
      <w:marRight w:val="0"/>
      <w:marTop w:val="0"/>
      <w:marBottom w:val="0"/>
      <w:divBdr>
        <w:top w:val="none" w:sz="0" w:space="0" w:color="auto"/>
        <w:left w:val="none" w:sz="0" w:space="0" w:color="auto"/>
        <w:bottom w:val="none" w:sz="0" w:space="0" w:color="auto"/>
        <w:right w:val="none" w:sz="0" w:space="0" w:color="auto"/>
      </w:divBdr>
    </w:div>
    <w:div w:id="1483808745">
      <w:bodyDiv w:val="1"/>
      <w:marLeft w:val="0"/>
      <w:marRight w:val="0"/>
      <w:marTop w:val="0"/>
      <w:marBottom w:val="0"/>
      <w:divBdr>
        <w:top w:val="none" w:sz="0" w:space="0" w:color="auto"/>
        <w:left w:val="none" w:sz="0" w:space="0" w:color="auto"/>
        <w:bottom w:val="none" w:sz="0" w:space="0" w:color="auto"/>
        <w:right w:val="none" w:sz="0" w:space="0" w:color="auto"/>
      </w:divBdr>
    </w:div>
    <w:div w:id="1560823697">
      <w:bodyDiv w:val="1"/>
      <w:marLeft w:val="0"/>
      <w:marRight w:val="0"/>
      <w:marTop w:val="0"/>
      <w:marBottom w:val="0"/>
      <w:divBdr>
        <w:top w:val="none" w:sz="0" w:space="0" w:color="auto"/>
        <w:left w:val="none" w:sz="0" w:space="0" w:color="auto"/>
        <w:bottom w:val="none" w:sz="0" w:space="0" w:color="auto"/>
        <w:right w:val="none" w:sz="0" w:space="0" w:color="auto"/>
      </w:divBdr>
    </w:div>
    <w:div w:id="1752769821">
      <w:bodyDiv w:val="1"/>
      <w:marLeft w:val="0"/>
      <w:marRight w:val="0"/>
      <w:marTop w:val="0"/>
      <w:marBottom w:val="0"/>
      <w:divBdr>
        <w:top w:val="none" w:sz="0" w:space="0" w:color="auto"/>
        <w:left w:val="none" w:sz="0" w:space="0" w:color="auto"/>
        <w:bottom w:val="none" w:sz="0" w:space="0" w:color="auto"/>
        <w:right w:val="none" w:sz="0" w:space="0" w:color="auto"/>
      </w:divBdr>
    </w:div>
    <w:div w:id="1851600851">
      <w:bodyDiv w:val="1"/>
      <w:marLeft w:val="0"/>
      <w:marRight w:val="0"/>
      <w:marTop w:val="0"/>
      <w:marBottom w:val="0"/>
      <w:divBdr>
        <w:top w:val="none" w:sz="0" w:space="0" w:color="auto"/>
        <w:left w:val="none" w:sz="0" w:space="0" w:color="auto"/>
        <w:bottom w:val="none" w:sz="0" w:space="0" w:color="auto"/>
        <w:right w:val="none" w:sz="0" w:space="0" w:color="auto"/>
      </w:divBdr>
    </w:div>
    <w:div w:id="1968510956">
      <w:bodyDiv w:val="1"/>
      <w:marLeft w:val="0"/>
      <w:marRight w:val="0"/>
      <w:marTop w:val="0"/>
      <w:marBottom w:val="0"/>
      <w:divBdr>
        <w:top w:val="none" w:sz="0" w:space="0" w:color="auto"/>
        <w:left w:val="none" w:sz="0" w:space="0" w:color="auto"/>
        <w:bottom w:val="none" w:sz="0" w:space="0" w:color="auto"/>
        <w:right w:val="none" w:sz="0" w:space="0" w:color="auto"/>
      </w:divBdr>
    </w:div>
    <w:div w:id="2015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1A7B-62F1-40D1-85DF-2EB77A3B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2020-08-05T12:58:00Z</dcterms:created>
  <dc:creator>Aleksandr Radcenko</dc:creator>
  <cp:lastModifiedBy>Aleksandr Radcenko</cp:lastModifiedBy>
  <cp:lastPrinted>2019-11-26T05:19:00Z</cp:lastPrinted>
  <dcterms:modified xsi:type="dcterms:W3CDTF">2020-08-05T12:58:00Z</dcterms:modified>
  <cp:revision>2</cp:revision>
</cp:coreProperties>
</file>