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d979f8dd43b4bff989645df5e5d87cd"/>
        <w:lock w:val="sdtLocked"/>
        <w:richText/>
      </w:sdtPr>
      <w:sdtContent>
        <w:p>
          <w:pPr>
            <w:tabs>
              <w:tab w:val="center" w:pos="4153"/>
              <w:tab w:val="right" w:pos="8306"/>
            </w:tabs>
            <w:ind w:firstLine="8640"/>
            <w:jc w:val="both"/>
            <w:rPr>
              <w:b/>
              <w:lang w:eastAsia="lt-LT"/>
            </w:rPr>
          </w:pPr>
          <w:r>
            <w:rPr>
              <w:b/>
              <w:lang w:eastAsia="lt-LT"/>
            </w:rPr>
            <w:t>Projektas</w:t>
          </w:r>
        </w:p>
        <w:p>
          <w:pPr>
            <w:rPr>
              <w:sz w:val="14"/>
              <w:szCs w:val="14"/>
            </w:rPr>
          </w:pPr>
        </w:p>
        <w:p>
          <w:pPr>
            <w:tabs>
              <w:tab w:val="center" w:pos="4153"/>
              <w:tab w:val="right" w:pos="8306"/>
            </w:tabs>
            <w:ind w:firstLine="7320"/>
            <w:jc w:val="both"/>
            <w:rPr>
              <w:b/>
              <w:lang w:eastAsia="lt-LT"/>
            </w:rPr>
          </w:pPr>
        </w:p>
        <w:p>
          <w:pPr>
            <w:rPr>
              <w:sz w:val="14"/>
              <w:szCs w:val="14"/>
            </w:rPr>
          </w:pPr>
        </w:p>
        <w:p>
          <w:pPr>
            <w:keepNext/>
            <w:jc w:val="center"/>
            <w:rPr>
              <w:b/>
              <w:caps/>
              <w:szCs w:val="24"/>
              <w:lang w:eastAsia="lt-LT"/>
            </w:rPr>
          </w:pPr>
        </w:p>
        <w:p>
          <w:pPr>
            <w:keepNext/>
            <w:jc w:val="center"/>
            <w:rPr>
              <w:b/>
              <w:caps/>
              <w:szCs w:val="24"/>
              <w:lang w:eastAsia="lt-LT"/>
            </w:rPr>
          </w:pPr>
        </w:p>
        <w:p>
          <w:pPr>
            <w:keepNext/>
            <w:jc w:val="center"/>
            <w:rPr>
              <w:b/>
              <w:caps/>
              <w:szCs w:val="24"/>
              <w:lang w:eastAsia="lt-LT"/>
            </w:rPr>
          </w:pPr>
          <w:r>
            <w:rPr>
              <w:b/>
              <w:caps/>
              <w:szCs w:val="24"/>
              <w:lang w:eastAsia="lt-LT"/>
            </w:rPr>
            <w:t>LIETUVOS RESPUBLIKOS VYRIAUSYBĖ</w:t>
          </w:r>
        </w:p>
        <w:p>
          <w:pPr>
            <w:jc w:val="center"/>
            <w:rPr>
              <w:caps/>
              <w:lang w:eastAsia="lt-LT"/>
            </w:rPr>
          </w:pPr>
        </w:p>
        <w:p>
          <w:pPr>
            <w:jc w:val="center"/>
            <w:rPr>
              <w:b/>
              <w:caps/>
              <w:lang w:eastAsia="lt-LT"/>
            </w:rPr>
          </w:pPr>
          <w:r>
            <w:rPr>
              <w:b/>
              <w:caps/>
              <w:lang w:eastAsia="lt-LT"/>
            </w:rPr>
            <w:t>nutarimas</w:t>
          </w:r>
        </w:p>
        <w:p>
          <w:pPr>
            <w:widowControl w:val="0"/>
            <w:jc w:val="center"/>
            <w:rPr>
              <w:b/>
              <w:caps/>
              <w:lang w:eastAsia="lt-LT"/>
            </w:rPr>
          </w:pPr>
          <w:r>
            <w:rPr>
              <w:b/>
              <w:caps/>
              <w:lang w:eastAsia="lt-LT"/>
            </w:rPr>
            <w:t xml:space="preserve">DĖL </w:t>
          </w:r>
          <w:r>
            <w:rPr>
              <w:b/>
              <w:caps/>
              <w:szCs w:val="24"/>
              <w:lang w:eastAsia="lt-LT"/>
            </w:rPr>
            <w:t>Lietuvos Respublikos Vyriausybės 2007 m. Spalio 10 d. nutarimo nr. 1082 „dėl atnaujinamo valstybės nekilnojamojo turto sąrašo patvirtinimo</w:t>
          </w:r>
          <w:r>
            <w:rPr>
              <w:lang w:eastAsia="lt-LT"/>
            </w:rPr>
            <w:t xml:space="preserve"> </w:t>
          </w:r>
          <w:r>
            <w:rPr>
              <w:b/>
              <w:caps/>
              <w:szCs w:val="24"/>
              <w:lang w:eastAsia="lt-LT"/>
            </w:rPr>
            <w:t>IR LĖŠŲ, LIKUSIŲ ATNAUJINUS VALSTYBĖS NEKILNOJAMĄJĮ TURTĄ, NAUDOJIMO“ pakeitimo</w:t>
          </w:r>
        </w:p>
        <w:p>
          <w:pPr>
            <w:tabs>
              <w:tab w:val="center" w:pos="4153"/>
              <w:tab w:val="right" w:pos="8306"/>
            </w:tabs>
            <w:rPr>
              <w:lang w:eastAsia="lt-LT"/>
            </w:rPr>
          </w:pPr>
        </w:p>
        <w:p>
          <w:pPr>
            <w:ind w:firstLine="62"/>
            <w:jc w:val="center"/>
            <w:rPr>
              <w:lang w:eastAsia="lt-LT"/>
            </w:rPr>
          </w:pPr>
          <w:r>
            <w:rPr>
              <w:lang w:eastAsia="lt-LT"/>
            </w:rPr>
            <w:t xml:space="preserve">2018 m.                              Nr. </w:t>
          </w:r>
        </w:p>
        <w:p>
          <w:pPr>
            <w:jc w:val="center"/>
            <w:rPr>
              <w:lang w:eastAsia="lt-LT"/>
            </w:rPr>
          </w:pPr>
          <w:r>
            <w:rPr>
              <w:lang w:eastAsia="lt-LT"/>
            </w:rPr>
            <w:t>Vilnius</w:t>
          </w:r>
        </w:p>
        <w:p>
          <w:pPr>
            <w:jc w:val="center"/>
            <w:rPr>
              <w:lang w:eastAsia="lt-LT"/>
            </w:rPr>
          </w:pPr>
        </w:p>
        <w:sdt>
          <w:sdtPr>
            <w:alias w:val="preambule"/>
            <w:tag w:val="part_07b73a27b2ac4e16b1887297530698e2"/>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1 p."/>
            <w:tag w:val="part_6255c9d2c3944730919d3f1553efe897"/>
            <w:lock w:val="sdtLocked"/>
            <w:richText/>
          </w:sdtPr>
          <w:sdtContent>
            <w:p>
              <w:pPr>
                <w:spacing w:line="360" w:lineRule="atLeast"/>
                <w:ind w:firstLine="720"/>
                <w:jc w:val="both"/>
                <w:rPr>
                  <w:szCs w:val="24"/>
                  <w:lang w:eastAsia="lt-LT"/>
                </w:rPr>
                <w:sectPr>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cols w:space="1296"/>
                  <w:titlePg/>
                  <w:docGrid w:linePitch="326"/>
                </w:sectPr>
              </w:pPr>
              <w:sdt>
                <w:sdtPr>
                  <w:alias w:val="Numeris"/>
                  <w:tag w:val="nr_6255c9d2c3944730919d3f1553efe897"/>
                  <w:lock w:val="sdtLocked"/>
                  <w:richText/>
                </w:sdtPr>
                <w:sdtContent>
                  <w:r>
                    <w:rPr>
                      <w:szCs w:val="24"/>
                      <w:lang w:eastAsia="lt-LT"/>
                    </w:rPr>
                    <w:t>1</w:t>
                  </w:r>
                </w:sdtContent>
              </w:sdt>
              <w:r>
                <w:rPr>
                  <w:szCs w:val="24"/>
                  <w:lang w:eastAsia="lt-LT"/>
                </w:rPr>
                <w:t>. Pakeisti Atnaujinamo valstybės nekilnojamojo turto sąrašo, patvirtinto Lietuvos Respublikos Vyriausybės 2007 m. spalio 10 d. nutarimu Nr. 1082 „Dėl Atnaujinamo valstybės nekilnojamojo turto sąrašo patvirtinimo ir lėšų, likusių atnaujinus valstybės nekilnojamąjį turtą, naudojimo“, 12 punkto pirmąją pastraipą ir ją išdėstyti taip:</w:t>
              </w:r>
            </w:p>
            <w:p>
              <w:pPr>
                <w:ind w:left="720"/>
                <w:rPr>
                  <w:szCs w:val="24"/>
                  <w:lang w:eastAsia="lt-LT"/>
                </w:rPr>
              </w:pPr>
            </w:p>
            <w:tbl>
              <w:tblPr>
                <w:tblW w:w="14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38"/>
              </w:tblGrid>
              <w:tr>
                <w:trPr>
                  <w:trHeight w:val="23"/>
                </w:trPr>
                <w:tc>
                  <w:tcPr>
                    <w:tcW w:w="817" w:type="dxa"/>
                    <w:tcBorders>
                      <w:top w:val="single" w:sz="4" w:space="0" w:color="auto"/>
                      <w:left w:val="single" w:sz="4" w:space="0" w:color="auto"/>
                      <w:bottom w:val="single" w:sz="4" w:space="0" w:color="auto"/>
                      <w:right w:val="single" w:sz="4" w:space="0" w:color="auto"/>
                    </w:tcBorders>
                    <w:hideMark/>
                  </w:tcPr>
                  <w:p>
                    <w:pPr>
                      <w:rPr>
                        <w:sz w:val="22"/>
                        <w:szCs w:val="22"/>
                        <w:lang w:eastAsia="lt-LT"/>
                      </w:rPr>
                    </w:pPr>
                    <w:r>
                      <w:rPr>
                        <w:sz w:val="22"/>
                        <w:szCs w:val="22"/>
                        <w:lang w:eastAsia="lt-LT"/>
                      </w:rPr>
                      <w:t>„12.</w:t>
                    </w:r>
                  </w:p>
                </w:tc>
                <w:tc>
                  <w:tcPr>
                    <w:tcW w:w="14138" w:type="dxa"/>
                    <w:tcBorders>
                      <w:top w:val="single" w:sz="4" w:space="0" w:color="auto"/>
                      <w:left w:val="single" w:sz="4" w:space="0" w:color="auto"/>
                      <w:bottom w:val="single" w:sz="4" w:space="0" w:color="auto"/>
                      <w:right w:val="single" w:sz="4" w:space="0" w:color="auto"/>
                    </w:tcBorders>
                    <w:hideMark/>
                  </w:tcPr>
                  <w:p>
                    <w:pPr>
                      <w:rPr>
                        <w:strike/>
                        <w:sz w:val="22"/>
                        <w:szCs w:val="22"/>
                        <w:lang w:eastAsia="lt-LT"/>
                      </w:rPr>
                    </w:pPr>
                    <w:r>
                      <w:rPr>
                        <w:sz w:val="22"/>
                        <w:szCs w:val="22"/>
                        <w:lang w:eastAsia="lt-LT"/>
                      </w:rPr>
                      <w:t>Priešgaisrinės apsaugos ir gelbėjimo departamentas prie Vidaus reikalų ministerijos“.</w:t>
                    </w:r>
                  </w:p>
                </w:tc>
              </w:tr>
            </w:tbl>
            <w:p/>
          </w:sdtContent>
        </w:sdt>
        <w:sdt>
          <w:sdtPr>
            <w:alias w:val="2 p."/>
            <w:tag w:val="part_790cccaa2c6b4385ab57bfbbfcba251c"/>
            <w:lock w:val="sdtLocked"/>
            <w:richText/>
          </w:sdtPr>
          <w:sdtContent>
            <w:p>
              <w:pPr>
                <w:tabs>
                  <w:tab w:val="left" w:pos="3828"/>
                </w:tabs>
                <w:ind w:firstLine="780"/>
                <w:rPr>
                  <w:szCs w:val="24"/>
                  <w:lang w:eastAsia="lt-LT"/>
                </w:rPr>
              </w:pPr>
              <w:sdt>
                <w:sdtPr>
                  <w:alias w:val="Numeris"/>
                  <w:tag w:val="nr_790cccaa2c6b4385ab57bfbbfcba251c"/>
                  <w:lock w:val="sdtLocked"/>
                  <w:richText/>
                </w:sdtPr>
                <w:sdtContent>
                  <w:r>
                    <w:rPr>
                      <w:szCs w:val="24"/>
                      <w:lang w:eastAsia="lt-LT"/>
                    </w:rPr>
                    <w:t>2</w:t>
                  </w:r>
                </w:sdtContent>
              </w:sdt>
              <w:r>
                <w:rPr>
                  <w:szCs w:val="24"/>
                  <w:lang w:eastAsia="lt-LT"/>
                </w:rPr>
                <w:t xml:space="preserve">. Šis nutarimas įsigalioja 2019 m. sausio 1 d. </w:t>
              </w:r>
            </w:p>
            <w:p>
              <w:pPr>
                <w:tabs>
                  <w:tab w:val="left" w:pos="3828"/>
                </w:tabs>
                <w:rPr>
                  <w:szCs w:val="24"/>
                  <w:lang w:eastAsia="lt-LT"/>
                </w:rPr>
              </w:pPr>
            </w:p>
          </w:sdtContent>
        </w:sdt>
        <w:sdt>
          <w:sdtPr>
            <w:alias w:val="signatura"/>
            <w:tag w:val="part_638e3af3e4d04bcb8b5bdf24153b72dd"/>
            <w:lock w:val="sdtLocked"/>
            <w:richText/>
          </w:sdtPr>
          <w:sdtContent>
            <w:p>
              <w:pPr>
                <w:tabs>
                  <w:tab w:val="left" w:pos="3828"/>
                </w:tabs>
                <w:rPr>
                  <w:szCs w:val="24"/>
                  <w:lang w:eastAsia="lt-LT"/>
                </w:rPr>
              </w:pPr>
              <w:r>
                <w:rPr>
                  <w:szCs w:val="24"/>
                  <w:lang w:eastAsia="lt-LT"/>
                </w:rPr>
                <w:t>Ministras Pirmininkas</w:t>
              </w:r>
            </w:p>
            <w:p>
              <w:pPr>
                <w:tabs>
                  <w:tab w:val="left" w:pos="3828"/>
                </w:tabs>
                <w:rPr>
                  <w:szCs w:val="24"/>
                  <w:lang w:eastAsia="lt-LT"/>
                </w:rPr>
              </w:pPr>
            </w:p>
            <w:p>
              <w:pPr>
                <w:tabs>
                  <w:tab w:val="left" w:pos="3828"/>
                </w:tabs>
                <w:rPr>
                  <w:szCs w:val="24"/>
                  <w:lang w:eastAsia="lt-LT"/>
                </w:rPr>
              </w:pPr>
            </w:p>
            <w:p>
              <w:pPr>
                <w:tabs>
                  <w:tab w:val="left" w:pos="3828"/>
                </w:tabs>
                <w:rPr>
                  <w:szCs w:val="24"/>
                  <w:lang w:eastAsia="lt-LT"/>
                </w:rPr>
              </w:pPr>
              <w:r>
                <w:rPr>
                  <w:szCs w:val="24"/>
                  <w:lang w:eastAsia="lt-LT"/>
                </w:rPr>
                <w:t>Finansų ministras</w:t>
              </w:r>
            </w:p>
          </w:sdtContent>
        </w:sdt>
      </w:sdtContent>
    </w:sdt>
    <w:sectPr>
      <w:pgSz w:w="16838" w:h="11906" w:orient="landscape" w:code="9"/>
      <w:pgMar w:top="1701" w:right="851" w:bottom="1134" w:left="1134" w:header="567" w:footer="567" w:gutter="0"/>
      <w:cols w:space="1296"/>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r>
      <w:t xml:space="preserve"> </w:t>
    </w: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60155829">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76643557">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5945094843a24a41b7bb9e4fe8609ab2" PartId="6d979f8dd43b4bff989645df5e5d87cd">
    <Part Type="preambule" DocPartId="f604e06e35a742d883c3f8909dced198" PartId="07b73a27b2ac4e16b1887297530698e2"/>
    <Part Type="punktas" Nr="1" Abbr="1 p." DocPartId="f988e42275ef47468269611919e5677b" PartId="6255c9d2c3944730919d3f1553efe897"/>
    <Part Type="punktas" Nr="2" Abbr="2 p." DocPartId="f3fb3b14c19c4499918bb1c2e66b301f" PartId="790cccaa2c6b4385ab57bfbbfcba251c"/>
    <Part Type="signatura" DocPartId="1b3f34c9d14b43aaa4aa663560c7d05f" PartId="638e3af3e4d04bcb8b5bdf24153b72dd"/>
  </Part>
</Parts>
</file>

<file path=customXml/itemProps1.xml><?xml version="1.0" encoding="utf-8"?>
<ds:datastoreItem xmlns:ds="http://schemas.openxmlformats.org/officeDocument/2006/customXml" ds:itemID="{8AAFDAC7-7191-4D68-BEEF-9BB456C291DE}">
  <ds:schemaRefs>
    <ds:schemaRef ds:uri="http://schemas.openxmlformats.org/officeDocument/2006/bibliography"/>
  </ds:schemaRefs>
</ds:datastoreItem>
</file>

<file path=customXml/itemProps2.xml><?xml version="1.0" encoding="utf-8"?>
<ds:datastoreItem xmlns:ds="http://schemas.openxmlformats.org/officeDocument/2006/customXml" ds:itemID="{F598DAE4-0C9A-4802-822B-5495D5A2D06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782</Characters>
  <Application>Microsoft Office Word</Application>
  <DocSecurity>4</DocSecurity>
  <Lines>30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2018-12-17T09:48:00Z</dcterms:created>
  <dc:creator>lrvk</dc:creator>
  <cp:lastModifiedBy>Asseco</cp:lastModifiedBy>
  <cp:lastPrinted>2017-07-05T05:12:00Z</cp:lastPrinted>
  <dcterms:modified xsi:type="dcterms:W3CDTF">2018-12-17T09:48:00Z</dcterms:modified>
  <cp:revision>2</cp:revision>
</cp:coreProperties>
</file>