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3" Target="docProps/app.xml"
                 Type="http://schemas.openxmlformats.org/officeDocument/2006/relationships/extended-properties"/>
   <Relationship Id="rId4" Target="docProps/core.xml"
                 Type="http://schemas.openxmlformats.org/package/2006/relationships/metadata/core-properties"/>
</Relationships>
</file>

<file path=word/document.xml><?xml version="1.0" encoding="utf-8"?>
<w:document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taisx="http://lrs.lt/TAIS/DocPartXmlMarks" mc:Ignorable="w14 wp14">
  <w:body>
    <w:sdt>
      <w:sdtPr>
        <w:alias w:val="pagrindine"/>
        <w:tag w:val="part_a72f54ca209e4bdd8aa0bda8c5099589"/>
        <w:lock w:val="sdtLocked"/>
        <w:richText/>
      </w:sdtPr>
      <w:sdtContent>
        <w:p>
          <w:pPr>
            <w:framePr w:hSpace="180" w:wrap="auto" w:vAnchor="text" w:hAnchor="page" w:x="6026" w:y="6"/>
            <w:tabs>
              <w:tab w:val="center" w:pos="4819"/>
              <w:tab w:val="right" w:pos="9638"/>
            </w:tabs>
            <w:rPr>
              <w:szCs w:val="24"/>
            </w:rPr>
          </w:pPr>
        </w:p>
        <w:p>
          <w:pPr>
            <w:framePr w:hSpace="180" w:wrap="auto" w:vAnchor="text" w:hAnchor="page" w:x="6026" w:y="6"/>
            <w:tabs>
              <w:tab w:val="left" w:pos="8931"/>
            </w:tabs>
            <w:ind w:right="-1"/>
            <w:jc w:val="center"/>
            <w:rPr>
              <w:szCs w:val="24"/>
            </w:rPr>
          </w:pPr>
          <w:r>
            <w:rPr>
              <w:szCs w:val="24"/>
              <w:lang w:eastAsia="lt-LT"/>
            </w:rPr>
            <w:drawing>
              <wp:inline distT="0" distB="0" distL="0" distR="0" wp14:anchorId="225A8D37" wp14:editId="06E83699">
                <wp:extent cx="520700" cy="60706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20700" cy="607060"/>
                        </a:xfrm>
                        <a:prstGeom prst="rect">
                          <a:avLst/>
                        </a:prstGeom>
                        <a:noFill/>
                        <a:ln>
                          <a:noFill/>
                        </a:ln>
                      </pic:spPr>
                    </pic:pic>
                  </a:graphicData>
                </a:graphic>
              </wp:inline>
            </w:drawing>
          </w:r>
        </w:p>
        <w:p>
          <w:pPr>
            <w:ind w:right="278"/>
            <w:rPr>
              <w:szCs w:val="24"/>
            </w:rPr>
          </w:pPr>
        </w:p>
        <w:p>
          <w:pPr>
            <w:ind w:right="278"/>
            <w:rPr>
              <w:szCs w:val="24"/>
            </w:rPr>
          </w:pPr>
        </w:p>
        <w:p>
          <w:pPr>
            <w:ind w:right="278"/>
            <w:rPr>
              <w:szCs w:val="24"/>
            </w:rPr>
          </w:pPr>
        </w:p>
        <w:p>
          <w:pPr>
            <w:keepNext/>
            <w:spacing w:line="360" w:lineRule="auto"/>
            <w:ind w:right="278"/>
            <w:jc w:val="center"/>
            <w:outlineLvl w:val="1"/>
            <w:rPr>
              <w:b/>
              <w:bCs/>
              <w:szCs w:val="24"/>
            </w:rPr>
          </w:pPr>
        </w:p>
        <w:p>
          <w:pPr>
            <w:keepNext/>
            <w:spacing w:line="360" w:lineRule="auto"/>
            <w:ind w:right="278"/>
            <w:jc w:val="center"/>
            <w:outlineLvl w:val="1"/>
            <w:rPr>
              <w:b/>
              <w:bCs/>
              <w:szCs w:val="24"/>
            </w:rPr>
          </w:pPr>
          <w:r>
            <w:rPr>
              <w:b/>
              <w:bCs/>
              <w:szCs w:val="24"/>
            </w:rPr>
            <w:t>LIETUVOS RESPUBLIKOS KRAŠTO APSAUGOS MINISTERIJA</w:t>
          </w:r>
        </w:p>
        <w:p>
          <w:pPr>
            <w:ind w:right="278"/>
            <w:jc w:val="center"/>
            <w:rPr>
              <w:sz w:val="18"/>
              <w:szCs w:val="18"/>
            </w:rPr>
          </w:pPr>
          <w:r>
            <w:rPr>
              <w:sz w:val="18"/>
              <w:szCs w:val="18"/>
            </w:rPr>
            <w:t xml:space="preserve">Biudžetinė įstaiga, Totorių g. 25, LT-01121 Vilnius, tel.: (8 5)  273 5501 / 262 4821, faks. (8 5)  264 8517, el. p. kam@kam.lt. </w:t>
            <w:br/>
            <w:t xml:space="preserve">Duomenys kaupiami ir saugomi Juridinių asmenų registre, kodas 188602751,  PVM mokėtojo kodas LT100001016116</w:t>
          </w:r>
        </w:p>
        <w:p>
          <w:pPr>
            <w:pBdr>
              <w:bottom w:val="single" w:sz="4" w:space="1" w:color="auto"/>
            </w:pBdr>
            <w:spacing w:line="360" w:lineRule="auto"/>
            <w:ind w:right="278"/>
            <w:jc w:val="center"/>
            <w:rPr>
              <w:b/>
              <w:caps/>
              <w:sz w:val="16"/>
              <w:szCs w:val="16"/>
            </w:rPr>
          </w:pPr>
        </w:p>
        <w:p>
          <w:pPr>
            <w:ind w:right="278"/>
            <w:rPr>
              <w:szCs w:val="24"/>
            </w:rPr>
          </w:pPr>
        </w:p>
        <w:tbl>
          <w:tblPr>
            <w:tblW w:w="9716" w:type="dxa"/>
            <w:tblLayout w:type="fixed"/>
            <w:tblLook w:val="0000" w:firstRow="0" w:lastRow="0" w:firstColumn="0" w:lastColumn="0" w:noHBand="0" w:noVBand="0"/>
          </w:tblPr>
          <w:tblGrid>
            <w:gridCol w:w="4897"/>
            <w:gridCol w:w="4819"/>
          </w:tblGrid>
          <w:tr>
            <w:trPr>
              <w:cantSplit/>
              <w:trHeight w:val="1122"/>
            </w:trPr>
            <w:tc>
              <w:tcPr>
                <w:tcW w:w="4897" w:type="dxa"/>
              </w:tcPr>
              <w:p>
                <w:pPr>
                  <w:rPr>
                    <w:szCs w:val="24"/>
                  </w:rPr>
                </w:pPr>
                <w:r>
                  <w:rPr>
                    <w:szCs w:val="24"/>
                  </w:rPr>
                  <w:t>Lietuvos Respublikos Vyriausybės kanceliarijai</w:t>
                </w:r>
              </w:p>
              <w:p>
                <w:pPr>
                  <w:rPr>
                    <w:szCs w:val="24"/>
                  </w:rPr>
                </w:pPr>
              </w:p>
              <w:p>
                <w:pPr>
                  <w:rPr>
                    <w:szCs w:val="24"/>
                  </w:rPr>
                </w:pPr>
              </w:p>
              <w:p>
                <w:pPr>
                  <w:rPr>
                    <w:szCs w:val="24"/>
                  </w:rPr>
                </w:pPr>
              </w:p>
            </w:tc>
            <w:tc>
              <w:tcPr>
                <w:tcW w:w="4819" w:type="dxa"/>
              </w:tcPr>
              <w:p>
                <w:pPr>
                  <w:tabs>
                    <w:tab w:val="left" w:pos="565"/>
                  </w:tabs>
                  <w:ind w:right="278" w:firstLine="1500"/>
                  <w:rPr>
                    <w:szCs w:val="24"/>
                  </w:rPr>
                </w:pPr>
                <w:r>
                  <w:rPr>
                    <w:szCs w:val="24"/>
                  </w:rPr>
                  <w:t xml:space="preserve">2020-05-          Nr. 12-01-</w:t>
                </w:r>
              </w:p>
              <w:p>
                <w:pPr>
                  <w:ind w:right="278" w:firstLine="1500"/>
                  <w:rPr>
                    <w:szCs w:val="24"/>
                  </w:rPr>
                </w:pPr>
              </w:p>
            </w:tc>
          </w:tr>
        </w:tbl>
        <w:sdt>
          <w:sdtPr>
            <w:alias w:val="skirsnis"/>
            <w:tag w:val="part_2a76351c26584357b9cc14722dd38511"/>
            <w:lock w:val="sdtLocked"/>
            <w:richText/>
          </w:sdtPr>
          <w:sdtContent>
            <w:p>
              <w:pPr>
                <w:jc w:val="both"/>
                <w:rPr>
                  <w:b/>
                  <w:caps/>
                  <w:szCs w:val="24"/>
                </w:rPr>
              </w:pPr>
              <w:sdt>
                <w:sdtPr>
                  <w:alias w:val="Pavadinimas"/>
                  <w:tag w:val="title_2a76351c26584357b9cc14722dd38511"/>
                  <w:lock w:val="sdtLocked"/>
                  <w:richText/>
                </w:sdtPr>
                <w:sdtContent>
                  <w:r>
                    <w:rPr>
                      <w:b/>
                      <w:szCs w:val="24"/>
                    </w:rPr>
                    <w:t>DĖL LIETUVOS RESPUBLIKOS VYRIAUSYBĖS NUTARIMO PROJEKTO</w:t>
                  </w:r>
                </w:sdtContent>
              </w:sdt>
            </w:p>
            <w:p>
              <w:pPr>
                <w:suppressAutoHyphens/>
                <w:ind w:right="278"/>
                <w:jc w:val="both"/>
                <w:rPr>
                  <w:szCs w:val="24"/>
                  <w:lang w:eastAsia="ar-SA"/>
                </w:rPr>
              </w:pPr>
            </w:p>
            <w:p>
              <w:pPr>
                <w:ind w:right="-1"/>
                <w:jc w:val="both"/>
                <w:rPr>
                  <w:szCs w:val="24"/>
                </w:rPr>
              </w:pPr>
            </w:p>
            <w:p>
              <w:pPr>
                <w:snapToGrid w:val="0"/>
                <w:spacing w:line="360" w:lineRule="auto"/>
                <w:ind w:firstLine="709"/>
                <w:jc w:val="both"/>
                <w:rPr>
                  <w:bCs/>
                  <w:szCs w:val="24"/>
                </w:rPr>
              </w:pPr>
              <w:r>
                <w:rPr>
                  <w:rFonts w:ascii="TimesLT" w:hAnsi="TimesLT"/>
                  <w:szCs w:val="24"/>
                </w:rPr>
                <w:t xml:space="preserve">Lietuvos Respublikos krašto apsaugos ministerija pakartotinai teikia </w:t>
              </w:r>
              <w:r>
                <w:rPr>
                  <w:rFonts w:ascii="TimesLT" w:hAnsi="TimesLT"/>
                  <w:szCs w:val="24"/>
                  <w:lang w:eastAsia="lt-LT"/>
                </w:rPr>
                <w:t>Lietuvos Respublikos Vyriausybės nutarimo „Dėl Lietuvos Respublikos Vyriausybės</w:t>
              </w:r>
              <w:r>
                <w:rPr>
                  <w:rFonts w:ascii="TimesLT" w:hAnsi="TimesLT"/>
                  <w:color w:val="000000"/>
                  <w:szCs w:val="24"/>
                </w:rPr>
                <w:t xml:space="preserve"> </w:t>
              </w:r>
              <w:r>
                <w:rPr>
                  <w:rFonts w:ascii="TimesLT" w:hAnsi="TimesLT"/>
                  <w:szCs w:val="24"/>
                  <w:lang w:eastAsia="lt-LT"/>
                </w:rPr>
                <w:t xml:space="preserve">2002 m. liepos 12 d. nutarimo Nr. 1125 „Dėl Karinės medicinos ekspertizės nuostatų patvirtinimo“ pakeitimo“ </w:t>
              </w:r>
              <w:r>
                <w:rPr>
                  <w:rFonts w:ascii="TimesLT" w:hAnsi="TimesLT"/>
                  <w:bCs/>
                  <w:szCs w:val="24"/>
                </w:rPr>
                <w:t xml:space="preserve">projektą (toliau – Nutarimo projektas). </w:t>
              </w:r>
            </w:p>
            <w:p>
              <w:pPr>
                <w:snapToGrid w:val="0"/>
                <w:spacing w:line="360" w:lineRule="auto"/>
                <w:ind w:firstLine="709"/>
                <w:jc w:val="both"/>
                <w:rPr>
                  <w:bCs/>
                  <w:szCs w:val="24"/>
                </w:rPr>
              </w:pPr>
              <w:r>
                <w:rPr>
                  <w:bCs/>
                  <w:szCs w:val="24"/>
                </w:rPr>
                <w:t>Nutarimo projekto tikslas – tobulinti karinės medicinos ekspertizės sveikatos reikalavimų, sveikatos tikrinimo, sveikatos sutrikimo sunkumo laipsnio nustatymo ir karinės medicinos ekspertizės teisinį reglamentavimą.</w:t>
              </w:r>
            </w:p>
            <w:p>
              <w:pPr>
                <w:snapToGrid w:val="0"/>
                <w:ind w:firstLine="709"/>
                <w:jc w:val="both"/>
                <w:rPr>
                  <w:bCs/>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22"/>
                <w:gridCol w:w="7506"/>
              </w:tblGrid>
              <w:tr>
                <w:tc>
                  <w:tcPr>
                    <w:tcW w:w="2122" w:type="dxa"/>
                  </w:tcPr>
                  <w:p>
                    <w:pPr>
                      <w:tabs>
                        <w:tab w:val="left" w:pos="597"/>
                      </w:tabs>
                      <w:ind w:right="34"/>
                      <w:jc w:val="both"/>
                      <w:rPr>
                        <w:szCs w:val="24"/>
                        <w:lang w:eastAsia="lt-LT"/>
                      </w:rPr>
                    </w:pPr>
                    <w:r>
                      <w:rPr>
                        <w:szCs w:val="24"/>
                        <w:lang w:eastAsia="lt-LT"/>
                      </w:rPr>
                      <w:t>I. Sprendžiama problema</w:t>
                    </w:r>
                  </w:p>
                </w:tc>
                <w:tc>
                  <w:tcPr>
                    <w:tcW w:w="7506" w:type="dxa"/>
                  </w:tcPr>
                  <w:p>
                    <w:pPr>
                      <w:snapToGrid w:val="0"/>
                      <w:jc w:val="both"/>
                      <w:rPr>
                        <w:szCs w:val="24"/>
                        <w:lang w:eastAsia="lt-LT"/>
                      </w:rPr>
                    </w:pPr>
                    <w:r>
                      <w:rPr>
                        <w:szCs w:val="24"/>
                        <w:lang w:eastAsia="lt-LT"/>
                      </w:rPr>
                      <w:t>Siekiama:</w:t>
                    </w:r>
                  </w:p>
                  <w:p>
                    <w:pPr>
                      <w:snapToGrid w:val="0"/>
                      <w:jc w:val="both"/>
                      <w:rPr>
                        <w:bCs/>
                        <w:szCs w:val="24"/>
                        <w:lang w:eastAsia="lt-LT"/>
                      </w:rPr>
                    </w:pPr>
                    <w:r>
                      <w:rPr>
                        <w:szCs w:val="24"/>
                        <w:lang w:eastAsia="lt-LT"/>
                      </w:rPr>
                      <w:t xml:space="preserve">- optimizuoti karinės medicinos ekspertizės atlikimą, </w:t>
                    </w:r>
                    <w:r>
                      <w:rPr>
                        <w:bCs/>
                        <w:szCs w:val="24"/>
                        <w:lang w:eastAsia="lt-LT"/>
                      </w:rPr>
                      <w:t>e</w:t>
                    </w:r>
                    <w:r>
                      <w:rPr>
                        <w:szCs w:val="24"/>
                        <w:lang w:eastAsia="lt-LT"/>
                      </w:rPr>
                      <w:t xml:space="preserve">kspertiniame nutarime numatant įrašyti visas galimas karo tarnybos rūšis, kurias pradėti arba tęsti patikrintas asmuo yra tinkamas; </w:t>
                    </w:r>
                  </w:p>
                  <w:p>
                    <w:pPr>
                      <w:jc w:val="both"/>
                      <w:rPr>
                        <w:szCs w:val="24"/>
                        <w:lang w:eastAsia="lt-LT"/>
                      </w:rPr>
                    </w:pPr>
                    <w:r>
                      <w:rPr>
                        <w:szCs w:val="24"/>
                        <w:lang w:eastAsia="lt-LT"/>
                      </w:rPr>
                      <w:t>- sudaryti galimybę asmenims, turintiems galiojančią ekspertinio nutarimo pažymą dėl tinkamumo tarnybai pagal sveikatos būklę, stoti į kitas tarnybos rūšis (pvz., asmenys, baigę pradinę privalomąją karo tarnybą, galėtų iš karto stoti į profesinę karo tarnybą nereikalaujant iš naujo atlikti karinę medicinos ekspertizę dėl tinkamumo tarnybai pagal sveikatos būklę);</w:t>
                    </w:r>
                  </w:p>
                  <w:p>
                    <w:pPr>
                      <w:jc w:val="both"/>
                      <w:rPr>
                        <w:szCs w:val="24"/>
                        <w:lang w:eastAsia="lt-LT"/>
                      </w:rPr>
                    </w:pPr>
                    <w:r>
                      <w:rPr>
                        <w:szCs w:val="24"/>
                        <w:lang w:eastAsia="lt-LT"/>
                      </w:rPr>
                      <w:t>- sugriežtinti karo prievolininkų sveikatos tikrinimą dėl jų tinkamumo tarnybai, atsisakant galimybės tai atlikti kitose sveikatos priežiūros įstaigose;</w:t>
                    </w:r>
                  </w:p>
                  <w:p>
                    <w:pPr>
                      <w:jc w:val="both"/>
                      <w:rPr>
                        <w:szCs w:val="24"/>
                        <w:lang w:eastAsia="lt-LT"/>
                      </w:rPr>
                    </w:pPr>
                    <w:r>
                      <w:rPr>
                        <w:szCs w:val="24"/>
                        <w:lang w:eastAsia="lt-LT"/>
                      </w:rPr>
                      <w:t>- pailginti karinei medicinos ekspertizei atlikti skirtą laiką;</w:t>
                    </w:r>
                  </w:p>
                  <w:p>
                    <w:pPr>
                      <w:jc w:val="both"/>
                      <w:rPr>
                        <w:szCs w:val="24"/>
                        <w:lang w:eastAsia="lt-LT"/>
                      </w:rPr>
                    </w:pPr>
                    <w:r>
                      <w:rPr>
                        <w:szCs w:val="24"/>
                        <w:lang w:eastAsia="lt-LT"/>
                      </w:rPr>
                      <w:t>- suvienodinti ekspertinio nutarimo pažymos galiojimo laiką visose karo tarnybos rūšyse tarnaujantiems asmenims;</w:t>
                    </w:r>
                  </w:p>
                  <w:p>
                    <w:pPr>
                      <w:jc w:val="both"/>
                      <w:rPr>
                        <w:szCs w:val="24"/>
                        <w:lang w:eastAsia="lt-LT"/>
                      </w:rPr>
                    </w:pPr>
                    <w:r>
                      <w:rPr>
                        <w:szCs w:val="24"/>
                        <w:lang w:eastAsia="lt-LT"/>
                      </w:rPr>
                      <w:t xml:space="preserve">- patikslinti Karinės medicinos ekspertizės komisijos funkcijas, atsisakant  funkcijos, tiesiogiai nesusijusios su šios komisijos kompetencija;</w:t>
                    </w:r>
                  </w:p>
                  <w:p>
                    <w:pPr>
                      <w:jc w:val="both"/>
                      <w:rPr>
                        <w:szCs w:val="24"/>
                        <w:lang w:eastAsia="lt-LT"/>
                      </w:rPr>
                    </w:pPr>
                    <w:r>
                      <w:rPr>
                        <w:szCs w:val="24"/>
                        <w:lang w:eastAsia="lt-LT"/>
                      </w:rPr>
                      <w:t>- patobulinti karių sveikatos sutrikimo sunkumo laipsnio nustatymo metodiką, ją pritaikant kariuomenės specifikai;</w:t>
                    </w:r>
                  </w:p>
                  <w:p>
                    <w:pPr>
                      <w:jc w:val="both"/>
                      <w:rPr>
                        <w:bCs/>
                        <w:szCs w:val="24"/>
                        <w:lang w:eastAsia="lt-LT"/>
                      </w:rPr>
                    </w:pPr>
                    <w:r>
                      <w:rPr>
                        <w:bCs/>
                        <w:szCs w:val="24"/>
                        <w:lang w:eastAsia="lt-LT"/>
                      </w:rPr>
                      <w:t xml:space="preserve">-  įgyvendinant 2020 m. liepos 1 d. įsigaliosiančius Lietuvos Respublikos karo prievolės įstatymo Nr. I-1593 2, 4, 5, 6, 6¹, 12, 15, 21, 23, 24, 25, 26, 27, 29, 31, 35, 36, 41, 41¹ straipsnių, IV skyriaus pavadinimo pakeitimo ir 22 straipsnio pripažinimo netekusiu galios ir Lietuvos Respublikos krašto apsaugos sistemos organizavimo ir karo tarnybos įstatymo Nr. VIII-723 2, 8, 10, 10¹, 13, 21, 22, 23, 28, 29, 32¹, 34, 35, 36, 37, 38, 43, 44, 48, 49, 50, 54, 55, 59, 60, 61, 61¹, 63, 64, 65, 68, 69 straipsnių pakeitimo ir Įstatymo papildymo 32² straipsniu įstatymus, suvienodinti Karinės medicinos ekspertizės nuostatuose vartojamas sąvokas su šiame įstatyme vartojamomis sąvokomis.</w:t>
                      <w:tab/>
                      <w:t xml:space="preserve"> </w:t>
                    </w:r>
                  </w:p>
                </w:tc>
              </w:tr>
              <w:tr>
                <w:tc>
                  <w:tcPr>
                    <w:tcW w:w="2122" w:type="dxa"/>
                  </w:tcPr>
                  <w:p>
                    <w:pPr>
                      <w:jc w:val="both"/>
                      <w:rPr>
                        <w:szCs w:val="24"/>
                        <w:lang w:eastAsia="lt-LT"/>
                      </w:rPr>
                    </w:pPr>
                    <w:r>
                      <w:rPr>
                        <w:szCs w:val="24"/>
                        <w:lang w:eastAsia="lt-LT"/>
                      </w:rPr>
                      <w:t>II. Siūlomos priemonės</w:t>
                    </w:r>
                  </w:p>
                </w:tc>
                <w:tc>
                  <w:tcPr>
                    <w:tcW w:w="7506" w:type="dxa"/>
                  </w:tcPr>
                  <w:p>
                    <w:pPr>
                      <w:jc w:val="both"/>
                      <w:rPr>
                        <w:szCs w:val="24"/>
                        <w:lang w:eastAsia="lt-LT"/>
                      </w:rPr>
                    </w:pPr>
                    <w:r>
                      <w:rPr>
                        <w:szCs w:val="24"/>
                        <w:lang w:eastAsia="lt-LT"/>
                      </w:rPr>
                      <w:t xml:space="preserve">- nustatoma, kad </w:t>
                    </w:r>
                    <w:r>
                      <w:rPr>
                        <w:bCs/>
                        <w:szCs w:val="24"/>
                        <w:lang w:eastAsia="lt-LT"/>
                      </w:rPr>
                      <w:t xml:space="preserve">ekspertinio nutarimo pažyma galioja ir tuo atveju, jei stojantys į profesinę karo tarnybą,  šaukiami ir stojantys į privalomąją karo tarnybą, šaulio tarnybą koviniame būryje, tarnybą žvalgybos institucijoje pagal žvalgybos pareigūnų tarnybos sutartis, taip pat karo mokymo įstaigas  asmenys, kurių atžvilgiu priimta ši pažyma, nesibaigus jos galiojimo laikui, priimami į  kitą iš paminėtų tarnybos rūšių, kadangi suvienodinami sveikatos reikalavimai stojantiems į tarnybą asmenims ir jau tarnaujantiems skirtingų tarnybos rūšių kariams;</w:t>
                    </w:r>
                  </w:p>
                  <w:p>
                    <w:pPr>
                      <w:jc w:val="both"/>
                      <w:rPr>
                        <w:bCs/>
                        <w:szCs w:val="24"/>
                        <w:lang w:eastAsia="lt-LT"/>
                      </w:rPr>
                    </w:pPr>
                    <w:r>
                      <w:rPr>
                        <w:szCs w:val="24"/>
                        <w:lang w:eastAsia="lt-LT"/>
                      </w:rPr>
                      <w:t xml:space="preserve">- atsisakoma </w:t>
                    </w:r>
                    <w:r>
                      <w:rPr>
                        <w:bCs/>
                        <w:szCs w:val="24"/>
                        <w:lang w:eastAsia="lt-LT"/>
                      </w:rPr>
                      <w:t>galimybės karo prievolininkų sveikatą tikrinti Lietuvos nacionalinės sveikatos sistemos įstaigose, atsižvelgiant į tai, kad šių įstaigų išduotuose medicinos dokumentuose pateikta informacija apie karo prievolininkų sveikatos būklę yra nepakankama asmens tinkamumui pagal sveikatos būklę tarnauti Lietuvos kariuomenėje nustatyti;</w:t>
                    </w:r>
                  </w:p>
                  <w:p>
                    <w:pPr>
                      <w:jc w:val="both"/>
                      <w:rPr>
                        <w:szCs w:val="24"/>
                        <w:lang w:eastAsia="lt-LT"/>
                      </w:rPr>
                    </w:pPr>
                    <w:r>
                      <w:rPr>
                        <w:lang w:eastAsia="lt-LT"/>
                      </w:rPr>
                      <w:t>-</w:t>
                    </w:r>
                    <w:r>
                      <w:rPr>
                        <w:bCs/>
                        <w:szCs w:val="24"/>
                        <w:lang w:eastAsia="lt-LT"/>
                      </w:rPr>
                      <w:t xml:space="preserve"> nustatomas ilgesnis (iki 120 dienų) laikotarpis karinei medicinos ekspertizei atlikti, nes nustatytas 90 dienų terminas yra nepakankamas siekiant išsamiai ištirti asmens sveikatos būklę</w:t>
                    </w:r>
                    <w:r>
                      <w:rPr>
                        <w:szCs w:val="24"/>
                        <w:lang w:eastAsia="lt-LT"/>
                      </w:rPr>
                      <w:t>;</w:t>
                    </w:r>
                  </w:p>
                  <w:p>
                    <w:pPr>
                      <w:jc w:val="both"/>
                      <w:rPr>
                        <w:szCs w:val="24"/>
                        <w:lang w:eastAsia="lt-LT"/>
                      </w:rPr>
                    </w:pPr>
                    <w:r>
                      <w:rPr>
                        <w:szCs w:val="24"/>
                        <w:lang w:eastAsia="lt-LT"/>
                      </w:rPr>
                      <w:t xml:space="preserve">-  nustatomas vienodas ekspertinių nutarimų pažymų galiojimo laikas visų rūšių karo tarnybą einantiems asmenims, atsisakant  šiuo metu taikomo 5 metų ekspertinių nutarimų pažymų galiojimo termino aktyviojo rezervo kariams;</w:t>
                    </w:r>
                  </w:p>
                  <w:p>
                    <w:pPr>
                      <w:jc w:val="both"/>
                      <w:rPr>
                        <w:lang w:eastAsia="lt-LT"/>
                      </w:rPr>
                    </w:pPr>
                    <w:r>
                      <w:rPr>
                        <w:lang w:eastAsia="lt-LT"/>
                      </w:rPr>
                      <w:t xml:space="preserve">- atsisakoma Karinės medicinos ekspertizės komisijos funkcijos </w:t>
                    </w:r>
                    <w:r>
                      <w:rPr>
                        <w:szCs w:val="24"/>
                        <w:lang w:eastAsia="lt-LT"/>
                      </w:rPr>
                      <w:t>nustatyti, ar asmens sveikatos būklė leidžia asmeniui vykti mokytis į užsienio valstybių karo mokymo įstaigas</w:t>
                    </w:r>
                    <w:r>
                      <w:rPr>
                        <w:lang w:eastAsia="lt-LT"/>
                      </w:rPr>
                      <w:t>, nes sveikatos būklės atitikties sveikatos reikalavimams, taikomiems užsienio valstybių karo mokymo įstaigose, nustatymas nėra karinės medicinos ekspertizės objektas;</w:t>
                    </w:r>
                  </w:p>
                  <w:p>
                    <w:pPr>
                      <w:jc w:val="both"/>
                      <w:rPr>
                        <w:lang w:eastAsia="lt-LT"/>
                      </w:rPr>
                    </w:pPr>
                    <w:r>
                      <w:rPr>
                        <w:bCs/>
                        <w:szCs w:val="24"/>
                        <w:lang w:eastAsia="lt-LT"/>
                      </w:rPr>
                      <w:t xml:space="preserve">- Vyriausybės nutarimo projektas papildomas karių sunkių, apysunkių ir lengvų sužeidimų, traumų ir kitų sveikatos sutrikdymų sąrašu, nes šiuo metu nustatant karių sveikatos sutrikimo sunkumo laipsnį taikomas Vidaus tarnybos sistemos pareigūnų ir kursantų sunkių, apysunkių ir lengvų sužeidimų, traumų ir kitų sveikatos sutrikdymų sąrašas, patvirtintas Lietuvos Respublikos Vyriausybės 2018 m. gruodžio 12 d. nutarimu Nr. 1300 „Dėl Lietuvos Respublikos vidaus tarnybos statuto įgyvendinimo“, yra nepritaikytas karo tarnybos specifikai (sąrašas </w:t>
                    </w:r>
                    <w:r>
                      <w:rPr>
                        <w:lang w:eastAsia="lt-LT"/>
                      </w:rPr>
                      <w:t>papildytas klausos sutrikimais, visų ilgųjų kaulų lūžiais), taip pat nustatomas trumpesnis nedarbingumo periodas sveikatos sutrikdymo sunkumo laipsniui nustatyti, nustatoma, kad, nesant galimybės gauti laikinojo nedarbingumo pažymėjimo, tam tikrose situacijose nedarbingu asmuo laikomas, kai apie tai įrašyta tik medicininiuose dokumentuose;</w:t>
                    </w:r>
                  </w:p>
                  <w:p>
                    <w:pPr>
                      <w:jc w:val="both"/>
                      <w:rPr>
                        <w:bCs/>
                        <w:szCs w:val="24"/>
                        <w:lang w:eastAsia="lt-LT"/>
                      </w:rPr>
                    </w:pPr>
                    <w:r>
                      <w:rPr>
                        <w:lang w:eastAsia="lt-LT"/>
                      </w:rPr>
                      <w:t xml:space="preserve">- nustatomos vienodos karo tarnybos rūšis apibūdinančios sąvokos,  </w:t>
                    </w:r>
                    <w:r>
                      <w:rPr>
                        <w:bCs/>
                        <w:szCs w:val="24"/>
                        <w:lang w:eastAsia="lt-LT"/>
                      </w:rPr>
                      <w:t xml:space="preserve">įgyvendinant 2020 m. liepos 1 d. įsigaliosiančio Lietuvos Respublikos karo prievolės įstatymo Nr. I-1593 2, 4, 5, 6, 6¹, 12, 15, 21, 23, 24, 25, 26, 27, 29, 31, 35, 36, 41, 41¹ straipsnių, IV skyriaus pavadinimo pakeitimo ir 22 straipsnio pripažinimo netekusiu galios ir Lietuvos Respublikos krašto apsaugos sistemos organizavimo ir karo tarnybos įstatymo Nr. VIII-723 2, 8, 10, 10¹, 13, 21, 22, 23, 28, 29, 32¹, 34, 35, 36, 37, 38, 43, 44, 48, 49, 50, 54, 55, 59, 60, 61, 61¹, 63, 64, 65, 68, 69 straipsnių pakeitimo ir Įstatymo papildymo 32² straipsniu įstatymų nuostatas,  suvienodintos Karinės medicinos ekspertizės nuostatuose vartojamos sąvokos su šiuose įstatymuose vartojamomis sąvokomis (pvz., </w:t>
                    </w:r>
                    <w:r>
                      <w:rPr>
                        <w:szCs w:val="24"/>
                        <w:lang w:eastAsia="lt-LT"/>
                      </w:rPr>
                      <w:t xml:space="preserve">sąvoka „tarnyba aktyviajame rezerve“ keičiama į </w:t>
                    </w:r>
                    <w:r>
                      <w:rPr>
                        <w:color w:val="000000"/>
                        <w:szCs w:val="24"/>
                        <w:lang w:eastAsia="lt-LT"/>
                      </w:rPr>
                      <w:t xml:space="preserve"> sąvoką „savanoriška nenuolatinė karo tarnyba“).</w:t>
                    </w:r>
                  </w:p>
                </w:tc>
              </w:tr>
              <w:tr>
                <w:tc>
                  <w:tcPr>
                    <w:tcW w:w="2122" w:type="dxa"/>
                  </w:tcPr>
                  <w:p>
                    <w:pPr>
                      <w:jc w:val="both"/>
                      <w:rPr>
                        <w:szCs w:val="24"/>
                        <w:lang w:eastAsia="lt-LT"/>
                      </w:rPr>
                    </w:pPr>
                    <w:r>
                      <w:rPr>
                        <w:szCs w:val="24"/>
                        <w:lang w:eastAsia="lt-LT"/>
                      </w:rPr>
                      <w:t>III. Priemonių sąnaudos</w:t>
                    </w:r>
                  </w:p>
                </w:tc>
                <w:tc>
                  <w:tcPr>
                    <w:tcW w:w="7506" w:type="dxa"/>
                  </w:tcPr>
                  <w:p>
                    <w:pPr>
                      <w:jc w:val="both"/>
                      <w:rPr>
                        <w:szCs w:val="24"/>
                        <w:lang w:eastAsia="lt-LT"/>
                      </w:rPr>
                    </w:pPr>
                    <w:r>
                      <w:rPr>
                        <w:szCs w:val="24"/>
                        <w:lang w:eastAsia="lt-LT"/>
                      </w:rPr>
                      <w:t xml:space="preserve">Nutarimo projektui įgyvendinti papildomų lėšų nereikės. </w:t>
                    </w:r>
                  </w:p>
                </w:tc>
              </w:tr>
              <w:tr>
                <w:tc>
                  <w:tcPr>
                    <w:tcW w:w="2122" w:type="dxa"/>
                  </w:tcPr>
                  <w:p>
                    <w:pPr>
                      <w:jc w:val="both"/>
                      <w:rPr>
                        <w:szCs w:val="24"/>
                        <w:lang w:eastAsia="lt-LT"/>
                      </w:rPr>
                    </w:pPr>
                    <w:r>
                      <w:rPr>
                        <w:szCs w:val="24"/>
                        <w:lang w:eastAsia="lt-LT"/>
                      </w:rPr>
                      <w:t xml:space="preserve">IV. Nauda visuomenei </w:t>
                    </w:r>
                  </w:p>
                </w:tc>
                <w:tc>
                  <w:tcPr>
                    <w:tcW w:w="7506" w:type="dxa"/>
                  </w:tcPr>
                  <w:p>
                    <w:pPr>
                      <w:jc w:val="both"/>
                      <w:rPr>
                        <w:szCs w:val="24"/>
                        <w:lang w:eastAsia="lt-LT"/>
                      </w:rPr>
                    </w:pPr>
                    <w:r>
                      <w:rPr>
                        <w:szCs w:val="24"/>
                        <w:lang w:eastAsia="lt-LT"/>
                      </w:rPr>
                      <w:t xml:space="preserve">Mažinama įgyvendinančiosioms institucijoms tenkanti administracinė  našta (nereikės papildomai atlikti medicinos ekspertizės apie 1400 asmenų, kuriems karinė medicinos ekspertizė atlikta stojant ar tarnaujant kitose karo  tarnybos rūšyse) ir finansinė našta (karinės medicinos ekspertizės sąnaudos sumažės apie 150 tūkst. eurų), didinamas vykdančiosios institucijos veiklos skaidrumas.</w:t>
                    </w:r>
                  </w:p>
                </w:tc>
              </w:tr>
            </w:tbl>
            <w:p>
              <w:pPr>
                <w:ind w:firstLine="709"/>
                <w:jc w:val="both"/>
                <w:rPr>
                  <w:bCs/>
                  <w:szCs w:val="24"/>
                </w:rPr>
              </w:pPr>
            </w:p>
            <w:p>
              <w:pPr>
                <w:tabs>
                  <w:tab w:val="left" w:pos="0"/>
                  <w:tab w:val="left" w:pos="959"/>
                  <w:tab w:val="left" w:pos="1918"/>
                  <w:tab w:val="left" w:pos="2877"/>
                  <w:tab w:val="left" w:pos="3836"/>
                  <w:tab w:val="left" w:pos="4795"/>
                  <w:tab w:val="left" w:pos="5754"/>
                  <w:tab w:val="left" w:pos="6713"/>
                  <w:tab w:val="left" w:pos="7672"/>
                  <w:tab w:val="left" w:pos="8631"/>
                  <w:tab w:val="left" w:pos="9590"/>
                </w:tabs>
                <w:spacing w:line="360" w:lineRule="auto"/>
                <w:ind w:firstLine="709"/>
                <w:jc w:val="both"/>
                <w:rPr>
                  <w:szCs w:val="24"/>
                </w:rPr>
              </w:pPr>
              <w:r>
                <w:rPr>
                  <w:bCs/>
                  <w:szCs w:val="24"/>
                </w:rPr>
                <w:t xml:space="preserve">Nutarimo projektas pataisytas pagal Lietuvos Respublikos Vyriausybės kanceliarijos Teisės grupės ir Viešojo valdymo grupės pastabas ir pasiūlymus. Pataisytas Nutarimo projektas darbo tvarka suderintas su Lietuvos Respublikos Vyriausybės kanceliarijos Teisės grupės, Viešojo valdymo grupės ir Lietuvos Respublikos valstybės saugumo departamento pastabų rengėjais. </w:t>
              </w:r>
            </w:p>
            <w:p>
              <w:pPr>
                <w:tabs>
                  <w:tab w:val="left" w:pos="0"/>
                  <w:tab w:val="left" w:pos="959"/>
                  <w:tab w:val="left" w:pos="1918"/>
                  <w:tab w:val="left" w:pos="2877"/>
                  <w:tab w:val="left" w:pos="3836"/>
                  <w:tab w:val="left" w:pos="4795"/>
                  <w:tab w:val="left" w:pos="5754"/>
                  <w:tab w:val="left" w:pos="6713"/>
                  <w:tab w:val="left" w:pos="7672"/>
                  <w:tab w:val="left" w:pos="8631"/>
                  <w:tab w:val="left" w:pos="9590"/>
                </w:tabs>
                <w:spacing w:line="360" w:lineRule="auto"/>
                <w:ind w:firstLine="709"/>
                <w:jc w:val="both"/>
                <w:rPr>
                  <w:szCs w:val="24"/>
                </w:rPr>
              </w:pPr>
              <w:r>
                <w:rPr>
                  <w:color w:val="000000"/>
                  <w:szCs w:val="24"/>
                </w:rPr>
                <w:t xml:space="preserve">Nutarimo projektas paskelbtas Lietuvos Respublikos Seimo kanceliarijos teisės aktų informacinėje sistemoje (TAIS). </w:t>
              </w:r>
              <w:r>
                <w:rPr>
                  <w:szCs w:val="24"/>
                </w:rPr>
                <w:t>Suinteresuotos institucijos ir visuomenė galės pateikti pastabų ir pasiūlymų.</w:t>
              </w:r>
            </w:p>
            <w:p>
              <w:pPr>
                <w:spacing w:line="360" w:lineRule="auto"/>
                <w:ind w:firstLine="709"/>
                <w:jc w:val="both"/>
                <w:rPr>
                  <w:szCs w:val="24"/>
                  <w:lang w:eastAsia="lt-LT"/>
                </w:rPr>
              </w:pPr>
              <w:r>
                <w:rPr>
                  <w:color w:val="000000"/>
                  <w:szCs w:val="24"/>
                </w:rPr>
                <w:t>Projektą parengė Lietuvos Respublikos krašto apsaugos ministerijos</w:t>
              </w:r>
              <w:r>
                <w:t xml:space="preserve"> Karo tarnybos ir personalo departamento (direktorius – Žilvinas Tomkus, tel. (8 5) 273 5570, el. p. zilvinas.tomkus@kam.lt) Socialinės saugos ir sveikatos priežiūros politikos skyriaus (vedėja Aušra Kazlauskienė, tel. (8 5) 210 3864, el. p. aušra.kazlauskiene@kam.lt) vyr. specialistė Jūratė Čaplikienė, tel. (8 5) 263 5905, el. p. jurate.caplikiene@mil.lt.</w:t>
              </w:r>
            </w:p>
            <w:p>
              <w:pPr>
                <w:spacing w:line="360" w:lineRule="auto"/>
                <w:ind w:firstLine="709"/>
                <w:jc w:val="both"/>
                <w:rPr>
                  <w:color w:val="000000"/>
                </w:rPr>
              </w:pPr>
              <w:r>
                <w:rPr>
                  <w:color w:val="000000"/>
                </w:rPr>
                <w:t>PRIDEDAMA:</w:t>
              </w:r>
            </w:p>
            <w:sdt>
              <w:sdtPr>
                <w:alias w:val="1 p."/>
                <w:tag w:val="part_e827cfd885d747098054f6de99325fa3"/>
                <w:lock w:val="sdtLocked"/>
                <w:richText/>
              </w:sdtPr>
              <w:sdtContent>
                <w:p>
                  <w:pPr>
                    <w:spacing w:line="360" w:lineRule="auto"/>
                    <w:ind w:firstLine="709"/>
                    <w:jc w:val="both"/>
                    <w:rPr>
                      <w:szCs w:val="24"/>
                      <w:lang w:eastAsia="lt-LT"/>
                    </w:rPr>
                  </w:pPr>
                  <w:sdt>
                    <w:sdtPr>
                      <w:alias w:val="Numeris"/>
                      <w:tag w:val="nr_e827cfd885d747098054f6de99325fa3"/>
                      <w:lock w:val="sdtLocked"/>
                      <w:richText/>
                    </w:sdtPr>
                    <w:sdtContent>
                      <w:r>
                        <w:rPr>
                          <w:szCs w:val="24"/>
                          <w:lang w:eastAsia="lt-LT"/>
                        </w:rPr>
                        <w:t>1</w:t>
                      </w:r>
                    </w:sdtContent>
                  </w:sdt>
                  <w:r>
                    <w:rPr>
                      <w:szCs w:val="24"/>
                      <w:lang w:eastAsia="lt-LT"/>
                    </w:rPr>
                    <w:t>. Lietuvos Respublikos Vyriausybės</w:t>
                  </w:r>
                  <w:r>
                    <w:rPr>
                      <w:color w:val="000000"/>
                    </w:rPr>
                    <w:t xml:space="preserve"> </w:t>
                  </w:r>
                  <w:r>
                    <w:rPr>
                      <w:szCs w:val="24"/>
                      <w:lang w:eastAsia="lt-LT"/>
                    </w:rPr>
                    <w:t>nutarimo „Dėl Lietuvos Respublikos Vyriausybės 2002 m. liepos 12 d. nutarimo Nr. 1125 „Dėl Karinės medicinos ekspertizės nuostatų patvirtinimo“ pakeitimo“, projektas, 15 lapų.</w:t>
                  </w:r>
                </w:p>
              </w:sdtContent>
            </w:sdt>
            <w:sdt>
              <w:sdtPr>
                <w:alias w:val="2 p."/>
                <w:tag w:val="part_a6569e88679943049b9cf8974ecf00eb"/>
                <w:lock w:val="sdtLocked"/>
                <w:richText/>
              </w:sdtPr>
              <w:sdtContent>
                <w:p>
                  <w:pPr>
                    <w:spacing w:line="360" w:lineRule="auto"/>
                    <w:ind w:firstLine="709"/>
                    <w:jc w:val="both"/>
                    <w:rPr>
                      <w:szCs w:val="24"/>
                      <w:lang w:eastAsia="lt-LT"/>
                    </w:rPr>
                  </w:pPr>
                  <w:sdt>
                    <w:sdtPr>
                      <w:alias w:val="Numeris"/>
                      <w:tag w:val="nr_a6569e88679943049b9cf8974ecf00eb"/>
                      <w:lock w:val="sdtLocked"/>
                      <w:richText/>
                    </w:sdtPr>
                    <w:sdtContent>
                      <w:r>
                        <w:rPr>
                          <w:szCs w:val="24"/>
                          <w:lang w:eastAsia="lt-LT"/>
                        </w:rPr>
                        <w:t>2</w:t>
                      </w:r>
                    </w:sdtContent>
                  </w:sdt>
                  <w:r>
                    <w:rPr>
                      <w:szCs w:val="24"/>
                      <w:lang w:eastAsia="lt-LT"/>
                    </w:rPr>
                    <w:t>. Lietuvos Respublikos Vyriausybės</w:t>
                  </w:r>
                  <w:r>
                    <w:rPr>
                      <w:color w:val="000000"/>
                    </w:rPr>
                    <w:t xml:space="preserve"> </w:t>
                  </w:r>
                  <w:r>
                    <w:rPr>
                      <w:szCs w:val="24"/>
                      <w:lang w:eastAsia="lt-LT"/>
                    </w:rPr>
                    <w:t>nutarimo „Dėl Lietuvos Respublikos Vyriausybės 2002 m. liepos 12 d. nutarimo Nr. 1125 „Dėl Karinės medicinos ekspertizės nuostatų patvirtinimo“ pakeitimo“ projekto lyginamasis variantas, 2 lapai.</w:t>
                  </w:r>
                </w:p>
                <w:p/>
                <w:p>
                  <w:pPr>
                    <w:rPr>
                      <w:sz w:val="18"/>
                      <w:szCs w:val="18"/>
                    </w:rPr>
                  </w:pPr>
                </w:p>
                <w:p/>
                <w:p>
                  <w:pPr>
                    <w:rPr>
                      <w:sz w:val="18"/>
                      <w:szCs w:val="18"/>
                    </w:rPr>
                  </w:pPr>
                </w:p>
                <w:p>
                  <w:r>
                    <w:t>Krašto apsaugos ministras                                                                                  Raimundas Karoblis</w:t>
                  </w:r>
                </w:p>
                <w:p>
                  <w:pPr>
                    <w:rPr>
                      <w:sz w:val="18"/>
                      <w:szCs w:val="18"/>
                    </w:rPr>
                  </w:pPr>
                </w:p>
                <w:p>
                  <w:pPr>
                    <w:jc w:val="both"/>
                  </w:pPr>
                </w:p>
                <w:p>
                  <w:pPr>
                    <w:jc w:val="both"/>
                  </w:pPr>
                </w:p>
                <w:p>
                  <w:pPr>
                    <w:jc w:val="both"/>
                  </w:pPr>
                </w:p>
                <w:p>
                  <w:pPr>
                    <w:jc w:val="both"/>
                  </w:pPr>
                </w:p>
                <w:p>
                  <w:pPr>
                    <w:jc w:val="both"/>
                  </w:pPr>
                </w:p>
                <w:p>
                  <w:pPr>
                    <w:rPr>
                      <w:sz w:val="22"/>
                      <w:szCs w:val="22"/>
                    </w:rPr>
                  </w:pPr>
                  <w:r>
                    <w:rPr>
                      <w:sz w:val="22"/>
                      <w:szCs w:val="22"/>
                    </w:rPr>
                    <w:t>Jūratė Čaplikienė, tel. (8 5)</w:t>
                  </w:r>
                  <w:r>
                    <w:rPr>
                      <w:rFonts w:ascii="Helvetica" w:hAnsi="Helvetica" w:cs="Helvetica"/>
                      <w:color w:val="000000"/>
                      <w:sz w:val="22"/>
                      <w:szCs w:val="22"/>
                    </w:rPr>
                    <w:t xml:space="preserve"> </w:t>
                  </w:r>
                  <w:r>
                    <w:rPr>
                      <w:color w:val="000000"/>
                      <w:sz w:val="22"/>
                      <w:szCs w:val="22"/>
                    </w:rPr>
                    <w:t>263 5905</w:t>
                  </w:r>
                  <w:r>
                    <w:rPr>
                      <w:sz w:val="22"/>
                      <w:szCs w:val="22"/>
                    </w:rPr>
                    <w:t xml:space="preserve">,  el. p. </w:t>
                  </w:r>
                  <w:hyperlink r:id="rId9" w:history="1">
                    <w:r>
                      <w:rPr>
                        <w:sz w:val="22"/>
                        <w:szCs w:val="22"/>
                      </w:rPr>
                      <w:t>jurate.caplikiene@mil.lt</w:t>
                    </w:r>
                  </w:hyperlink>
                </w:p>
              </w:sdtContent>
            </w:sdt>
          </w:sdtContent>
        </w:sdt>
      </w:sdtContent>
    </w:sdt>
    <w:sectPr>
      <w:headerReference w:type="even" r:id="rId10"/>
      <w:headerReference w:type="default" r:id="rId11"/>
      <w:footerReference w:type="even" r:id="rId12"/>
      <w:footerReference w:type="default" r:id="rId13"/>
      <w:headerReference w:type="first" r:id="rId14"/>
      <w:footerReference w:type="first" r:id="rId15"/>
      <w:pgSz w:w="11906" w:h="16838" w:code="9"/>
      <w:pgMar w:top="1134" w:right="567" w:bottom="1134" w:left="1701" w:header="720" w:footer="1134" w:gutter="0"/>
      <w:cols w:space="708"/>
      <w:titlePg/>
      <w:docGrid w:linePitch="360"/>
    </w:sectPr>
  </w:body>
</w:document>
</file>

<file path=word/endnotes.xml><?xml version="1.0" encoding="utf-8"?>
<w:endnotes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pPr>
        <w:rPr>
          <w:szCs w:val="24"/>
        </w:rPr>
      </w:pPr>
      <w:r>
        <w:rPr>
          <w:szCs w:val="24"/>
        </w:rPr>
        <w:separator/>
      </w:r>
    </w:p>
  </w:endnote>
  <w:endnote w:type="continuationSeparator" w:id="0">
    <w:p>
      <w:pPr>
        <w:rPr>
          <w:szCs w:val="24"/>
        </w:rPr>
      </w:pPr>
      <w:r>
        <w:rPr>
          <w:szCs w:val="24"/>
        </w:rPr>
        <w:continuationSeparator/>
      </w:r>
    </w:p>
  </w:endnote>
</w:endnotes>
</file>

<file path=word/fontTable.xml><?xml version="1.0" encoding="utf-8"?>
<w:fonts xmlns:w="http://schemas.openxmlformats.org/wordprocessingml/2006/main" xmlns:mc="http://schemas.openxmlformats.org/markup-compatibility/2006" xmlns:r="http://schemas.openxmlformats.org/officeDocument/2006/relationships" xmlns:w14="http://schemas.microsoft.com/office/word/2010/wordml" mc:Ignorable="w14">
  <w:font w:name="Times New Roman">
    <w:panose1 w:val="02020603050405020304"/>
    <w:charset w:val="BA"/>
    <w:family w:val="roman"/>
    <w:pitch w:val="variable"/>
    <w:sig w:usb0="E0002EFF" w:usb1="C0007843" w:usb2="00000009" w:usb3="00000000" w:csb0="000001FF" w:csb1="00000000"/>
  </w:font>
  <w:font w:name="TimesLT">
    <w:altName w:val="Times New Roman"/>
    <w:charset w:val="BA"/>
    <w:family w:val="roman"/>
    <w:pitch w:val="variable"/>
    <w:sig w:usb0="00000287" w:usb1="00000000" w:usb2="00000000" w:usb3="00000000" w:csb0="0000009F" w:csb1="00000000"/>
  </w:font>
  <w:font w:name="Helvetica">
    <w:panose1 w:val="020B0604020202020204"/>
    <w:charset w:val="00"/>
    <w:family w:val="swiss"/>
    <w:notTrueType/>
    <w:pitch w:val="variable"/>
    <w:sig w:usb0="00000003" w:usb1="00000000" w:usb2="00000000" w:usb3="00000000" w:csb0="00000001" w:csb1="00000000"/>
  </w:font>
  <w:font w:name="Cambria">
    <w:panose1 w:val="02040503050406030204"/>
    <w:charset w:val="BA"/>
    <w:family w:val="roman"/>
    <w:pitch w:val="variable"/>
    <w:sig w:usb0="E00002FF" w:usb1="400004FF" w:usb2="00000000" w:usb3="00000000" w:csb0="0000019F" w:csb1="00000000"/>
  </w:font>
  <w:font w:name="Calibri">
    <w:panose1 w:val="020F0502020204030204"/>
    <w:charset w:val="BA"/>
    <w:family w:val="swiss"/>
    <w:pitch w:val="variable"/>
    <w:sig w:usb0="E00002FF" w:usb1="4000ACFF" w:usb2="00000001" w:usb3="00000000" w:csb0="0000019F" w:csb1="00000000"/>
  </w:font>
</w:fonts>
</file>

<file path=word/footer1.xml><?xml version="1.0" encoding="utf-8"?>
<w:ftr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tabs>
        <w:tab w:val="center" w:pos="4819"/>
        <w:tab w:val="right" w:pos="9638"/>
      </w:tabs>
      <w:rPr>
        <w:szCs w:val="24"/>
      </w:rPr>
    </w:pPr>
  </w:p>
</w:ftr>
</file>

<file path=word/footer2.xml><?xml version="1.0" encoding="utf-8"?>
<w:ftr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tabs>
        <w:tab w:val="center" w:pos="4819"/>
        <w:tab w:val="right" w:pos="9638"/>
      </w:tabs>
      <w:rPr>
        <w:szCs w:val="24"/>
      </w:rPr>
    </w:pPr>
  </w:p>
</w:ftr>
</file>

<file path=word/footer3.xml><?xml version="1.0" encoding="utf-8"?>
<w:ftr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tabs>
        <w:tab w:val="center" w:pos="4819"/>
        <w:tab w:val="right" w:pos="9638"/>
      </w:tabs>
      <w:rPr>
        <w:szCs w:val="24"/>
      </w:rPr>
    </w:pPr>
  </w:p>
</w:ftr>
</file>

<file path=word/footnotes.xml><?xml version="1.0" encoding="utf-8"?>
<w:footnotes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pPr>
        <w:rPr>
          <w:szCs w:val="24"/>
        </w:rPr>
      </w:pPr>
      <w:r>
        <w:rPr>
          <w:szCs w:val="24"/>
        </w:rPr>
        <w:separator/>
      </w:r>
    </w:p>
  </w:footnote>
  <w:footnote w:type="continuationSeparator" w:id="0">
    <w:p>
      <w:pPr>
        <w:rPr>
          <w:szCs w:val="24"/>
        </w:rPr>
      </w:pPr>
      <w:r>
        <w:rPr>
          <w:szCs w:val="24"/>
        </w:rPr>
        <w:continuationSeparator/>
      </w:r>
    </w:p>
  </w:footnote>
</w:footnotes>
</file>

<file path=word/header1.xml><?xml version="1.0" encoding="utf-8"?>
<w:hdr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tabs>
        <w:tab w:val="center" w:pos="4819"/>
        <w:tab w:val="right" w:pos="9638"/>
      </w:tabs>
      <w:rPr>
        <w:szCs w:val="24"/>
      </w:rPr>
    </w:pPr>
  </w:p>
</w:hdr>
</file>

<file path=word/header2.xml><?xml version="1.0" encoding="utf-8"?>
<w:hdr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tabs>
        <w:tab w:val="center" w:pos="4819"/>
        <w:tab w:val="right" w:pos="9638"/>
      </w:tabs>
      <w:jc w:val="center"/>
      <w:rPr>
        <w:szCs w:val="24"/>
      </w:rPr>
    </w:pPr>
    <w:r>
      <w:rPr>
        <w:szCs w:val="24"/>
      </w:rPr>
      <w:fldChar w:fldCharType="begin"/>
    </w:r>
    <w:r>
      <w:rPr>
        <w:szCs w:val="24"/>
      </w:rPr>
      <w:instrText>PAGE   \* MERGEFORMAT</w:instrText>
    </w:r>
    <w:r>
      <w:rPr>
        <w:szCs w:val="24"/>
      </w:rPr>
      <w:fldChar w:fldCharType="separate"/>
    </w:r>
    <w:r>
      <w:rPr>
        <w:szCs w:val="24"/>
      </w:rPr>
      <w:t>4</w:t>
    </w:r>
    <w:r>
      <w:rPr>
        <w:szCs w:val="24"/>
      </w:rPr>
      <w:fldChar w:fldCharType="end"/>
    </w:r>
  </w:p>
  <w:p>
    <w:pPr>
      <w:tabs>
        <w:tab w:val="center" w:pos="4819"/>
        <w:tab w:val="right" w:pos="9638"/>
      </w:tabs>
      <w:rPr>
        <w:szCs w:val="24"/>
      </w:rPr>
    </w:pPr>
  </w:p>
</w:hdr>
</file>

<file path=word/header3.xml><?xml version="1.0" encoding="utf-8"?>
<w:hdr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tabs>
        <w:tab w:val="center" w:pos="4819"/>
        <w:tab w:val="right" w:pos="9638"/>
      </w:tabs>
      <w:rPr>
        <w:szCs w:val="24"/>
      </w:rPr>
    </w:pPr>
  </w:p>
</w:hdr>
</file>

<file path=word/settings.xml><?xml version="1.0" encoding="utf-8"?>
<w:settings xmlns:w="http://schemas.openxmlformats.org/wordprocessingml/2006/main"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mc:Ignorable="w14">
  <w:view w:val="normal"/>
  <w:zoom w:percent="100"/>
  <w:displayBackgroundShap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doNotHyphenateCaps/>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9560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w="http://schemas.openxmlformats.org/wordprocessingml/2006/main" xmlns:mc="http://schemas.openxmlformats.org/markup-compatibility/2006" xmlns:r="http://schemas.openxmlformats.org/officeDocument/2006/relationships" xmlns:w14="http://schemas.microsoft.com/office/word/2010/wordml" mc:Ignorable="w14">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267"/>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267"/>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w="http://schemas.openxmlformats.org/wordprocessingml/2006/main" xmlns:mc="http://schemas.openxmlformats.org/markup-compatibility/2006" xmlns:r="http://schemas.openxmlformats.org/officeDocument/2006/relationships" xmlns:w14="http://schemas.microsoft.com/office/word/2010/wordml" mc:Ignorable="w14">
  <w:divs>
    <w:div w:id="278688872">
      <w:bodyDiv w:val="1"/>
      <w:marLeft w:val="0"/>
      <w:marRight w:val="0"/>
      <w:marTop w:val="0"/>
      <w:marBottom w:val="0"/>
      <w:divBdr>
        <w:top w:val="none" w:sz="0" w:space="0" w:color="auto"/>
        <w:left w:val="none" w:sz="0" w:space="0" w:color="auto"/>
        <w:bottom w:val="none" w:sz="0" w:space="0" w:color="auto"/>
        <w:right w:val="none" w:sz="0" w:space="0" w:color="auto"/>
      </w:divBdr>
    </w:div>
    <w:div w:id="625161941">
      <w:bodyDiv w:val="1"/>
      <w:marLeft w:val="0"/>
      <w:marRight w:val="0"/>
      <w:marTop w:val="0"/>
      <w:marBottom w:val="0"/>
      <w:divBdr>
        <w:top w:val="none" w:sz="0" w:space="0" w:color="auto"/>
        <w:left w:val="none" w:sz="0" w:space="0" w:color="auto"/>
        <w:bottom w:val="none" w:sz="0" w:space="0" w:color="auto"/>
        <w:right w:val="none" w:sz="0" w:space="0" w:color="auto"/>
      </w:divBdr>
    </w:div>
    <w:div w:id="798306863">
      <w:bodyDiv w:val="1"/>
      <w:marLeft w:val="0"/>
      <w:marRight w:val="0"/>
      <w:marTop w:val="0"/>
      <w:marBottom w:val="0"/>
      <w:divBdr>
        <w:top w:val="none" w:sz="0" w:space="0" w:color="auto"/>
        <w:left w:val="none" w:sz="0" w:space="0" w:color="auto"/>
        <w:bottom w:val="none" w:sz="0" w:space="0" w:color="auto"/>
        <w:right w:val="none" w:sz="0" w:space="0" w:color="auto"/>
      </w:divBdr>
    </w:div>
    <w:div w:id="1442994670">
      <w:bodyDiv w:val="1"/>
      <w:marLeft w:val="0"/>
      <w:marRight w:val="0"/>
      <w:marTop w:val="0"/>
      <w:marBottom w:val="0"/>
      <w:divBdr>
        <w:top w:val="none" w:sz="0" w:space="0" w:color="auto"/>
        <w:left w:val="none" w:sz="0" w:space="0" w:color="auto"/>
        <w:bottom w:val="none" w:sz="0" w:space="0" w:color="auto"/>
        <w:right w:val="none" w:sz="0" w:space="0" w:color="auto"/>
      </w:divBdr>
    </w:div>
    <w:div w:id="1516992494">
      <w:bodyDiv w:val="1"/>
      <w:marLeft w:val="225"/>
      <w:marRight w:val="225"/>
      <w:marTop w:val="0"/>
      <w:marBottom w:val="0"/>
      <w:divBdr>
        <w:top w:val="none" w:sz="0" w:space="0" w:color="auto"/>
        <w:left w:val="none" w:sz="0" w:space="0" w:color="auto"/>
        <w:bottom w:val="none" w:sz="0" w:space="0" w:color="auto"/>
        <w:right w:val="none" w:sz="0" w:space="0" w:color="auto"/>
      </w:divBdr>
      <w:divsChild>
        <w:div w:id="145124615">
          <w:marLeft w:val="0"/>
          <w:marRight w:val="0"/>
          <w:marTop w:val="0"/>
          <w:marBottom w:val="0"/>
          <w:divBdr>
            <w:top w:val="none" w:sz="0" w:space="0" w:color="auto"/>
            <w:left w:val="none" w:sz="0" w:space="0" w:color="auto"/>
            <w:bottom w:val="none" w:sz="0" w:space="0" w:color="auto"/>
            <w:right w:val="none" w:sz="0" w:space="0" w:color="auto"/>
          </w:divBdr>
        </w:div>
      </w:divsChild>
    </w:div>
    <w:div w:id="1594586532">
      <w:bodyDiv w:val="1"/>
      <w:marLeft w:val="225"/>
      <w:marRight w:val="225"/>
      <w:marTop w:val="0"/>
      <w:marBottom w:val="0"/>
      <w:divBdr>
        <w:top w:val="none" w:sz="0" w:space="0" w:color="auto"/>
        <w:left w:val="none" w:sz="0" w:space="0" w:color="auto"/>
        <w:bottom w:val="none" w:sz="0" w:space="0" w:color="auto"/>
        <w:right w:val="none" w:sz="0" w:space="0" w:color="auto"/>
      </w:divBdr>
      <w:divsChild>
        <w:div w:id="629941410">
          <w:marLeft w:val="0"/>
          <w:marRight w:val="0"/>
          <w:marTop w:val="0"/>
          <w:marBottom w:val="0"/>
          <w:divBdr>
            <w:top w:val="none" w:sz="0" w:space="0" w:color="auto"/>
            <w:left w:val="none" w:sz="0" w:space="0" w:color="auto"/>
            <w:bottom w:val="none" w:sz="0" w:space="0" w:color="auto"/>
            <w:right w:val="none" w:sz="0" w:space="0" w:color="auto"/>
          </w:divBdr>
        </w:div>
      </w:divsChild>
    </w:div>
    <w:div w:id="1619679038">
      <w:bodyDiv w:val="1"/>
      <w:marLeft w:val="0"/>
      <w:marRight w:val="0"/>
      <w:marTop w:val="0"/>
      <w:marBottom w:val="0"/>
      <w:divBdr>
        <w:top w:val="none" w:sz="0" w:space="0" w:color="auto"/>
        <w:left w:val="none" w:sz="0" w:space="0" w:color="auto"/>
        <w:bottom w:val="none" w:sz="0" w:space="0" w:color="auto"/>
        <w:right w:val="none" w:sz="0" w:space="0" w:color="auto"/>
      </w:divBdr>
    </w:div>
    <w:div w:id="1820804493">
      <w:bodyDiv w:val="1"/>
      <w:marLeft w:val="0"/>
      <w:marRight w:val="0"/>
      <w:marTop w:val="0"/>
      <w:marBottom w:val="0"/>
      <w:divBdr>
        <w:top w:val="none" w:sz="0" w:space="0" w:color="auto"/>
        <w:left w:val="none" w:sz="0" w:space="0" w:color="auto"/>
        <w:bottom w:val="none" w:sz="0" w:space="0" w:color="auto"/>
        <w:right w:val="none" w:sz="0" w:space="0" w:color="auto"/>
      </w:divBdr>
    </w:div>
    <w:div w:id="2004897444">
      <w:bodyDiv w:val="1"/>
      <w:marLeft w:val="0"/>
      <w:marRight w:val="0"/>
      <w:marTop w:val="0"/>
      <w:marBottom w:val="0"/>
      <w:divBdr>
        <w:top w:val="none" w:sz="0" w:space="0" w:color="auto"/>
        <w:left w:val="none" w:sz="0" w:space="0" w:color="auto"/>
        <w:bottom w:val="none" w:sz="0" w:space="0" w:color="auto"/>
        <w:right w:val="none" w:sz="0" w:space="0" w:color="auto"/>
      </w:divBdr>
    </w:div>
    <w:div w:id="2012560890">
      <w:bodyDiv w:val="1"/>
      <w:marLeft w:val="225"/>
      <w:marRight w:val="225"/>
      <w:marTop w:val="0"/>
      <w:marBottom w:val="0"/>
      <w:divBdr>
        <w:top w:val="none" w:sz="0" w:space="0" w:color="auto"/>
        <w:left w:val="none" w:sz="0" w:space="0" w:color="auto"/>
        <w:bottom w:val="none" w:sz="0" w:space="0" w:color="auto"/>
        <w:right w:val="none" w:sz="0" w:space="0" w:color="auto"/>
      </w:divBdr>
      <w:divsChild>
        <w:div w:id="1934898039">
          <w:marLeft w:val="0"/>
          <w:marRight w:val="0"/>
          <w:marTop w:val="0"/>
          <w:marBottom w:val="0"/>
          <w:divBdr>
            <w:top w:val="none" w:sz="0" w:space="0" w:color="auto"/>
            <w:left w:val="none" w:sz="0" w:space="0" w:color="auto"/>
            <w:bottom w:val="none" w:sz="0" w:space="0" w:color="auto"/>
            <w:right w:val="none" w:sz="0" w:space="0" w:color="auto"/>
          </w:divBdr>
        </w:div>
      </w:divsChild>
    </w:div>
    <w:div w:id="2047220029">
      <w:bodyDiv w:val="1"/>
      <w:marLeft w:val="0"/>
      <w:marRight w:val="0"/>
      <w:marTop w:val="0"/>
      <w:marBottom w:val="0"/>
      <w:divBdr>
        <w:top w:val="none" w:sz="0" w:space="0" w:color="auto"/>
        <w:left w:val="none" w:sz="0" w:space="0" w:color="auto"/>
        <w:bottom w:val="none" w:sz="0" w:space="0" w:color="auto"/>
        <w:right w:val="none" w:sz="0" w:space="0" w:color="auto"/>
      </w:divBdr>
    </w:div>
    <w:div w:id="2056543012">
      <w:bodyDiv w:val="1"/>
      <w:marLeft w:val="225"/>
      <w:marRight w:val="225"/>
      <w:marTop w:val="0"/>
      <w:marBottom w:val="0"/>
      <w:divBdr>
        <w:top w:val="none" w:sz="0" w:space="0" w:color="auto"/>
        <w:left w:val="none" w:sz="0" w:space="0" w:color="auto"/>
        <w:bottom w:val="none" w:sz="0" w:space="0" w:color="auto"/>
        <w:right w:val="none" w:sz="0" w:space="0" w:color="auto"/>
      </w:divBdr>
      <w:divsChild>
        <w:div w:id="144456803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10" Target="header1.xml"
                 Type="http://schemas.openxmlformats.org/officeDocument/2006/relationships/header"/>
   <Relationship Id="rId11" Target="header2.xml"
                 Type="http://schemas.openxmlformats.org/officeDocument/2006/relationships/header"/>
   <Relationship Id="rId12" Target="footer1.xml"
                 Type="http://schemas.openxmlformats.org/officeDocument/2006/relationships/footer"/>
   <Relationship Id="rId13" Target="footer2.xml"
                 Type="http://schemas.openxmlformats.org/officeDocument/2006/relationships/footer"/>
   <Relationship Id="rId14" Target="header3.xml"
                 Type="http://schemas.openxmlformats.org/officeDocument/2006/relationships/header"/>
   <Relationship Id="rId15" Target="footer3.xml"
                 Type="http://schemas.openxmlformats.org/officeDocument/2006/relationships/footer"/>
   <Relationship Id="rId16" Target="fontTable.xml"
                 Type="http://schemas.openxmlformats.org/officeDocument/2006/relationships/fontTable"/>
   <Relationship Id="rId17" Target="theme/theme1.xml"
                 Type="http://schemas.openxmlformats.org/officeDocument/2006/relationships/theme"/>
   <Relationship Id="rId18" Target="../customXml/item2.xml"
                 Type="http://schemas.openxmlformats.org/officeDocument/2006/relationships/customXml"/>
   <Relationship Id="rId2" Target="styles.xml"
                 Type="http://schemas.openxmlformats.org/officeDocument/2006/relationships/styles"/>
   <Relationship Id="rId3" Target="stylesWithEffects.xml"
                 Type="http://schemas.microsoft.com/office/2007/relationships/stylesWithEffects"/>
   <Relationship Id="rId4" Target="settings.xml"
                 Type="http://schemas.openxmlformats.org/officeDocument/2006/relationships/settings"/>
   <Relationship Id="rId5" Target="webSettings.xml"
                 Type="http://schemas.openxmlformats.org/officeDocument/2006/relationships/webSettings"/>
   <Relationship Id="rId6" Target="footnotes.xml"
                 Type="http://schemas.openxmlformats.org/officeDocument/2006/relationships/footnotes"/>
   <Relationship Id="rId7" Target="endnotes.xml"
                 Type="http://schemas.openxmlformats.org/officeDocument/2006/relationships/endnotes"/>
   <Relationship Id="rId8" Target="media/image1.png"
                 Type="http://schemas.openxmlformats.org/officeDocument/2006/relationships/image"/>
   <Relationship Id="rId9" Target="mailto:jurate.caplikiene@mil.lt" TargetMode="External"
                 Type="http://schemas.openxmlformats.org/officeDocument/2006/relationships/hyperlink"/>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_rels/item2.xml.rels><?xml version="1.0" encoding="UTF-8" standalone="yes"?>
<Relationships xmlns="http://schemas.openxmlformats.org/package/2006/relationships">
   <Relationship Id="rId1" Target="itemProps2.xml"
                 Type="http://schemas.openxmlformats.org/officeDocument/2006/relationships/customXmlProps"/>
</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arts xmlns="http://lrs.lt/TAIS/DocParts">
  <Part Type="pagrindine" DocPartId="094de6e960da447f82541e33015a6b45" PartId="a72f54ca209e4bdd8aa0bda8c5099589">
    <Part Type="skirsnis" Title="DĖL LIETUVOS RESPUBLIKOS VYRIAUSYBĖS NUTARIMO PROJEKTO" DocPartId="86b19752d076426e81410f36d1901cb2" PartId="2a76351c26584357b9cc14722dd38511">
      <Part Type="punktas" Nr="1" Abbr="1 p." DocPartId="7f667503c57f4dc488c0ab02a8af06e3" PartId="e827cfd885d747098054f6de99325fa3"/>
      <Part Type="punktas" Nr="2" Abbr="2 p." DocPartId="47e0f666be864d31a902a244cfd4953e" PartId="a6569e88679943049b9cf8974ecf00eb"/>
    </Part>
  </Part>
</Parts>
</file>

<file path=customXml/itemProps1.xml><?xml version="1.0" encoding="utf-8"?>
<ds:datastoreItem xmlns:ds="http://schemas.openxmlformats.org/officeDocument/2006/customXml" ds:itemID="{1396D0B7-6490-45AB-B915-A08720FE2AA7}">
  <ds:schemaRefs>
    <ds:schemaRef ds:uri="http://schemas.openxmlformats.org/officeDocument/2006/bibliography"/>
  </ds:schemaRefs>
</ds:datastoreItem>
</file>

<file path=customXml/itemProps2.xml><?xml version="1.0" encoding="utf-8"?>
<ds:datastoreItem xmlns:ds="http://schemas.openxmlformats.org/officeDocument/2006/customXml" ds:itemID="{AD0B9658-299E-4948-87E6-DE0EB13DD09D}">
  <ds:schemaRefs>
    <ds:schemaRef ds:uri="http://lrs.lt/TAIS/DocPart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1073</Words>
  <Characters>7352</Characters>
  <Application>Microsoft Office Word</Application>
  <DocSecurity>4</DocSecurity>
  <Lines>156</Lines>
  <Paragraphs>43</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KAM</Company>
  <LinksUpToDate>false</LinksUpToDate>
  <CharactersWithSpaces>8382</CharactersWithSpaces>
  <SharedDoc>false</SharedDoc>
  <HyperlinkBase/>
  <HLinks>
    <vt:vector size="6" baseType="variant">
      <vt:variant>
        <vt:i4>7208986</vt:i4>
      </vt:variant>
      <vt:variant>
        <vt:i4>0</vt:i4>
      </vt:variant>
      <vt:variant>
        <vt:i4>0</vt:i4>
      </vt:variant>
      <vt:variant>
        <vt:i4>5</vt:i4>
      </vt:variant>
      <vt:variant>
        <vt:lpwstr>mailto:ausra.kazlauskiene@kam.lt</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2020-05-25T13:46:00Z</dcterms:created>
  <dc:creator>Rasa.Vegienė</dc:creator>
  <cp:lastModifiedBy>Asseco</cp:lastModifiedBy>
  <cp:lastPrinted>2020-01-23T07:38:00Z</cp:lastPrinted>
  <dcterms:modified xsi:type="dcterms:W3CDTF">2020-05-25T13:46:00Z</dcterms:modified>
  <cp:revision>2</cp:revision>
</cp:coreProperties>
</file>