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D64" w:rsidRPr="00386357" w:rsidRDefault="00386357" w:rsidP="00386357">
      <w:pPr>
        <w:jc w:val="center"/>
        <w:rPr>
          <w:b/>
          <w:bCs/>
        </w:rPr>
      </w:pPr>
      <w:r w:rsidRPr="00386357">
        <w:rPr>
          <w:b/>
          <w:bCs/>
        </w:rPr>
        <w:t xml:space="preserve">2007 M. GRUODŽIO 6 D. TARYBOS SPRENDIMO NR. 2007/801/EB DĖL ŠENGENO </w:t>
      </w:r>
      <w:r w:rsidRPr="00386357">
        <w:rPr>
          <w:b/>
          <w:bCs/>
          <w:i/>
          <w:iCs/>
        </w:rPr>
        <w:t xml:space="preserve">ACQUIS </w:t>
      </w:r>
      <w:r w:rsidRPr="00386357">
        <w:rPr>
          <w:b/>
          <w:bCs/>
        </w:rPr>
        <w:t>NUOSTATŲ VISAPUSIO TAIKYMO ČEKIJOS RESPUBLIKOJE, ESTIJOS RESPUBLIKOJE, LATVIJOS RESPUBLIKOJE, LIETUVOS RESPUBLIKOJE, VENGRIJOS RESPUBLIKOJE, MALTOS RESPUBLIKOJE, LENKIJOS RESPUBLIKOJE, SLOVĖNIJOS RESPUBLIKOJE IR SLOVAKIJOS RESPUBLIKOJE</w:t>
      </w:r>
      <w:r w:rsidRPr="00272BE1">
        <w:rPr>
          <w:b/>
        </w:rPr>
        <w:t xml:space="preserve"> </w:t>
      </w:r>
      <w:r w:rsidR="002B4D64" w:rsidRPr="00272BE1">
        <w:rPr>
          <w:b/>
        </w:rPr>
        <w:t>IR</w:t>
      </w:r>
      <w:r w:rsidR="002B4D64">
        <w:rPr>
          <w:b/>
        </w:rPr>
        <w:t xml:space="preserve"> </w:t>
      </w:r>
      <w:r w:rsidRPr="004D14EC">
        <w:rPr>
          <w:b/>
          <w:bCs/>
        </w:rPr>
        <w:t>LIETUVOS RESPUBLIKOS VYRIAUSYBĖS NUTARIMO „DĖL LIETUVOS RESPUBLIKOS VYRIAUSYBĖS 2004 M. KOVO 17 D. NUTARIMO NR. 285 „DĖL LIETUVOS RESPUBLIKOS ORO ERDVĖS ORGANIZAVIMO TAISYKLIŲ PATVIRTINIMO“ PAKEITIMO“</w:t>
      </w:r>
      <w:r>
        <w:rPr>
          <w:b/>
          <w:bCs/>
        </w:rPr>
        <w:t xml:space="preserve"> </w:t>
      </w:r>
      <w:r w:rsidR="002B4D64" w:rsidRPr="008B66AC">
        <w:rPr>
          <w:b/>
          <w:caps/>
        </w:rPr>
        <w:t>PROJEKTO</w:t>
      </w:r>
    </w:p>
    <w:p w:rsidR="002B4D64" w:rsidRDefault="002B4D64" w:rsidP="002B4D64">
      <w:pPr>
        <w:pStyle w:val="statymopavad"/>
      </w:pPr>
      <w:r w:rsidRPr="00E04D95">
        <w:t xml:space="preserve"> </w:t>
      </w:r>
      <w:r w:rsidRPr="001331C8">
        <w:rPr>
          <w:b/>
        </w:rPr>
        <w:t>ATITIKTIES LENTELĖ</w:t>
      </w:r>
    </w:p>
    <w:p w:rsidR="002B4D64" w:rsidRPr="009973D3" w:rsidRDefault="002B4D64" w:rsidP="002B4D64">
      <w:pPr>
        <w:pStyle w:val="HTMLiankstoformatuotas"/>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780"/>
        <w:gridCol w:w="1800"/>
      </w:tblGrid>
      <w:tr w:rsidR="002B4D64" w:rsidTr="005633DF">
        <w:tc>
          <w:tcPr>
            <w:tcW w:w="4248" w:type="dxa"/>
          </w:tcPr>
          <w:p w:rsidR="002B4D64" w:rsidRPr="003A19C1" w:rsidRDefault="003A19C1" w:rsidP="005633DF">
            <w:pPr>
              <w:rPr>
                <w:b/>
                <w:bCs/>
              </w:rPr>
            </w:pPr>
            <w:r w:rsidRPr="003A19C1">
              <w:rPr>
                <w:b/>
                <w:bCs/>
              </w:rPr>
              <w:t>2007 m. gruodžio 6 d. Tarybos sprendim</w:t>
            </w:r>
            <w:r>
              <w:rPr>
                <w:b/>
                <w:bCs/>
              </w:rPr>
              <w:t>as</w:t>
            </w:r>
            <w:r w:rsidRPr="003A19C1">
              <w:rPr>
                <w:b/>
                <w:bCs/>
              </w:rPr>
              <w:t xml:space="preserve"> Nr. 2007/801/EB dėl Šengeno </w:t>
            </w:r>
            <w:r w:rsidRPr="003A19C1">
              <w:rPr>
                <w:b/>
                <w:bCs/>
                <w:i/>
                <w:iCs/>
              </w:rPr>
              <w:t xml:space="preserve">acquis </w:t>
            </w:r>
            <w:r w:rsidRPr="003A19C1">
              <w:rPr>
                <w:b/>
                <w:bCs/>
              </w:rPr>
              <w:t xml:space="preserve">nuostatų visapusio taikymo Čekijos Respublikoje, Estijos Respublikoje, Latvijos Respublikoje, Lietuvos Respublikoje, Vengrijos Respublikoje, Maltos Respublikoje, Lenkijos Respublikoje, Slovėnijos Respublikoje ir Slovakijos Respublikoje </w:t>
            </w:r>
          </w:p>
        </w:tc>
        <w:tc>
          <w:tcPr>
            <w:tcW w:w="3780" w:type="dxa"/>
          </w:tcPr>
          <w:p w:rsidR="002B4D64" w:rsidRPr="00BB3B48" w:rsidRDefault="003A19C1" w:rsidP="00BB3B48">
            <w:pPr>
              <w:rPr>
                <w:b/>
                <w:bCs/>
              </w:rPr>
            </w:pPr>
            <w:r w:rsidRPr="003A19C1">
              <w:rPr>
                <w:b/>
                <w:bCs/>
              </w:rPr>
              <w:t>Lietuvos Respublikos Vyriausybės nutarimo „Dėl Lietuvos Respublikos Vyriausybės 2004 m. kovo 17 d. nutarimo Nr. 285 „Dėl Lietuvos Respublikos oro erdvės organizavimo taisyklių patvirtinimo“ pakeitimo“ projektas</w:t>
            </w:r>
          </w:p>
        </w:tc>
        <w:tc>
          <w:tcPr>
            <w:tcW w:w="1800" w:type="dxa"/>
          </w:tcPr>
          <w:p w:rsidR="002B4D64" w:rsidRPr="0076388A" w:rsidRDefault="002B4D64" w:rsidP="005633DF">
            <w:pPr>
              <w:pStyle w:val="HTMLiankstoformatuotas"/>
              <w:rPr>
                <w:rFonts w:ascii="Times New Roman" w:hAnsi="Times New Roman" w:cs="Times New Roman"/>
                <w:b/>
                <w:sz w:val="24"/>
                <w:szCs w:val="24"/>
              </w:rPr>
            </w:pPr>
            <w:r w:rsidRPr="0076388A">
              <w:rPr>
                <w:rFonts w:ascii="Times New Roman" w:hAnsi="Times New Roman" w:cs="Times New Roman"/>
                <w:b/>
                <w:sz w:val="24"/>
                <w:szCs w:val="24"/>
              </w:rPr>
              <w:t xml:space="preserve">ES teisės akto įgyvendinimo lygis </w:t>
            </w:r>
          </w:p>
        </w:tc>
      </w:tr>
      <w:tr w:rsidR="002B4D64" w:rsidTr="005633DF">
        <w:tc>
          <w:tcPr>
            <w:tcW w:w="4248" w:type="dxa"/>
          </w:tcPr>
          <w:p w:rsidR="003A19C1" w:rsidRPr="00742EC6" w:rsidRDefault="003A19C1" w:rsidP="003A19C1">
            <w:pPr>
              <w:autoSpaceDE w:val="0"/>
              <w:autoSpaceDN w:val="0"/>
              <w:adjustRightInd w:val="0"/>
              <w:rPr>
                <w:i/>
                <w:iCs/>
              </w:rPr>
            </w:pPr>
            <w:r w:rsidRPr="00742EC6">
              <w:rPr>
                <w:i/>
                <w:iCs/>
              </w:rPr>
              <w:t>1</w:t>
            </w:r>
            <w:r w:rsidR="002B4D64" w:rsidRPr="00742EC6">
              <w:rPr>
                <w:i/>
                <w:iCs/>
              </w:rPr>
              <w:t xml:space="preserve"> straipsnis</w:t>
            </w:r>
          </w:p>
          <w:p w:rsidR="003A19C1" w:rsidRDefault="003A19C1" w:rsidP="003A19C1">
            <w:pPr>
              <w:autoSpaceDE w:val="0"/>
              <w:autoSpaceDN w:val="0"/>
              <w:adjustRightInd w:val="0"/>
            </w:pPr>
            <w:r w:rsidRPr="003A19C1">
              <w:t xml:space="preserve">1.   1 priede nurodytos Šengeno </w:t>
            </w:r>
            <w:r w:rsidRPr="003A19C1">
              <w:rPr>
                <w:rStyle w:val="italic"/>
              </w:rPr>
              <w:t>acquis</w:t>
            </w:r>
            <w:r w:rsidRPr="003A19C1">
              <w:t xml:space="preserve"> nuostatos nuo 2007 m. gruodžio 21 d. taikomos atitinkamoms valstybėms narėms jų tarpusavio santykiuose ir santykiuose su Belgijos Karalyste, Danijos Karalyste, Vokietijos Federacine Respublika, Graikijos Respublika, Ispanijos Karalyste, Prancūzijos Respublika, Italijos Respublika, Liuksemburgo Didžiąja Hercogyste, Nyderlandų Karalyste, Austrijos Respublika, Portugalijos Respublika, Suomijos Respublika ir Švedijos Karalyste bei Islandijos Respublika ir Norvegijos Karalyste.</w:t>
            </w:r>
          </w:p>
          <w:p w:rsidR="003A19C1" w:rsidRDefault="003A19C1" w:rsidP="003A19C1">
            <w:pPr>
              <w:autoSpaceDE w:val="0"/>
              <w:autoSpaceDN w:val="0"/>
              <w:adjustRightInd w:val="0"/>
            </w:pPr>
            <w:r w:rsidRPr="003A19C1">
              <w:t>Tiek, kiek šios nuostatos reglamentuoja asmenų kontrolės prie vidaus sienų panaikinimą, jos taikomos nuo 2008 m. kovo 30 d. oro erdvės sienoms.</w:t>
            </w:r>
          </w:p>
          <w:p w:rsidR="003A19C1" w:rsidRDefault="003A19C1" w:rsidP="003A19C1">
            <w:pPr>
              <w:autoSpaceDE w:val="0"/>
              <w:autoSpaceDN w:val="0"/>
              <w:adjustRightInd w:val="0"/>
            </w:pPr>
            <w:r w:rsidRPr="003A19C1">
              <w:t>Visus Šengeno informacinės sistemos naudojimo apribojimus atitinkamos valstybės narės panaikina 2007 m. gruodžio 21 d.</w:t>
            </w:r>
          </w:p>
          <w:p w:rsidR="003A19C1" w:rsidRDefault="003A19C1" w:rsidP="003A19C1">
            <w:pPr>
              <w:autoSpaceDE w:val="0"/>
              <w:autoSpaceDN w:val="0"/>
              <w:adjustRightInd w:val="0"/>
            </w:pPr>
          </w:p>
          <w:p w:rsidR="003A19C1" w:rsidRPr="003A19C1" w:rsidRDefault="003A19C1" w:rsidP="003A19C1">
            <w:pPr>
              <w:autoSpaceDE w:val="0"/>
              <w:autoSpaceDN w:val="0"/>
              <w:adjustRightInd w:val="0"/>
            </w:pPr>
            <w:r w:rsidRPr="003A19C1">
              <w:t xml:space="preserve">2.   2 priede nurodytos Šengeno </w:t>
            </w:r>
            <w:r w:rsidRPr="003A19C1">
              <w:rPr>
                <w:rStyle w:val="italic"/>
              </w:rPr>
              <w:t>acquis</w:t>
            </w:r>
            <w:r w:rsidRPr="003A19C1">
              <w:t xml:space="preserve"> nuostatos nuo 2007 m. gruodžio 21 d. taikomos atitinkamoms valstybėms narėms jų santykiuose su Jungtine Didžiosios Britanijos ir Šiaurės Airijos Karalyste.</w:t>
            </w:r>
          </w:p>
          <w:p w:rsidR="002B4D64" w:rsidRPr="00E731E9" w:rsidRDefault="002B4D64" w:rsidP="005633DF">
            <w:pPr>
              <w:autoSpaceDE w:val="0"/>
              <w:autoSpaceDN w:val="0"/>
              <w:adjustRightInd w:val="0"/>
            </w:pPr>
          </w:p>
        </w:tc>
        <w:tc>
          <w:tcPr>
            <w:tcW w:w="3780" w:type="dxa"/>
          </w:tcPr>
          <w:p w:rsidR="00742EC6" w:rsidRDefault="00742EC6" w:rsidP="00742EC6">
            <w:pPr>
              <w:jc w:val="both"/>
            </w:pPr>
            <w:r w:rsidRPr="003A19C1">
              <w:rPr>
                <w:b/>
                <w:bCs/>
              </w:rPr>
              <w:t>Lietuvos Respublikos oro erdvės organizavimo taisyklių</w:t>
            </w:r>
            <w:r>
              <w:rPr>
                <w:b/>
                <w:bCs/>
              </w:rPr>
              <w:t xml:space="preserve"> </w:t>
            </w:r>
            <w:r w:rsidR="00CC21E3">
              <w:rPr>
                <w:b/>
                <w:bCs/>
              </w:rPr>
              <w:t xml:space="preserve">projekto </w:t>
            </w:r>
            <w:bookmarkStart w:id="0" w:name="_GoBack"/>
            <w:bookmarkEnd w:id="0"/>
            <w:r>
              <w:rPr>
                <w:b/>
                <w:bCs/>
              </w:rPr>
              <w:t>4 punktas:</w:t>
            </w:r>
          </w:p>
          <w:p w:rsidR="00742EC6" w:rsidRDefault="00742EC6" w:rsidP="00742EC6">
            <w:pPr>
              <w:jc w:val="both"/>
            </w:pPr>
          </w:p>
          <w:p w:rsidR="00742EC6" w:rsidRDefault="00742EC6" w:rsidP="00742EC6">
            <w:pPr>
              <w:rPr>
                <w:color w:val="000000"/>
              </w:rPr>
            </w:pPr>
            <w:r>
              <w:t xml:space="preserve">4. Tarptautiniai skrydžiai gali būti vykdomi į tuos Lietuvos Respublikos oro uostus ar aerodromus (ir iš jų), kuriuose atliekamos pasienio, muitinės, medicininio karantino, higienos kontrolės ir kitos procedūros. Ši nuostata netaikoma skrydžiams, vykdomiems tarp Lietuvos Respublikos ir kitų Šengeno erdvės valstybių, išskyrus atvejus, kai Lietuvos Respublikoje laikinai atnaujinama vidaus sienų kontrolė. </w:t>
            </w:r>
          </w:p>
          <w:p w:rsidR="002B4D64" w:rsidRPr="004D7C63" w:rsidRDefault="002B4D64" w:rsidP="005633DF">
            <w:pPr>
              <w:tabs>
                <w:tab w:val="left" w:pos="292"/>
              </w:tabs>
              <w:ind w:firstLine="9"/>
            </w:pPr>
          </w:p>
        </w:tc>
        <w:tc>
          <w:tcPr>
            <w:tcW w:w="1800" w:type="dxa"/>
          </w:tcPr>
          <w:p w:rsidR="002B4D64" w:rsidRPr="00A96D93" w:rsidRDefault="002B4D64" w:rsidP="005633DF">
            <w:pPr>
              <w:pStyle w:val="HTMLiankstoformatuotas"/>
              <w:rPr>
                <w:rFonts w:ascii="Times New Roman" w:hAnsi="Times New Roman" w:cs="Times New Roman"/>
                <w:sz w:val="24"/>
                <w:szCs w:val="24"/>
              </w:rPr>
            </w:pPr>
            <w:r>
              <w:rPr>
                <w:rFonts w:ascii="Times New Roman" w:hAnsi="Times New Roman" w:cs="Times New Roman"/>
                <w:sz w:val="24"/>
                <w:szCs w:val="24"/>
              </w:rPr>
              <w:t xml:space="preserve">Visiškas. </w:t>
            </w:r>
          </w:p>
        </w:tc>
      </w:tr>
    </w:tbl>
    <w:p w:rsidR="002B4D64" w:rsidRDefault="002B4D64"/>
    <w:sectPr w:rsidR="002B4D64" w:rsidSect="001E7D13">
      <w:headerReference w:type="default" r:id="rId6"/>
      <w:pgSz w:w="11906" w:h="16838"/>
      <w:pgMar w:top="56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626" w:rsidRDefault="00DA1626">
      <w:r>
        <w:separator/>
      </w:r>
    </w:p>
  </w:endnote>
  <w:endnote w:type="continuationSeparator" w:id="0">
    <w:p w:rsidR="00DA1626" w:rsidRDefault="00DA1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626" w:rsidRDefault="00DA1626">
      <w:r>
        <w:separator/>
      </w:r>
    </w:p>
  </w:footnote>
  <w:footnote w:type="continuationSeparator" w:id="0">
    <w:p w:rsidR="00DA1626" w:rsidRDefault="00DA1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E05" w:rsidRDefault="001E7D13">
    <w:pPr>
      <w:pStyle w:val="Antrats"/>
      <w:jc w:val="center"/>
    </w:pPr>
    <w:r>
      <w:fldChar w:fldCharType="begin"/>
    </w:r>
    <w:r>
      <w:instrText>PAGE   \* MERGEFORMAT</w:instrText>
    </w:r>
    <w:r>
      <w:fldChar w:fldCharType="separate"/>
    </w:r>
    <w:r>
      <w:rPr>
        <w:noProof/>
      </w:rPr>
      <w:t>2</w:t>
    </w:r>
    <w:r>
      <w:fldChar w:fldCharType="end"/>
    </w:r>
  </w:p>
  <w:p w:rsidR="00044E05" w:rsidRDefault="00DA162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64"/>
    <w:rsid w:val="000A7B2A"/>
    <w:rsid w:val="001E7D13"/>
    <w:rsid w:val="002B4D64"/>
    <w:rsid w:val="00386357"/>
    <w:rsid w:val="003A19C1"/>
    <w:rsid w:val="00742EC6"/>
    <w:rsid w:val="00BB3B48"/>
    <w:rsid w:val="00CC21E3"/>
    <w:rsid w:val="00DA16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C65A"/>
  <w15:chartTrackingRefBased/>
  <w15:docId w15:val="{CA5A1A39-1913-409A-B84F-DF7DBCFD9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2B4D6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2B4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2B4D64"/>
    <w:rPr>
      <w:rFonts w:ascii="Courier New" w:eastAsia="Times New Roman" w:hAnsi="Courier New" w:cs="Courier New"/>
      <w:sz w:val="20"/>
      <w:szCs w:val="20"/>
      <w:lang w:eastAsia="lt-LT"/>
    </w:rPr>
  </w:style>
  <w:style w:type="paragraph" w:customStyle="1" w:styleId="statymopavad">
    <w:name w:val="Ástatymo pavad."/>
    <w:basedOn w:val="prastasis"/>
    <w:rsid w:val="002B4D64"/>
    <w:pPr>
      <w:jc w:val="center"/>
    </w:pPr>
    <w:rPr>
      <w:caps/>
      <w:lang w:eastAsia="en-US"/>
    </w:rPr>
  </w:style>
  <w:style w:type="paragraph" w:styleId="Antrats">
    <w:name w:val="header"/>
    <w:basedOn w:val="prastasis"/>
    <w:link w:val="AntratsDiagrama"/>
    <w:uiPriority w:val="99"/>
    <w:unhideWhenUsed/>
    <w:rsid w:val="002B4D64"/>
    <w:pPr>
      <w:tabs>
        <w:tab w:val="center" w:pos="4819"/>
        <w:tab w:val="right" w:pos="9638"/>
      </w:tabs>
    </w:pPr>
  </w:style>
  <w:style w:type="character" w:customStyle="1" w:styleId="AntratsDiagrama">
    <w:name w:val="Antraštės Diagrama"/>
    <w:basedOn w:val="Numatytasispastraiposriftas"/>
    <w:link w:val="Antrats"/>
    <w:uiPriority w:val="99"/>
    <w:rsid w:val="002B4D64"/>
    <w:rPr>
      <w:rFonts w:ascii="Times New Roman" w:eastAsia="Times New Roman" w:hAnsi="Times New Roman" w:cs="Times New Roman"/>
      <w:sz w:val="24"/>
      <w:szCs w:val="24"/>
      <w:lang w:eastAsia="lt-LT"/>
    </w:rPr>
  </w:style>
  <w:style w:type="character" w:styleId="Grietas">
    <w:name w:val="Strong"/>
    <w:uiPriority w:val="22"/>
    <w:qFormat/>
    <w:rsid w:val="002B4D64"/>
    <w:rPr>
      <w:b/>
      <w:bCs/>
    </w:rPr>
  </w:style>
  <w:style w:type="character" w:customStyle="1" w:styleId="italic">
    <w:name w:val="italic"/>
    <w:basedOn w:val="Numatytasispastraiposriftas"/>
    <w:rsid w:val="003A19C1"/>
    <w:rPr>
      <w:i/>
      <w:iCs/>
    </w:rPr>
  </w:style>
  <w:style w:type="paragraph" w:customStyle="1" w:styleId="normal1">
    <w:name w:val="normal1"/>
    <w:basedOn w:val="prastasis"/>
    <w:rsid w:val="003A19C1"/>
    <w:pPr>
      <w:spacing w:before="120" w:line="312" w:lineRule="atLeast"/>
      <w:jc w:val="both"/>
    </w:pPr>
  </w:style>
  <w:style w:type="paragraph" w:customStyle="1" w:styleId="ti-art1">
    <w:name w:val="ti-art1"/>
    <w:basedOn w:val="prastasis"/>
    <w:rsid w:val="003A19C1"/>
    <w:pPr>
      <w:spacing w:before="360" w:after="120" w:line="312" w:lineRule="atLeast"/>
      <w:jc w:val="center"/>
    </w:pPr>
    <w:rPr>
      <w:i/>
      <w:iCs/>
    </w:rPr>
  </w:style>
  <w:style w:type="paragraph" w:styleId="Sraopastraipa">
    <w:name w:val="List Paragraph"/>
    <w:basedOn w:val="prastasis"/>
    <w:uiPriority w:val="34"/>
    <w:qFormat/>
    <w:rsid w:val="003A19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9169616">
      <w:bodyDiv w:val="1"/>
      <w:marLeft w:val="0"/>
      <w:marRight w:val="0"/>
      <w:marTop w:val="0"/>
      <w:marBottom w:val="0"/>
      <w:divBdr>
        <w:top w:val="none" w:sz="0" w:space="0" w:color="auto"/>
        <w:left w:val="none" w:sz="0" w:space="0" w:color="auto"/>
        <w:bottom w:val="none" w:sz="0" w:space="0" w:color="auto"/>
        <w:right w:val="none" w:sz="0" w:space="0" w:color="auto"/>
      </w:divBdr>
      <w:divsChild>
        <w:div w:id="803619881">
          <w:marLeft w:val="0"/>
          <w:marRight w:val="0"/>
          <w:marTop w:val="0"/>
          <w:marBottom w:val="0"/>
          <w:divBdr>
            <w:top w:val="none" w:sz="0" w:space="0" w:color="auto"/>
            <w:left w:val="none" w:sz="0" w:space="0" w:color="auto"/>
            <w:bottom w:val="none" w:sz="0" w:space="0" w:color="auto"/>
            <w:right w:val="none" w:sz="0" w:space="0" w:color="auto"/>
          </w:divBdr>
          <w:divsChild>
            <w:div w:id="1084837481">
              <w:marLeft w:val="0"/>
              <w:marRight w:val="0"/>
              <w:marTop w:val="0"/>
              <w:marBottom w:val="0"/>
              <w:divBdr>
                <w:top w:val="none" w:sz="0" w:space="0" w:color="auto"/>
                <w:left w:val="none" w:sz="0" w:space="0" w:color="auto"/>
                <w:bottom w:val="none" w:sz="0" w:space="0" w:color="auto"/>
                <w:right w:val="none" w:sz="0" w:space="0" w:color="auto"/>
              </w:divBdr>
              <w:divsChild>
                <w:div w:id="819617740">
                  <w:marLeft w:val="0"/>
                  <w:marRight w:val="0"/>
                  <w:marTop w:val="0"/>
                  <w:marBottom w:val="0"/>
                  <w:divBdr>
                    <w:top w:val="none" w:sz="0" w:space="0" w:color="auto"/>
                    <w:left w:val="none" w:sz="0" w:space="0" w:color="auto"/>
                    <w:bottom w:val="none" w:sz="0" w:space="0" w:color="auto"/>
                    <w:right w:val="none" w:sz="0" w:space="0" w:color="auto"/>
                  </w:divBdr>
                  <w:divsChild>
                    <w:div w:id="1344940750">
                      <w:marLeft w:val="-150"/>
                      <w:marRight w:val="-150"/>
                      <w:marTop w:val="0"/>
                      <w:marBottom w:val="0"/>
                      <w:divBdr>
                        <w:top w:val="none" w:sz="0" w:space="0" w:color="auto"/>
                        <w:left w:val="none" w:sz="0" w:space="0" w:color="auto"/>
                        <w:bottom w:val="none" w:sz="0" w:space="0" w:color="auto"/>
                        <w:right w:val="none" w:sz="0" w:space="0" w:color="auto"/>
                      </w:divBdr>
                      <w:divsChild>
                        <w:div w:id="1339232156">
                          <w:marLeft w:val="0"/>
                          <w:marRight w:val="0"/>
                          <w:marTop w:val="0"/>
                          <w:marBottom w:val="0"/>
                          <w:divBdr>
                            <w:top w:val="none" w:sz="0" w:space="0" w:color="auto"/>
                            <w:left w:val="none" w:sz="0" w:space="0" w:color="auto"/>
                            <w:bottom w:val="none" w:sz="0" w:space="0" w:color="auto"/>
                            <w:right w:val="none" w:sz="0" w:space="0" w:color="auto"/>
                          </w:divBdr>
                          <w:divsChild>
                            <w:div w:id="1900483037">
                              <w:marLeft w:val="0"/>
                              <w:marRight w:val="0"/>
                              <w:marTop w:val="0"/>
                              <w:marBottom w:val="0"/>
                              <w:divBdr>
                                <w:top w:val="none" w:sz="0" w:space="0" w:color="auto"/>
                                <w:left w:val="none" w:sz="0" w:space="0" w:color="auto"/>
                                <w:bottom w:val="none" w:sz="0" w:space="0" w:color="auto"/>
                                <w:right w:val="none" w:sz="0" w:space="0" w:color="auto"/>
                              </w:divBdr>
                              <w:divsChild>
                                <w:div w:id="475269063">
                                  <w:marLeft w:val="0"/>
                                  <w:marRight w:val="0"/>
                                  <w:marTop w:val="0"/>
                                  <w:marBottom w:val="300"/>
                                  <w:divBdr>
                                    <w:top w:val="none" w:sz="0" w:space="0" w:color="auto"/>
                                    <w:left w:val="none" w:sz="0" w:space="0" w:color="auto"/>
                                    <w:bottom w:val="none" w:sz="0" w:space="0" w:color="auto"/>
                                    <w:right w:val="none" w:sz="0" w:space="0" w:color="auto"/>
                                  </w:divBdr>
                                  <w:divsChild>
                                    <w:div w:id="145246107">
                                      <w:marLeft w:val="0"/>
                                      <w:marRight w:val="0"/>
                                      <w:marTop w:val="0"/>
                                      <w:marBottom w:val="0"/>
                                      <w:divBdr>
                                        <w:top w:val="none" w:sz="0" w:space="0" w:color="auto"/>
                                        <w:left w:val="none" w:sz="0" w:space="0" w:color="auto"/>
                                        <w:bottom w:val="none" w:sz="0" w:space="0" w:color="auto"/>
                                        <w:right w:val="none" w:sz="0" w:space="0" w:color="auto"/>
                                      </w:divBdr>
                                      <w:divsChild>
                                        <w:div w:id="937562036">
                                          <w:marLeft w:val="0"/>
                                          <w:marRight w:val="0"/>
                                          <w:marTop w:val="0"/>
                                          <w:marBottom w:val="0"/>
                                          <w:divBdr>
                                            <w:top w:val="none" w:sz="0" w:space="0" w:color="auto"/>
                                            <w:left w:val="none" w:sz="0" w:space="0" w:color="auto"/>
                                            <w:bottom w:val="none" w:sz="0" w:space="0" w:color="auto"/>
                                            <w:right w:val="none" w:sz="0" w:space="0" w:color="auto"/>
                                          </w:divBdr>
                                          <w:divsChild>
                                            <w:div w:id="295140956">
                                              <w:marLeft w:val="0"/>
                                              <w:marRight w:val="0"/>
                                              <w:marTop w:val="0"/>
                                              <w:marBottom w:val="0"/>
                                              <w:divBdr>
                                                <w:top w:val="none" w:sz="0" w:space="0" w:color="auto"/>
                                                <w:left w:val="none" w:sz="0" w:space="0" w:color="auto"/>
                                                <w:bottom w:val="none" w:sz="0" w:space="0" w:color="auto"/>
                                                <w:right w:val="none" w:sz="0" w:space="0" w:color="auto"/>
                                              </w:divBdr>
                                              <w:divsChild>
                                                <w:div w:id="915364637">
                                                  <w:marLeft w:val="0"/>
                                                  <w:marRight w:val="0"/>
                                                  <w:marTop w:val="0"/>
                                                  <w:marBottom w:val="0"/>
                                                  <w:divBdr>
                                                    <w:top w:val="none" w:sz="0" w:space="0" w:color="auto"/>
                                                    <w:left w:val="none" w:sz="0" w:space="0" w:color="auto"/>
                                                    <w:bottom w:val="none" w:sz="0" w:space="0" w:color="auto"/>
                                                    <w:right w:val="none" w:sz="0" w:space="0" w:color="auto"/>
                                                  </w:divBdr>
                                                  <w:divsChild>
                                                    <w:div w:id="415326109">
                                                      <w:marLeft w:val="0"/>
                                                      <w:marRight w:val="0"/>
                                                      <w:marTop w:val="0"/>
                                                      <w:marBottom w:val="0"/>
                                                      <w:divBdr>
                                                        <w:top w:val="none" w:sz="0" w:space="0" w:color="auto"/>
                                                        <w:left w:val="none" w:sz="0" w:space="0" w:color="auto"/>
                                                        <w:bottom w:val="none" w:sz="0" w:space="0" w:color="auto"/>
                                                        <w:right w:val="none" w:sz="0" w:space="0" w:color="auto"/>
                                                      </w:divBdr>
                                                      <w:divsChild>
                                                        <w:div w:id="1391348061">
                                                          <w:marLeft w:val="0"/>
                                                          <w:marRight w:val="0"/>
                                                          <w:marTop w:val="0"/>
                                                          <w:marBottom w:val="0"/>
                                                          <w:divBdr>
                                                            <w:top w:val="none" w:sz="0" w:space="0" w:color="auto"/>
                                                            <w:left w:val="none" w:sz="0" w:space="0" w:color="auto"/>
                                                            <w:bottom w:val="none" w:sz="0" w:space="0" w:color="auto"/>
                                                            <w:right w:val="none" w:sz="0" w:space="0" w:color="auto"/>
                                                          </w:divBdr>
                                                          <w:divsChild>
                                                            <w:div w:id="20894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1650</Words>
  <Characters>942</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2019-10-22T06:08:00Z</dcterms:created>
  <dc:creator>Sigita Jurkšaitytė</dc:creator>
  <cp:lastModifiedBy>Sigita Jurkšaitytė</cp:lastModifiedBy>
  <dcterms:modified xsi:type="dcterms:W3CDTF">2019-10-22T06:26:00Z</dcterms:modified>
  <cp:revision>7</cp:revision>
</cp:coreProperties>
</file>