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A9381C" w:rsidRDefault="00A9381C" w:rsidP="00384348">
      <w:pPr>
        <w:jc w:val="center"/>
        <w:rPr>
          <w:b/>
          <w:bCs/>
        </w:rPr>
      </w:pPr>
      <w:r w:rsidRPr="00A9381C">
        <w:rPr>
          <w:b/>
          <w:bCs/>
          <w:color w:val="000000"/>
        </w:rPr>
        <w:t xml:space="preserve">2009 M. KOVO 11 D. EUROPOS PARLAMENTO IR TARYBOS DIREKTYVOS 2009/12/EB DĖL ORO UOSTŲ MOKESČIŲ </w:t>
      </w:r>
      <w:r w:rsidRPr="00A9381C">
        <w:rPr>
          <w:b/>
          <w:bCs/>
        </w:rPr>
        <w:t xml:space="preserve">IR LIETUVOS RESPUBLIKOS VYRIAUSYBĖS NUTARIMO „DĖL LIETUVOS RESPUBLIKOS VYRIAUSYBĖS 2010 M. GRUODŽIO 15 D. NUTARIMO NR. 1764 „DĖL ĮGALIOJIMŲ SUTEIKIMO ĮGYVENDINANT LIETUVOS RESPUBLIKOS AVIACIJOS ĮSTATYMĄ“ PAKEITIMO“ PROJEKTO 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B413FD" w:rsidRPr="00A9381C" w:rsidRDefault="00A9381C" w:rsidP="00A9381C">
            <w:pPr>
              <w:rPr>
                <w:b/>
                <w:bCs/>
              </w:rPr>
            </w:pPr>
            <w:r w:rsidRPr="00A9381C">
              <w:rPr>
                <w:b/>
                <w:bCs/>
                <w:color w:val="000000"/>
              </w:rPr>
              <w:t xml:space="preserve">2009 m. kovo 11 d. Europos Parlamento ir Tarybos direktyva 2009/12/EB dėl oro uostų mokesčių </w:t>
            </w:r>
          </w:p>
        </w:tc>
        <w:tc>
          <w:tcPr>
            <w:tcW w:w="3780" w:type="dxa"/>
          </w:tcPr>
          <w:p w:rsidR="001331C8" w:rsidRPr="00A9381C" w:rsidRDefault="00A9381C" w:rsidP="00AA0C68">
            <w:pPr>
              <w:pStyle w:val="HTMLiankstoformatuota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95932"/>
            <w:r w:rsidRPr="00A93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Lietuvos Respublikos Vyriausybės nutarimo </w:t>
            </w:r>
            <w:bookmarkEnd w:id="0"/>
            <w:r w:rsidRPr="00A93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„Dėl Lietuvos Respublikos Vyriausybės 2010 m. gruodžio 15 d. nutarimo Nr. 1764 „Dėl įgaliojimų suteikimo įgyvendinant Lietuvos Respublikos aviacijos įstatymą“ pakeitimo“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06ED7" w:rsidRPr="00E06ED7" w:rsidRDefault="00E06ED7" w:rsidP="00E06ED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06ED7">
              <w:rPr>
                <w:i/>
                <w:iCs/>
              </w:rPr>
              <w:t>11 straipsnis</w:t>
            </w:r>
          </w:p>
          <w:p w:rsidR="00E06ED7" w:rsidRPr="00E06ED7" w:rsidRDefault="00E06ED7" w:rsidP="00E06ED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06ED7">
              <w:rPr>
                <w:b/>
                <w:bCs/>
              </w:rPr>
              <w:t>Nepriklausoma priežiūros institucija</w:t>
            </w:r>
          </w:p>
          <w:p w:rsidR="00E06ED7" w:rsidRDefault="00E06ED7" w:rsidP="00E06ED7">
            <w:pPr>
              <w:autoSpaceDE w:val="0"/>
              <w:autoSpaceDN w:val="0"/>
              <w:adjustRightInd w:val="0"/>
            </w:pPr>
            <w:r w:rsidRPr="00E06ED7">
              <w:t>1. Valstybės narės paskiria arba įsteigia nepriklausomą instituciją</w:t>
            </w:r>
            <w:r>
              <w:t xml:space="preserve"> </w:t>
            </w:r>
            <w:r w:rsidRPr="00E06ED7">
              <w:t>kaip savo nacionalinę nepriklausomą priežiūros instituciją</w:t>
            </w:r>
            <w:r>
              <w:t xml:space="preserve"> </w:t>
            </w:r>
            <w:r w:rsidRPr="00E06ED7">
              <w:t>siekdamos užtikrinti tinkamą šiai direktyvai įgyvendinti</w:t>
            </w:r>
            <w:r>
              <w:t xml:space="preserve"> </w:t>
            </w:r>
            <w:r w:rsidRPr="00E06ED7">
              <w:t xml:space="preserve">vykdomų priemonių taikymą ir atlikti bent jau </w:t>
            </w:r>
          </w:p>
          <w:p w:rsidR="0006217A" w:rsidRDefault="00E06ED7" w:rsidP="00AA1A7D">
            <w:pPr>
              <w:autoSpaceDE w:val="0"/>
              <w:autoSpaceDN w:val="0"/>
              <w:adjustRightInd w:val="0"/>
            </w:pPr>
            <w:r w:rsidRPr="00E06ED7">
              <w:t>6 straipsnyje</w:t>
            </w:r>
            <w:r>
              <w:t xml:space="preserve"> </w:t>
            </w:r>
            <w:r w:rsidRPr="00E06ED7">
              <w:t xml:space="preserve">nustatytas užduotis. </w:t>
            </w:r>
            <w:r w:rsidR="00CC6E33" w:rsidRPr="00E06ED7">
              <w:t>&lt;...&gt;</w:t>
            </w:r>
          </w:p>
          <w:p w:rsidR="0006217A" w:rsidRDefault="0006217A" w:rsidP="0006217A">
            <w:pPr>
              <w:autoSpaceDE w:val="0"/>
              <w:autoSpaceDN w:val="0"/>
              <w:adjustRightInd w:val="0"/>
            </w:pPr>
            <w:r w:rsidRPr="00CC1724">
              <w:t>4. Valstybės narės praneša Komisijai nepriklausomos priežiūros</w:t>
            </w:r>
            <w:r>
              <w:t xml:space="preserve"> </w:t>
            </w:r>
            <w:r w:rsidRPr="00CC1724">
              <w:t>institucijos pavadinimą ir adresą, jai pavestas užduotis</w:t>
            </w:r>
            <w:r>
              <w:t xml:space="preserve"> </w:t>
            </w:r>
            <w:r w:rsidRPr="00CC1724">
              <w:t>ir atsakomybę, bei priemones, kurių imtasi siekiant užtikrinti,</w:t>
            </w:r>
            <w:r>
              <w:t xml:space="preserve"> </w:t>
            </w:r>
            <w:r w:rsidRPr="00CC1724">
              <w:t>kad būtų laikomasi 3 dalies.</w:t>
            </w:r>
          </w:p>
          <w:p w:rsidR="00A267B6" w:rsidRPr="00FE2AD2" w:rsidRDefault="00A267B6" w:rsidP="0006217A">
            <w:pPr>
              <w:autoSpaceDE w:val="0"/>
              <w:autoSpaceDN w:val="0"/>
              <w:adjustRightInd w:val="0"/>
            </w:pPr>
            <w:r w:rsidRPr="00E06ED7">
              <w:t>&lt;...&gt;</w:t>
            </w:r>
            <w:r>
              <w:t>.</w:t>
            </w:r>
            <w:bookmarkStart w:id="1" w:name="_GoBack"/>
            <w:bookmarkEnd w:id="1"/>
          </w:p>
        </w:tc>
        <w:tc>
          <w:tcPr>
            <w:tcW w:w="3780" w:type="dxa"/>
          </w:tcPr>
          <w:p w:rsidR="008C1B5A" w:rsidRPr="008B0EEB" w:rsidRDefault="008C1B5A" w:rsidP="008C1B5A">
            <w:pPr>
              <w:rPr>
                <w:color w:val="000000"/>
              </w:rPr>
            </w:pPr>
            <w:r w:rsidRPr="009E5E19">
              <w:rPr>
                <w:color w:val="000000"/>
              </w:rPr>
              <w:t xml:space="preserve">Įgyvendindama 2009 m. kovo 11 d. Europos Parlamento ir Tarybos direktyvos 2009/12/EB dėl oro uostų mokesčių (OL 2009 L 70, p. 11) </w:t>
            </w:r>
            <w:r>
              <w:rPr>
                <w:color w:val="000000"/>
              </w:rPr>
              <w:t xml:space="preserve">    </w:t>
            </w:r>
            <w:r w:rsidRPr="009E5E19">
              <w:rPr>
                <w:color w:val="000000"/>
              </w:rPr>
              <w:t>11 straipsnio 1 dalį, Lietuvos</w:t>
            </w:r>
            <w:r w:rsidRPr="008B0EEB">
              <w:rPr>
                <w:color w:val="000000"/>
              </w:rPr>
              <w:t xml:space="preserve"> Respublikos Vyriausybė</w:t>
            </w:r>
            <w:r>
              <w:rPr>
                <w:color w:val="000000"/>
              </w:rPr>
              <w:t xml:space="preserve"> </w:t>
            </w:r>
            <w:r w:rsidRPr="002D3169">
              <w:t>n u t a r i a:</w:t>
            </w:r>
          </w:p>
          <w:p w:rsidR="00AA1A7D" w:rsidRDefault="008C1B5A" w:rsidP="008C1B5A">
            <w:pPr>
              <w:rPr>
                <w:color w:val="000000"/>
              </w:rPr>
            </w:pPr>
            <w:r w:rsidRPr="008B0EEB">
              <w:rPr>
                <w:color w:val="000000"/>
              </w:rPr>
              <w:t xml:space="preserve">Paskirti Lietuvos transporto saugos administraciją nacionaline nepriklausoma priežiūros institucija, kuri užtikrintų tinkamą </w:t>
            </w:r>
            <w:r w:rsidRPr="008B0EEB">
              <w:t xml:space="preserve">Rinkliavų už naudojimąsi oro uostais </w:t>
            </w:r>
            <w:r w:rsidRPr="009E5E19">
              <w:t>nustatymo ir</w:t>
            </w:r>
            <w:r>
              <w:rPr>
                <w:b/>
                <w:bCs/>
              </w:rPr>
              <w:t xml:space="preserve"> </w:t>
            </w:r>
            <w:r w:rsidRPr="008B0EEB">
              <w:t xml:space="preserve">mokėjimo tvarkos apraše </w:t>
            </w:r>
            <w:r w:rsidRPr="008B0EEB">
              <w:rPr>
                <w:color w:val="000000"/>
              </w:rPr>
              <w:t>nustatytų reikalavimų taikymą ir laikymąsi.</w:t>
            </w:r>
          </w:p>
          <w:p w:rsidR="0006217A" w:rsidRDefault="0006217A" w:rsidP="008C1B5A">
            <w:pPr>
              <w:rPr>
                <w:color w:val="000000"/>
              </w:rPr>
            </w:pPr>
          </w:p>
          <w:p w:rsidR="0006217A" w:rsidRPr="004D7C63" w:rsidRDefault="0006217A" w:rsidP="008C1B5A">
            <w:r>
              <w:rPr>
                <w:color w:val="000000"/>
              </w:rPr>
              <w:t xml:space="preserve">Informacija apie </w:t>
            </w:r>
            <w:r w:rsidRPr="00CC00BB">
              <w:rPr>
                <w:color w:val="000000"/>
              </w:rPr>
              <w:t xml:space="preserve">nacionalinę nepriklausomą priežiūros instituciją bus </w:t>
            </w:r>
            <w:r>
              <w:rPr>
                <w:color w:val="000000"/>
              </w:rPr>
              <w:t xml:space="preserve">pateikta </w:t>
            </w:r>
            <w:r w:rsidRPr="00CC00BB">
              <w:rPr>
                <w:color w:val="000000"/>
              </w:rPr>
              <w:t>Europos Komisija</w:t>
            </w:r>
            <w:r>
              <w:rPr>
                <w:color w:val="000000"/>
              </w:rPr>
              <w:t>i</w:t>
            </w:r>
            <w:r w:rsidRPr="00CC00BB">
              <w:rPr>
                <w:color w:val="000000"/>
              </w:rPr>
              <w:t>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48" w:rsidRDefault="00271A48" w:rsidP="00044E05">
      <w:r>
        <w:separator/>
      </w:r>
    </w:p>
  </w:endnote>
  <w:endnote w:type="continuationSeparator" w:id="0">
    <w:p w:rsidR="00271A48" w:rsidRDefault="00271A48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48" w:rsidRDefault="00271A48" w:rsidP="00044E05">
      <w:r>
        <w:separator/>
      </w:r>
    </w:p>
  </w:footnote>
  <w:footnote w:type="continuationSeparator" w:id="0">
    <w:p w:rsidR="00271A48" w:rsidRDefault="00271A48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33DFA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6217A"/>
    <w:rsid w:val="00086F99"/>
    <w:rsid w:val="000B5E59"/>
    <w:rsid w:val="000F4B6B"/>
    <w:rsid w:val="001114C0"/>
    <w:rsid w:val="001271A4"/>
    <w:rsid w:val="0013089A"/>
    <w:rsid w:val="001331C8"/>
    <w:rsid w:val="001358F5"/>
    <w:rsid w:val="00142EFC"/>
    <w:rsid w:val="00164CD6"/>
    <w:rsid w:val="00175117"/>
    <w:rsid w:val="001758FF"/>
    <w:rsid w:val="00184D1D"/>
    <w:rsid w:val="001912B5"/>
    <w:rsid w:val="001A3942"/>
    <w:rsid w:val="001A55E7"/>
    <w:rsid w:val="001B515A"/>
    <w:rsid w:val="001B5661"/>
    <w:rsid w:val="001D6CF4"/>
    <w:rsid w:val="001D6D50"/>
    <w:rsid w:val="00203BD9"/>
    <w:rsid w:val="00231FEC"/>
    <w:rsid w:val="002368F2"/>
    <w:rsid w:val="00256EAE"/>
    <w:rsid w:val="00260D29"/>
    <w:rsid w:val="00271A48"/>
    <w:rsid w:val="00272BE1"/>
    <w:rsid w:val="00280F04"/>
    <w:rsid w:val="0029139F"/>
    <w:rsid w:val="00292677"/>
    <w:rsid w:val="002B022D"/>
    <w:rsid w:val="002B30B5"/>
    <w:rsid w:val="002B7E4C"/>
    <w:rsid w:val="002F067A"/>
    <w:rsid w:val="002F0D8E"/>
    <w:rsid w:val="00333494"/>
    <w:rsid w:val="0034268C"/>
    <w:rsid w:val="00343CE4"/>
    <w:rsid w:val="00344D14"/>
    <w:rsid w:val="00354567"/>
    <w:rsid w:val="003579C0"/>
    <w:rsid w:val="00364060"/>
    <w:rsid w:val="0037512D"/>
    <w:rsid w:val="00376A2C"/>
    <w:rsid w:val="00384348"/>
    <w:rsid w:val="003A113C"/>
    <w:rsid w:val="003C2C77"/>
    <w:rsid w:val="003C3F3D"/>
    <w:rsid w:val="00431C66"/>
    <w:rsid w:val="004357F8"/>
    <w:rsid w:val="004564D6"/>
    <w:rsid w:val="00461577"/>
    <w:rsid w:val="004725FC"/>
    <w:rsid w:val="00480755"/>
    <w:rsid w:val="004816BA"/>
    <w:rsid w:val="00496F2F"/>
    <w:rsid w:val="004D7C63"/>
    <w:rsid w:val="004E3B66"/>
    <w:rsid w:val="004E7A8F"/>
    <w:rsid w:val="004F11A3"/>
    <w:rsid w:val="0053009D"/>
    <w:rsid w:val="00531288"/>
    <w:rsid w:val="0056501A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87DA4"/>
    <w:rsid w:val="007C278B"/>
    <w:rsid w:val="007C5E17"/>
    <w:rsid w:val="007D443F"/>
    <w:rsid w:val="00830FAF"/>
    <w:rsid w:val="008B66AC"/>
    <w:rsid w:val="008C1B5A"/>
    <w:rsid w:val="008C2C31"/>
    <w:rsid w:val="008C328F"/>
    <w:rsid w:val="008C732B"/>
    <w:rsid w:val="008E48B1"/>
    <w:rsid w:val="00912B76"/>
    <w:rsid w:val="00915A75"/>
    <w:rsid w:val="00933DFA"/>
    <w:rsid w:val="009426ED"/>
    <w:rsid w:val="00947358"/>
    <w:rsid w:val="009648F6"/>
    <w:rsid w:val="00970094"/>
    <w:rsid w:val="00983025"/>
    <w:rsid w:val="00992D53"/>
    <w:rsid w:val="00996936"/>
    <w:rsid w:val="009973D3"/>
    <w:rsid w:val="009B714F"/>
    <w:rsid w:val="009F5D9C"/>
    <w:rsid w:val="00A12B3D"/>
    <w:rsid w:val="00A247F2"/>
    <w:rsid w:val="00A267B6"/>
    <w:rsid w:val="00A27BD4"/>
    <w:rsid w:val="00A90D83"/>
    <w:rsid w:val="00A9381C"/>
    <w:rsid w:val="00A96D93"/>
    <w:rsid w:val="00AA0C68"/>
    <w:rsid w:val="00AA1A7D"/>
    <w:rsid w:val="00AA7C5A"/>
    <w:rsid w:val="00AB048B"/>
    <w:rsid w:val="00AB409A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C0A98"/>
    <w:rsid w:val="00BD642B"/>
    <w:rsid w:val="00C431F7"/>
    <w:rsid w:val="00C55B32"/>
    <w:rsid w:val="00C80733"/>
    <w:rsid w:val="00CC00BB"/>
    <w:rsid w:val="00CC1724"/>
    <w:rsid w:val="00CC2A3F"/>
    <w:rsid w:val="00CC6E33"/>
    <w:rsid w:val="00CD1F9A"/>
    <w:rsid w:val="00CF4CD8"/>
    <w:rsid w:val="00D137C1"/>
    <w:rsid w:val="00D250E7"/>
    <w:rsid w:val="00D7206D"/>
    <w:rsid w:val="00D90A77"/>
    <w:rsid w:val="00D92DD4"/>
    <w:rsid w:val="00D97AE4"/>
    <w:rsid w:val="00DF5D8B"/>
    <w:rsid w:val="00DF70D3"/>
    <w:rsid w:val="00E0688E"/>
    <w:rsid w:val="00E06ED7"/>
    <w:rsid w:val="00E131B0"/>
    <w:rsid w:val="00E137BA"/>
    <w:rsid w:val="00E16876"/>
    <w:rsid w:val="00E32B99"/>
    <w:rsid w:val="00E36716"/>
    <w:rsid w:val="00E37C2F"/>
    <w:rsid w:val="00E37FA3"/>
    <w:rsid w:val="00E673D4"/>
    <w:rsid w:val="00E814B8"/>
    <w:rsid w:val="00E8172C"/>
    <w:rsid w:val="00E82A60"/>
    <w:rsid w:val="00E94421"/>
    <w:rsid w:val="00EC2242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E9A04"/>
  <w15:chartTrackingRefBased/>
  <w15:docId w15:val="{56D1EAC2-0F2D-4190-970E-BA11F358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2CB3-166B-42B0-808A-BEE33CE5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2019-02-27T14:32:00Z</dcterms:created>
  <dc:creator>SM</dc:creator>
  <cp:lastModifiedBy>Vlada Žegunienė</cp:lastModifiedBy>
  <cp:lastPrinted>2009-05-26T09:45:00Z</cp:lastPrinted>
  <dcterms:modified xsi:type="dcterms:W3CDTF">2019-10-23T08:33:00Z</dcterms:modified>
  <cp:revision>21</cp:revision>
  <dc:title>ES TEISĖS AKTO IR LIETUVOS RESPUBLIKOS</dc:title>
</cp:coreProperties>
</file>