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FA3FD" w14:textId="77777777" w:rsidR="00D27EA6" w:rsidRPr="00587AB1" w:rsidRDefault="00D27EA6" w:rsidP="00003706">
      <w:pPr>
        <w:spacing w:after="0" w:line="240" w:lineRule="auto"/>
        <w:ind w:left="10206"/>
        <w:jc w:val="both"/>
        <w:rPr>
          <w:rFonts w:ascii="Times New Roman" w:hAnsi="Times New Roman" w:cs="Times New Roman"/>
          <w:bCs/>
          <w:sz w:val="24"/>
          <w:szCs w:val="24"/>
        </w:rPr>
      </w:pPr>
      <w:r w:rsidRPr="00587AB1">
        <w:rPr>
          <w:rFonts w:ascii="Times New Roman" w:hAnsi="Times New Roman" w:cs="Times New Roman"/>
          <w:bCs/>
          <w:sz w:val="24"/>
          <w:szCs w:val="24"/>
        </w:rPr>
        <w:t>Valstybės kontrolės</w:t>
      </w:r>
    </w:p>
    <w:p w14:paraId="3262EE3D" w14:textId="0D1C569D" w:rsidR="00D27EA6" w:rsidRPr="00587AB1" w:rsidRDefault="00D27EA6" w:rsidP="00003706">
      <w:pPr>
        <w:spacing w:after="0" w:line="240" w:lineRule="auto"/>
        <w:ind w:left="10206"/>
        <w:jc w:val="both"/>
        <w:rPr>
          <w:rFonts w:ascii="Times New Roman" w:hAnsi="Times New Roman" w:cs="Times New Roman"/>
          <w:bCs/>
          <w:sz w:val="24"/>
          <w:szCs w:val="24"/>
        </w:rPr>
      </w:pPr>
      <w:r w:rsidRPr="00587AB1">
        <w:rPr>
          <w:rFonts w:ascii="Times New Roman" w:hAnsi="Times New Roman" w:cs="Times New Roman"/>
          <w:bCs/>
          <w:sz w:val="24"/>
          <w:szCs w:val="24"/>
        </w:rPr>
        <w:t>2019-06- rašto N</w:t>
      </w:r>
      <w:r w:rsidR="00D23FA2">
        <w:rPr>
          <w:rFonts w:ascii="Times New Roman" w:hAnsi="Times New Roman" w:cs="Times New Roman"/>
          <w:bCs/>
          <w:sz w:val="24"/>
          <w:szCs w:val="24"/>
        </w:rPr>
        <w:t>r. S-(</w:t>
      </w:r>
      <w:bookmarkStart w:id="0" w:name="_GoBack"/>
      <w:bookmarkEnd w:id="0"/>
    </w:p>
    <w:p w14:paraId="2B79CF7D" w14:textId="7E702B46" w:rsidR="00D27EA6" w:rsidRDefault="00D27EA6" w:rsidP="00003706">
      <w:pPr>
        <w:spacing w:after="0" w:line="240" w:lineRule="auto"/>
        <w:ind w:left="10206"/>
        <w:jc w:val="both"/>
        <w:rPr>
          <w:rFonts w:ascii="Times New Roman" w:hAnsi="Times New Roman" w:cs="Times New Roman"/>
          <w:b/>
          <w:bCs/>
          <w:sz w:val="24"/>
          <w:szCs w:val="24"/>
          <w:lang w:val="en-US"/>
        </w:rPr>
      </w:pPr>
      <w:r>
        <w:rPr>
          <w:rFonts w:ascii="Times New Roman" w:hAnsi="Times New Roman" w:cs="Times New Roman"/>
          <w:bCs/>
          <w:sz w:val="24"/>
          <w:szCs w:val="24"/>
        </w:rPr>
        <w:t>2</w:t>
      </w:r>
      <w:r w:rsidRPr="00587AB1">
        <w:rPr>
          <w:rFonts w:ascii="Times New Roman" w:hAnsi="Times New Roman" w:cs="Times New Roman"/>
          <w:bCs/>
          <w:sz w:val="24"/>
          <w:szCs w:val="24"/>
        </w:rPr>
        <w:t xml:space="preserve"> priedas</w:t>
      </w:r>
      <w:r w:rsidRPr="00B02AF1">
        <w:rPr>
          <w:rFonts w:ascii="Times New Roman" w:hAnsi="Times New Roman" w:cs="Times New Roman"/>
          <w:b/>
          <w:bCs/>
          <w:sz w:val="24"/>
          <w:szCs w:val="24"/>
          <w:lang w:val="en-US"/>
        </w:rPr>
        <w:t xml:space="preserve"> </w:t>
      </w:r>
    </w:p>
    <w:p w14:paraId="2D165A0E" w14:textId="1FA7D3EE" w:rsidR="004409DE" w:rsidRPr="00B02AF1" w:rsidRDefault="00B02AF1" w:rsidP="00D27EA6">
      <w:pPr>
        <w:spacing w:before="120" w:after="0" w:line="360" w:lineRule="auto"/>
        <w:jc w:val="center"/>
        <w:rPr>
          <w:rFonts w:ascii="Times New Roman" w:eastAsiaTheme="minorEastAsia" w:hAnsi="Times New Roman" w:cs="Times New Roman"/>
          <w:b/>
          <w:bCs/>
          <w:color w:val="000000"/>
          <w:sz w:val="24"/>
          <w:szCs w:val="24"/>
        </w:rPr>
      </w:pPr>
      <w:r w:rsidRPr="00B02AF1">
        <w:rPr>
          <w:rFonts w:ascii="Times New Roman" w:eastAsiaTheme="minorEastAsia" w:hAnsi="Times New Roman" w:cs="Times New Roman"/>
          <w:b/>
          <w:bCs/>
          <w:color w:val="000000"/>
          <w:sz w:val="24"/>
          <w:szCs w:val="24"/>
        </w:rPr>
        <w:t>REKOMENDACIJOS, KURIŲ</w:t>
      </w:r>
      <w:r w:rsidRPr="00B02AF1">
        <w:rPr>
          <w:rFonts w:eastAsiaTheme="minorEastAsia"/>
          <w:b/>
          <w:bCs/>
          <w:color w:val="000000"/>
        </w:rPr>
        <w:t xml:space="preserve"> </w:t>
      </w:r>
      <w:r w:rsidRPr="00B02AF1">
        <w:rPr>
          <w:rFonts w:ascii="Times New Roman" w:eastAsiaTheme="minorEastAsia" w:hAnsi="Times New Roman" w:cs="Times New Roman"/>
          <w:b/>
          <w:bCs/>
          <w:color w:val="000000"/>
          <w:sz w:val="24"/>
          <w:szCs w:val="24"/>
        </w:rPr>
        <w:t>ARTĖJA SUTARTI ĮGYVENDINIMO TERMINAI</w:t>
      </w:r>
    </w:p>
    <w:tbl>
      <w:tblPr>
        <w:tblStyle w:val="Lentelstinklelis"/>
        <w:tblW w:w="14454" w:type="dxa"/>
        <w:tblLook w:val="04A0" w:firstRow="1" w:lastRow="0" w:firstColumn="1" w:lastColumn="0" w:noHBand="0" w:noVBand="1"/>
      </w:tblPr>
      <w:tblGrid>
        <w:gridCol w:w="570"/>
        <w:gridCol w:w="6101"/>
        <w:gridCol w:w="2125"/>
        <w:gridCol w:w="5658"/>
      </w:tblGrid>
      <w:tr w:rsidR="00890174" w:rsidRPr="00887B7B" w14:paraId="55CF5EFD" w14:textId="77777777" w:rsidTr="00CA6538">
        <w:tc>
          <w:tcPr>
            <w:tcW w:w="570" w:type="dxa"/>
          </w:tcPr>
          <w:p w14:paraId="3D514368" w14:textId="77777777" w:rsidR="00890174" w:rsidRPr="00887B7B" w:rsidRDefault="00890174" w:rsidP="003C07B0">
            <w:pPr>
              <w:jc w:val="both"/>
              <w:rPr>
                <w:rFonts w:eastAsiaTheme="minorEastAsia"/>
                <w:b/>
                <w:color w:val="000000"/>
              </w:rPr>
            </w:pPr>
            <w:r w:rsidRPr="00887B7B">
              <w:rPr>
                <w:rFonts w:eastAsiaTheme="minorEastAsia"/>
                <w:b/>
                <w:color w:val="000000"/>
              </w:rPr>
              <w:t>Eil. Nr.</w:t>
            </w:r>
          </w:p>
        </w:tc>
        <w:tc>
          <w:tcPr>
            <w:tcW w:w="6101" w:type="dxa"/>
          </w:tcPr>
          <w:p w14:paraId="7193CA84" w14:textId="77777777" w:rsidR="00890174" w:rsidRPr="00887B7B" w:rsidRDefault="00890174" w:rsidP="003C07B0">
            <w:pPr>
              <w:jc w:val="center"/>
              <w:rPr>
                <w:rFonts w:eastAsiaTheme="minorEastAsia"/>
                <w:b/>
                <w:color w:val="000000"/>
              </w:rPr>
            </w:pPr>
            <w:r w:rsidRPr="00887B7B">
              <w:rPr>
                <w:rFonts w:eastAsiaTheme="minorEastAsia"/>
                <w:b/>
                <w:color w:val="000000"/>
              </w:rPr>
              <w:t>Rekomendacija</w:t>
            </w:r>
          </w:p>
        </w:tc>
        <w:tc>
          <w:tcPr>
            <w:tcW w:w="2125" w:type="dxa"/>
          </w:tcPr>
          <w:p w14:paraId="4DCD0CB5" w14:textId="77777777" w:rsidR="00890174" w:rsidRPr="00887B7B" w:rsidRDefault="00890174" w:rsidP="003C07B0">
            <w:pPr>
              <w:jc w:val="center"/>
              <w:rPr>
                <w:rFonts w:eastAsiaTheme="minorEastAsia"/>
                <w:b/>
                <w:color w:val="000000"/>
              </w:rPr>
            </w:pPr>
            <w:r w:rsidRPr="00887B7B">
              <w:rPr>
                <w:rFonts w:eastAsiaTheme="minorEastAsia"/>
                <w:b/>
                <w:color w:val="000000"/>
              </w:rPr>
              <w:t>Rekomendacijos įgyvendinimo terminas</w:t>
            </w:r>
          </w:p>
        </w:tc>
        <w:tc>
          <w:tcPr>
            <w:tcW w:w="5658" w:type="dxa"/>
          </w:tcPr>
          <w:p w14:paraId="4E6D652D" w14:textId="77777777" w:rsidR="00890174" w:rsidRPr="00887B7B" w:rsidRDefault="00890174" w:rsidP="003C07B0">
            <w:pPr>
              <w:jc w:val="center"/>
              <w:rPr>
                <w:rFonts w:eastAsiaTheme="minorEastAsia"/>
                <w:b/>
                <w:color w:val="000000"/>
              </w:rPr>
            </w:pPr>
            <w:r w:rsidRPr="00887B7B">
              <w:rPr>
                <w:rFonts w:eastAsiaTheme="minorEastAsia"/>
                <w:b/>
                <w:color w:val="000000"/>
              </w:rPr>
              <w:t>Pasiekti rekomendacijų įgyvendinimo rezultatai</w:t>
            </w:r>
          </w:p>
        </w:tc>
      </w:tr>
      <w:tr w:rsidR="00213F07" w:rsidRPr="00887B7B" w14:paraId="4EFAA5A4" w14:textId="77777777" w:rsidTr="00B4175A">
        <w:tc>
          <w:tcPr>
            <w:tcW w:w="14454" w:type="dxa"/>
            <w:gridSpan w:val="4"/>
          </w:tcPr>
          <w:tbl>
            <w:tblPr>
              <w:tblW w:w="0" w:type="auto"/>
              <w:tblBorders>
                <w:top w:val="nil"/>
                <w:left w:val="nil"/>
                <w:bottom w:val="nil"/>
                <w:right w:val="nil"/>
              </w:tblBorders>
              <w:tblLook w:val="0000" w:firstRow="0" w:lastRow="0" w:firstColumn="0" w:lastColumn="0" w:noHBand="0" w:noVBand="0"/>
            </w:tblPr>
            <w:tblGrid>
              <w:gridCol w:w="14238"/>
            </w:tblGrid>
            <w:tr w:rsidR="00213F07" w:rsidRPr="00887B7B" w14:paraId="7EBAD74E" w14:textId="77777777" w:rsidTr="005835C0">
              <w:trPr>
                <w:trHeight w:val="93"/>
              </w:trPr>
              <w:tc>
                <w:tcPr>
                  <w:tcW w:w="0" w:type="auto"/>
                </w:tcPr>
                <w:p w14:paraId="7D674B25" w14:textId="09118CEF" w:rsidR="00213F07" w:rsidRPr="00887B7B" w:rsidRDefault="008C1382" w:rsidP="00213F07">
                  <w:pPr>
                    <w:pStyle w:val="Default"/>
                    <w:rPr>
                      <w:rFonts w:ascii="Times New Roman" w:hAnsi="Times New Roman" w:cs="Times New Roman"/>
                      <w:sz w:val="20"/>
                      <w:szCs w:val="20"/>
                    </w:rPr>
                  </w:pPr>
                  <w:r w:rsidRPr="00887B7B">
                    <w:rPr>
                      <w:rFonts w:ascii="Times New Roman" w:hAnsi="Times New Roman" w:cs="Times New Roman"/>
                      <w:sz w:val="20"/>
                      <w:szCs w:val="20"/>
                    </w:rPr>
                    <w:t>V</w:t>
                  </w:r>
                  <w:r w:rsidR="00213F07" w:rsidRPr="00887B7B">
                    <w:rPr>
                      <w:rFonts w:ascii="Times New Roman" w:hAnsi="Times New Roman" w:cs="Times New Roman"/>
                      <w:sz w:val="20"/>
                      <w:szCs w:val="20"/>
                    </w:rPr>
                    <w:t xml:space="preserve">alstybinio audito ataskaita </w:t>
                  </w:r>
                  <w:r w:rsidR="004533F1">
                    <w:rPr>
                      <w:rFonts w:ascii="Times New Roman" w:hAnsi="Times New Roman" w:cs="Times New Roman"/>
                      <w:sz w:val="20"/>
                      <w:szCs w:val="20"/>
                    </w:rPr>
                    <w:t>„</w:t>
                  </w:r>
                  <w:r w:rsidR="00213F07" w:rsidRPr="00887B7B">
                    <w:rPr>
                      <w:rFonts w:ascii="Times New Roman" w:hAnsi="Times New Roman" w:cs="Times New Roman"/>
                      <w:sz w:val="20"/>
                      <w:szCs w:val="20"/>
                    </w:rPr>
                    <w:t>Lietuvos Respublikos 2016 metų valstybės konsoliduotųjų finansinių ir biudžeto vykdymo ataskaitų rinkinių teisingumas ir valstybės biudžeto vykdymo vertinimas</w:t>
                  </w:r>
                  <w:r w:rsidRPr="00887B7B">
                    <w:rPr>
                      <w:rFonts w:ascii="Times New Roman" w:hAnsi="Times New Roman" w:cs="Times New Roman"/>
                      <w:sz w:val="20"/>
                      <w:szCs w:val="20"/>
                    </w:rPr>
                    <w:t>“</w:t>
                  </w:r>
                  <w:r w:rsidR="00554335" w:rsidRPr="00887B7B">
                    <w:rPr>
                      <w:rFonts w:ascii="Times New Roman" w:hAnsi="Times New Roman" w:cs="Times New Roman"/>
                      <w:sz w:val="20"/>
                      <w:szCs w:val="20"/>
                    </w:rPr>
                    <w:t>,</w:t>
                  </w:r>
                  <w:r w:rsidR="00213F07" w:rsidRPr="00887B7B">
                    <w:rPr>
                      <w:rFonts w:ascii="Times New Roman" w:hAnsi="Times New Roman" w:cs="Times New Roman"/>
                      <w:sz w:val="20"/>
                      <w:szCs w:val="20"/>
                    </w:rPr>
                    <w:t xml:space="preserve"> </w:t>
                  </w:r>
                  <w:r w:rsidRPr="00887B7B">
                    <w:rPr>
                      <w:rFonts w:ascii="Times New Roman" w:hAnsi="Times New Roman" w:cs="Times New Roman"/>
                      <w:sz w:val="20"/>
                      <w:szCs w:val="20"/>
                    </w:rPr>
                    <w:t xml:space="preserve">2017-09-29 </w:t>
                  </w:r>
                  <w:r w:rsidR="00213F07" w:rsidRPr="00887B7B">
                    <w:rPr>
                      <w:rFonts w:ascii="Times New Roman" w:hAnsi="Times New Roman" w:cs="Times New Roman"/>
                      <w:sz w:val="20"/>
                      <w:szCs w:val="20"/>
                    </w:rPr>
                    <w:t>Nr. FA-2017-P-60-5-7-1</w:t>
                  </w:r>
                </w:p>
              </w:tc>
            </w:tr>
          </w:tbl>
          <w:p w14:paraId="0A4688CC" w14:textId="77777777" w:rsidR="00213F07" w:rsidRPr="00887B7B" w:rsidRDefault="00213F07" w:rsidP="003C07B0">
            <w:pPr>
              <w:spacing w:line="360" w:lineRule="auto"/>
              <w:jc w:val="both"/>
              <w:rPr>
                <w:rFonts w:eastAsiaTheme="minorEastAsia"/>
                <w:color w:val="000000"/>
              </w:rPr>
            </w:pPr>
          </w:p>
        </w:tc>
      </w:tr>
      <w:tr w:rsidR="00890174" w:rsidRPr="00887B7B" w14:paraId="42E00437" w14:textId="77777777" w:rsidTr="004533F1">
        <w:trPr>
          <w:trHeight w:val="2420"/>
        </w:trPr>
        <w:tc>
          <w:tcPr>
            <w:tcW w:w="570" w:type="dxa"/>
          </w:tcPr>
          <w:p w14:paraId="0F7C027B" w14:textId="3E9A508B" w:rsidR="00890174" w:rsidRPr="00887B7B" w:rsidRDefault="00213F07" w:rsidP="003C07B0">
            <w:pPr>
              <w:spacing w:line="360" w:lineRule="auto"/>
              <w:jc w:val="both"/>
              <w:rPr>
                <w:rFonts w:eastAsiaTheme="minorEastAsia"/>
                <w:color w:val="000000"/>
              </w:rPr>
            </w:pPr>
            <w:r w:rsidRPr="00887B7B">
              <w:rPr>
                <w:rFonts w:eastAsiaTheme="minorEastAsia"/>
                <w:color w:val="000000"/>
              </w:rPr>
              <w:t xml:space="preserve">1. </w:t>
            </w:r>
          </w:p>
        </w:tc>
        <w:tc>
          <w:tcPr>
            <w:tcW w:w="6101" w:type="dxa"/>
          </w:tcPr>
          <w:p w14:paraId="770142EA" w14:textId="4D38B5B2" w:rsidR="00213F07" w:rsidRPr="00887B7B" w:rsidRDefault="008C1382" w:rsidP="00213F07">
            <w:pPr>
              <w:ind w:left="26"/>
              <w:jc w:val="both"/>
              <w:rPr>
                <w:rFonts w:eastAsiaTheme="minorEastAsia"/>
                <w:color w:val="000000"/>
              </w:rPr>
            </w:pPr>
            <w:r w:rsidRPr="00887B7B">
              <w:rPr>
                <w:rFonts w:eastAsiaTheme="minorEastAsia"/>
                <w:color w:val="000000"/>
              </w:rPr>
              <w:t xml:space="preserve">3 rekomendacija. </w:t>
            </w:r>
            <w:r w:rsidR="00213F07" w:rsidRPr="00887B7B">
              <w:rPr>
                <w:rFonts w:eastAsiaTheme="minorEastAsia"/>
                <w:color w:val="000000"/>
              </w:rPr>
              <w:t>Siekiant efektyviai, ekonomiškai ir rezultatyviai panaudoti valstybės biudžeto lėšas, sumažinti administracinę naštą, rekomenduojame nustatyti optimalų viešojo sektoriaus transporto ir kitų paslaugų įsigijimo ir lėšų naudojimo kontrolės mechanizmą, kad įstaigos galėtų siekti veiklos rezultatų</w:t>
            </w:r>
            <w:r w:rsidR="005A378F" w:rsidRPr="00887B7B">
              <w:rPr>
                <w:rFonts w:eastAsiaTheme="minorEastAsia"/>
                <w:color w:val="000000"/>
              </w:rPr>
              <w:t>.</w:t>
            </w:r>
          </w:p>
          <w:p w14:paraId="2377D1BF" w14:textId="2E435DAC" w:rsidR="00CA6538" w:rsidRPr="00887B7B" w:rsidRDefault="00213F07">
            <w:pPr>
              <w:ind w:left="26"/>
              <w:jc w:val="both"/>
              <w:rPr>
                <w:rFonts w:eastAsiaTheme="minorEastAsia"/>
                <w:color w:val="000000"/>
              </w:rPr>
            </w:pPr>
            <w:r w:rsidRPr="00887B7B">
              <w:rPr>
                <w:rFonts w:eastAsiaTheme="minorEastAsia"/>
                <w:color w:val="000000"/>
              </w:rPr>
              <w:t xml:space="preserve">Priemonė: Biudžeto planavimo sistemos pertvarkos kontekste planuojama peržiūrėti biudžeto programos struktūrą ir kiekvienam iš programos struktūrinių elementų nustatyti tinkamą vertinimo tvarką. Taigi bus peržiūrėtos ir institucijų einamųjų išlaidų, tame tarpe ir išlaidų  prekėms ir paslaugoms, planavimo ir vertinimo procedūros. </w:t>
            </w:r>
          </w:p>
        </w:tc>
        <w:tc>
          <w:tcPr>
            <w:tcW w:w="2125" w:type="dxa"/>
          </w:tcPr>
          <w:p w14:paraId="1154FECA" w14:textId="77777777" w:rsidR="00890174" w:rsidRPr="00887B7B" w:rsidRDefault="00890174" w:rsidP="003C07B0">
            <w:pPr>
              <w:spacing w:line="360" w:lineRule="auto"/>
              <w:jc w:val="both"/>
              <w:rPr>
                <w:rFonts w:eastAsiaTheme="minorEastAsia"/>
                <w:color w:val="000000"/>
              </w:rPr>
            </w:pPr>
          </w:p>
          <w:p w14:paraId="39E0B851" w14:textId="77777777" w:rsidR="00213F07" w:rsidRPr="00887B7B" w:rsidRDefault="00213F07" w:rsidP="003C07B0">
            <w:pPr>
              <w:spacing w:line="360" w:lineRule="auto"/>
              <w:jc w:val="both"/>
              <w:rPr>
                <w:rFonts w:eastAsiaTheme="minorEastAsia"/>
                <w:color w:val="000000"/>
              </w:rPr>
            </w:pPr>
          </w:p>
          <w:p w14:paraId="330BCF9D" w14:textId="0CD7F4E3" w:rsidR="00213F07" w:rsidRDefault="00213F07" w:rsidP="003C07B0">
            <w:pPr>
              <w:spacing w:line="360" w:lineRule="auto"/>
              <w:jc w:val="both"/>
              <w:rPr>
                <w:rFonts w:eastAsiaTheme="minorEastAsia"/>
                <w:color w:val="000000"/>
              </w:rPr>
            </w:pPr>
          </w:p>
          <w:p w14:paraId="7CBE2370" w14:textId="77777777" w:rsidR="009A050A" w:rsidRPr="00887B7B" w:rsidRDefault="009A050A" w:rsidP="003C07B0">
            <w:pPr>
              <w:spacing w:line="360" w:lineRule="auto"/>
              <w:jc w:val="both"/>
              <w:rPr>
                <w:rFonts w:eastAsiaTheme="minorEastAsia"/>
                <w:color w:val="000000"/>
              </w:rPr>
            </w:pPr>
          </w:p>
          <w:p w14:paraId="46B6548B" w14:textId="51CD12CA" w:rsidR="00213F07" w:rsidRPr="00887B7B" w:rsidRDefault="00213F07" w:rsidP="00FC22F5">
            <w:pPr>
              <w:spacing w:line="360" w:lineRule="auto"/>
              <w:jc w:val="center"/>
              <w:rPr>
                <w:rFonts w:eastAsiaTheme="minorEastAsia"/>
                <w:color w:val="000000"/>
              </w:rPr>
            </w:pPr>
            <w:r w:rsidRPr="00887B7B">
              <w:rPr>
                <w:rFonts w:eastAsiaTheme="minorEastAsia"/>
                <w:color w:val="000000"/>
              </w:rPr>
              <w:t>2019</w:t>
            </w:r>
            <w:r w:rsidR="00FC22F5" w:rsidRPr="00887B7B">
              <w:rPr>
                <w:rFonts w:eastAsiaTheme="minorEastAsia"/>
                <w:color w:val="000000"/>
              </w:rPr>
              <w:t>-06-30</w:t>
            </w:r>
          </w:p>
        </w:tc>
        <w:tc>
          <w:tcPr>
            <w:tcW w:w="5658" w:type="dxa"/>
          </w:tcPr>
          <w:p w14:paraId="5BD62F43" w14:textId="77777777" w:rsidR="00890174" w:rsidRPr="00887B7B" w:rsidRDefault="00890174" w:rsidP="003C07B0">
            <w:pPr>
              <w:spacing w:line="360" w:lineRule="auto"/>
              <w:jc w:val="both"/>
              <w:rPr>
                <w:rFonts w:eastAsiaTheme="minorEastAsia"/>
                <w:color w:val="000000"/>
              </w:rPr>
            </w:pPr>
          </w:p>
        </w:tc>
      </w:tr>
      <w:tr w:rsidR="005A378F" w:rsidRPr="00887B7B" w14:paraId="228335F4" w14:textId="77777777" w:rsidTr="00063883">
        <w:tc>
          <w:tcPr>
            <w:tcW w:w="14454" w:type="dxa"/>
            <w:gridSpan w:val="4"/>
          </w:tcPr>
          <w:p w14:paraId="7FE8D6BE" w14:textId="64C55DED" w:rsidR="005A378F" w:rsidRPr="00887B7B" w:rsidRDefault="005A378F" w:rsidP="008C36E7">
            <w:pPr>
              <w:spacing w:line="360" w:lineRule="auto"/>
              <w:jc w:val="both"/>
              <w:rPr>
                <w:rFonts w:eastAsiaTheme="minorEastAsia"/>
                <w:color w:val="000000"/>
              </w:rPr>
            </w:pPr>
            <w:r w:rsidRPr="00887B7B">
              <w:rPr>
                <w:rFonts w:eastAsiaTheme="minorEastAsia"/>
                <w:bCs/>
                <w:color w:val="000000"/>
              </w:rPr>
              <w:t>Valstybinio audito ataskaita „Teisėkūros procesas“</w:t>
            </w:r>
            <w:r w:rsidR="004533F1">
              <w:rPr>
                <w:rFonts w:eastAsiaTheme="minorEastAsia"/>
                <w:bCs/>
                <w:color w:val="000000"/>
              </w:rPr>
              <w:t xml:space="preserve">, </w:t>
            </w:r>
            <w:r w:rsidRPr="00887B7B">
              <w:rPr>
                <w:rFonts w:eastAsiaTheme="minorEastAsia"/>
                <w:bCs/>
                <w:color w:val="000000"/>
              </w:rPr>
              <w:t xml:space="preserve">2018-03-16 Nr. VA-2018-P-40-6-2 </w:t>
            </w:r>
          </w:p>
        </w:tc>
      </w:tr>
      <w:tr w:rsidR="00012187" w:rsidRPr="00887B7B" w14:paraId="2F47EB08" w14:textId="77777777" w:rsidTr="00CA6538">
        <w:tc>
          <w:tcPr>
            <w:tcW w:w="570" w:type="dxa"/>
          </w:tcPr>
          <w:p w14:paraId="1EB9A018" w14:textId="5FB41196" w:rsidR="00012187" w:rsidRPr="00887B7B" w:rsidRDefault="00012187" w:rsidP="00012187">
            <w:pPr>
              <w:spacing w:line="360" w:lineRule="auto"/>
              <w:jc w:val="both"/>
              <w:rPr>
                <w:rFonts w:eastAsiaTheme="minorEastAsia"/>
                <w:color w:val="000000"/>
              </w:rPr>
            </w:pPr>
            <w:r w:rsidRPr="00887B7B">
              <w:rPr>
                <w:rFonts w:eastAsiaTheme="minorEastAsia"/>
                <w:color w:val="000000"/>
              </w:rPr>
              <w:t>2.</w:t>
            </w:r>
          </w:p>
        </w:tc>
        <w:tc>
          <w:tcPr>
            <w:tcW w:w="6101" w:type="dxa"/>
          </w:tcPr>
          <w:p w14:paraId="5760C9A7" w14:textId="77777777" w:rsidR="00012187" w:rsidRPr="00887B7B" w:rsidRDefault="00012187" w:rsidP="00012187">
            <w:pPr>
              <w:jc w:val="both"/>
              <w:rPr>
                <w:rFonts w:eastAsiaTheme="minorEastAsia"/>
                <w:bCs/>
                <w:color w:val="000000"/>
              </w:rPr>
            </w:pPr>
            <w:r w:rsidRPr="00887B7B">
              <w:rPr>
                <w:rFonts w:eastAsiaTheme="minorEastAsia"/>
                <w:bCs/>
                <w:color w:val="000000"/>
              </w:rPr>
              <w:t>2 rekomendacija. Siekiant, kad būtų laiku ir tinkamai parengti visuomenės ir valstybės interesus atitinkantys teisės aktų projektai:</w:t>
            </w:r>
          </w:p>
          <w:p w14:paraId="3724E5F5" w14:textId="77777777" w:rsidR="00012187" w:rsidRPr="00887B7B" w:rsidRDefault="00012187" w:rsidP="00012187">
            <w:pPr>
              <w:jc w:val="both"/>
              <w:rPr>
                <w:rFonts w:eastAsiaTheme="minorEastAsia"/>
                <w:bCs/>
                <w:color w:val="000000"/>
              </w:rPr>
            </w:pPr>
            <w:r w:rsidRPr="00887B7B">
              <w:rPr>
                <w:rFonts w:eastAsiaTheme="minorEastAsia"/>
                <w:bCs/>
                <w:color w:val="000000"/>
              </w:rPr>
              <w:t>2.1. Pertvarkyti poveikio vertinimo sistemą taip, kad būtų užtikrintas tinkamas numatomo teisinio reguliavimo galimų pasekmių asmenims ar jų grupėms, kuriems jis bus taikomas, ekonomikai, valstybės finansams, socialinei aplinkai, viešajam administravimui, korupcijos mastui, administracinei naštai ir kt. sritims įvertinimas ir vertinimo rezultatų bei juos pagrindžiančių duomenų pateikimas teisės aktą priimančiam subjektui.</w:t>
            </w:r>
          </w:p>
          <w:p w14:paraId="6A34E95B" w14:textId="77777777" w:rsidR="00012187" w:rsidRPr="00887B7B" w:rsidRDefault="00012187" w:rsidP="00012187">
            <w:pPr>
              <w:jc w:val="both"/>
              <w:rPr>
                <w:rFonts w:eastAsiaTheme="minorEastAsia"/>
                <w:bCs/>
                <w:color w:val="000000"/>
              </w:rPr>
            </w:pPr>
            <w:r w:rsidRPr="00887B7B">
              <w:rPr>
                <w:rFonts w:eastAsiaTheme="minorEastAsia"/>
                <w:bCs/>
                <w:color w:val="000000"/>
              </w:rPr>
              <w:t>2.4. Užtikrinti, kad Seimo kanceliarijos teisės aktų informacinėje sistemoje būtų paskelbta visa Teisėkūros pagrindų įstatyme nurodyta informacija.</w:t>
            </w:r>
          </w:p>
          <w:p w14:paraId="523F7303" w14:textId="696D5ED5" w:rsidR="00CA6538" w:rsidRPr="00887B7B" w:rsidRDefault="00CA6538">
            <w:pPr>
              <w:jc w:val="both"/>
              <w:rPr>
                <w:rFonts w:eastAsiaTheme="minorEastAsia"/>
                <w:color w:val="000000"/>
              </w:rPr>
            </w:pPr>
            <w:r w:rsidRPr="00887B7B">
              <w:rPr>
                <w:rFonts w:eastAsiaTheme="minorEastAsia"/>
                <w:bCs/>
                <w:color w:val="000000"/>
              </w:rPr>
              <w:t>3 rekomendacija. Siekiant sudaryti sąlygas teisėkūros procesui tobulinti, užtikrinti duomenų, susijusių su teisėkūros procesu, dokumentavimą, kaupimą ir sisteminimą.</w:t>
            </w:r>
          </w:p>
        </w:tc>
        <w:tc>
          <w:tcPr>
            <w:tcW w:w="2125" w:type="dxa"/>
          </w:tcPr>
          <w:p w14:paraId="4D958605" w14:textId="77777777" w:rsidR="00CA6538" w:rsidRPr="00887B7B" w:rsidRDefault="00CA6538" w:rsidP="00CA6538">
            <w:pPr>
              <w:jc w:val="center"/>
              <w:rPr>
                <w:rFonts w:eastAsiaTheme="minorEastAsia"/>
                <w:color w:val="000000"/>
              </w:rPr>
            </w:pPr>
          </w:p>
          <w:p w14:paraId="3BB38E9E" w14:textId="77777777" w:rsidR="00CA6538" w:rsidRPr="00887B7B" w:rsidRDefault="00CA6538" w:rsidP="00CA6538">
            <w:pPr>
              <w:jc w:val="center"/>
              <w:rPr>
                <w:rFonts w:eastAsiaTheme="minorEastAsia"/>
                <w:color w:val="000000"/>
              </w:rPr>
            </w:pPr>
          </w:p>
          <w:p w14:paraId="35D177CC" w14:textId="3C1004A5" w:rsidR="00012187" w:rsidRPr="00887B7B" w:rsidRDefault="00012187" w:rsidP="00CA6538">
            <w:pPr>
              <w:jc w:val="center"/>
              <w:rPr>
                <w:rFonts w:eastAsiaTheme="minorEastAsia"/>
                <w:color w:val="000000"/>
              </w:rPr>
            </w:pPr>
            <w:r w:rsidRPr="00887B7B">
              <w:rPr>
                <w:rFonts w:eastAsiaTheme="minorEastAsia"/>
                <w:color w:val="000000"/>
              </w:rPr>
              <w:t>2019-09-30</w:t>
            </w:r>
          </w:p>
          <w:p w14:paraId="18282C9C" w14:textId="77777777" w:rsidR="00012187" w:rsidRPr="00887B7B" w:rsidRDefault="00012187" w:rsidP="00CA6538">
            <w:pPr>
              <w:jc w:val="center"/>
              <w:rPr>
                <w:rFonts w:eastAsiaTheme="minorEastAsia"/>
                <w:color w:val="000000"/>
              </w:rPr>
            </w:pPr>
          </w:p>
          <w:p w14:paraId="58442DF8" w14:textId="77777777" w:rsidR="00012187" w:rsidRPr="00887B7B" w:rsidRDefault="00012187" w:rsidP="00CA6538">
            <w:pPr>
              <w:jc w:val="center"/>
              <w:rPr>
                <w:rFonts w:eastAsiaTheme="minorEastAsia"/>
                <w:color w:val="000000"/>
              </w:rPr>
            </w:pPr>
          </w:p>
          <w:p w14:paraId="4AA46001" w14:textId="77777777" w:rsidR="00012187" w:rsidRPr="00887B7B" w:rsidRDefault="00012187" w:rsidP="00CA6538">
            <w:pPr>
              <w:jc w:val="center"/>
              <w:rPr>
                <w:rFonts w:eastAsiaTheme="minorEastAsia"/>
                <w:color w:val="000000"/>
              </w:rPr>
            </w:pPr>
          </w:p>
          <w:p w14:paraId="16D4C3EA" w14:textId="72731FEF" w:rsidR="00E3095D" w:rsidRPr="00887B7B" w:rsidRDefault="00E3095D" w:rsidP="00CA6538">
            <w:pPr>
              <w:jc w:val="center"/>
              <w:rPr>
                <w:rFonts w:eastAsiaTheme="minorEastAsia"/>
                <w:color w:val="000000"/>
              </w:rPr>
            </w:pPr>
          </w:p>
          <w:p w14:paraId="6D4C7CD4" w14:textId="77777777" w:rsidR="00CA6538" w:rsidRPr="00887B7B" w:rsidRDefault="00CA6538" w:rsidP="00CA6538">
            <w:pPr>
              <w:jc w:val="center"/>
              <w:rPr>
                <w:rFonts w:eastAsiaTheme="minorEastAsia"/>
                <w:color w:val="000000"/>
              </w:rPr>
            </w:pPr>
          </w:p>
          <w:p w14:paraId="6CB9F833" w14:textId="77777777" w:rsidR="00CA6538" w:rsidRPr="00887B7B" w:rsidRDefault="00CA6538" w:rsidP="00CA6538">
            <w:pPr>
              <w:jc w:val="center"/>
              <w:rPr>
                <w:rFonts w:eastAsiaTheme="minorEastAsia"/>
                <w:color w:val="000000"/>
              </w:rPr>
            </w:pPr>
          </w:p>
          <w:p w14:paraId="342EA759" w14:textId="19CC1366" w:rsidR="00012187" w:rsidRPr="00887B7B" w:rsidRDefault="00012187" w:rsidP="00CA6538">
            <w:pPr>
              <w:jc w:val="center"/>
              <w:rPr>
                <w:rFonts w:eastAsiaTheme="minorEastAsia"/>
                <w:color w:val="000000"/>
              </w:rPr>
            </w:pPr>
            <w:r w:rsidRPr="00887B7B">
              <w:rPr>
                <w:rFonts w:eastAsiaTheme="minorEastAsia"/>
                <w:color w:val="000000"/>
              </w:rPr>
              <w:t>2019-09-30</w:t>
            </w:r>
          </w:p>
          <w:p w14:paraId="55B7C5CA" w14:textId="77777777" w:rsidR="00CA6538" w:rsidRPr="00887B7B" w:rsidRDefault="00CA6538" w:rsidP="00CA6538">
            <w:pPr>
              <w:jc w:val="center"/>
              <w:rPr>
                <w:rFonts w:eastAsiaTheme="minorEastAsia"/>
                <w:color w:val="000000"/>
              </w:rPr>
            </w:pPr>
          </w:p>
          <w:p w14:paraId="2D0EB1DB" w14:textId="77777777" w:rsidR="00CA6538" w:rsidRPr="00887B7B" w:rsidRDefault="00CA6538" w:rsidP="00CA6538">
            <w:pPr>
              <w:jc w:val="center"/>
              <w:rPr>
                <w:rFonts w:eastAsiaTheme="minorEastAsia"/>
                <w:color w:val="000000"/>
              </w:rPr>
            </w:pPr>
          </w:p>
          <w:p w14:paraId="672C2011" w14:textId="37540348" w:rsidR="00CA6538" w:rsidRPr="00887B7B" w:rsidRDefault="00CA6538" w:rsidP="00CA6538">
            <w:pPr>
              <w:jc w:val="center"/>
              <w:rPr>
                <w:rFonts w:eastAsiaTheme="minorEastAsia"/>
                <w:color w:val="000000"/>
              </w:rPr>
            </w:pPr>
            <w:r w:rsidRPr="00887B7B">
              <w:rPr>
                <w:rFonts w:eastAsiaTheme="minorEastAsia"/>
                <w:color w:val="000000"/>
              </w:rPr>
              <w:t>2019-09-30</w:t>
            </w:r>
          </w:p>
        </w:tc>
        <w:tc>
          <w:tcPr>
            <w:tcW w:w="5658" w:type="dxa"/>
          </w:tcPr>
          <w:p w14:paraId="22D70E2F" w14:textId="77777777" w:rsidR="00012187" w:rsidRPr="00887B7B" w:rsidRDefault="00012187" w:rsidP="00012187">
            <w:pPr>
              <w:spacing w:line="360" w:lineRule="auto"/>
              <w:jc w:val="both"/>
              <w:rPr>
                <w:rFonts w:eastAsiaTheme="minorEastAsia"/>
                <w:color w:val="000000"/>
              </w:rPr>
            </w:pPr>
          </w:p>
        </w:tc>
      </w:tr>
    </w:tbl>
    <w:p w14:paraId="7E30A892" w14:textId="77777777" w:rsidR="00890174" w:rsidRPr="004409DE" w:rsidRDefault="00890174">
      <w:pPr>
        <w:rPr>
          <w:lang w:val="en-US"/>
        </w:rPr>
      </w:pPr>
    </w:p>
    <w:sectPr w:rsidR="00890174" w:rsidRPr="004409DE" w:rsidSect="00D27EA6">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91"/>
    <w:rsid w:val="00003706"/>
    <w:rsid w:val="00012187"/>
    <w:rsid w:val="00213F07"/>
    <w:rsid w:val="004409DE"/>
    <w:rsid w:val="004533F1"/>
    <w:rsid w:val="00471875"/>
    <w:rsid w:val="00554335"/>
    <w:rsid w:val="005A378F"/>
    <w:rsid w:val="00887B7B"/>
    <w:rsid w:val="00890174"/>
    <w:rsid w:val="008C1382"/>
    <w:rsid w:val="008C36E7"/>
    <w:rsid w:val="009A050A"/>
    <w:rsid w:val="00B02AF1"/>
    <w:rsid w:val="00B6136C"/>
    <w:rsid w:val="00CA6538"/>
    <w:rsid w:val="00D23FA2"/>
    <w:rsid w:val="00D27EA6"/>
    <w:rsid w:val="00D34891"/>
    <w:rsid w:val="00E3095D"/>
    <w:rsid w:val="00E367BD"/>
    <w:rsid w:val="00FC22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A0E7"/>
  <w15:chartTrackingRefBased/>
  <w15:docId w15:val="{6CEE10CC-B4D4-4B37-B631-269CACDB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har1,Char,atask Puslapio išnašos tekstas,Footnote,Footnote Diagrama,Footnote Text Char Char,Footnote Char Char,Footnote Char,Footnote text,fn,Footnote Text Char1 Char Char2,Footnote Text OCR Char1 Char1 Char,Footnot,Ch"/>
    <w:basedOn w:val="prastasis"/>
    <w:link w:val="PuslapioinaostekstasDiagrama"/>
    <w:uiPriority w:val="99"/>
    <w:qFormat/>
    <w:rsid w:val="004409DE"/>
    <w:pPr>
      <w:spacing w:after="480" w:line="240" w:lineRule="auto"/>
    </w:pPr>
    <w:rPr>
      <w:rFonts w:ascii="TimesLT" w:eastAsia="Times New Roman" w:hAnsi="TimesLT" w:cs="Times New Roman"/>
      <w:sz w:val="24"/>
      <w:szCs w:val="24"/>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rsid w:val="004409DE"/>
    <w:rPr>
      <w:rFonts w:ascii="TimesLT" w:eastAsia="Times New Roman" w:hAnsi="TimesLT" w:cs="Times New Roman"/>
      <w:sz w:val="24"/>
      <w:szCs w:val="24"/>
    </w:rPr>
  </w:style>
  <w:style w:type="table" w:styleId="Lentelstinklelis">
    <w:name w:val="Table Grid"/>
    <w:basedOn w:val="prastojilentel"/>
    <w:rsid w:val="004409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13F07"/>
    <w:pPr>
      <w:ind w:left="720"/>
      <w:contextualSpacing/>
    </w:pPr>
  </w:style>
  <w:style w:type="paragraph" w:customStyle="1" w:styleId="Default">
    <w:name w:val="Default"/>
    <w:rsid w:val="00213F07"/>
    <w:pPr>
      <w:autoSpaceDE w:val="0"/>
      <w:autoSpaceDN w:val="0"/>
      <w:adjustRightInd w:val="0"/>
      <w:spacing w:after="0" w:line="240" w:lineRule="auto"/>
    </w:pPr>
    <w:rPr>
      <w:rFonts w:ascii="Segoe UI" w:hAnsi="Segoe UI" w:cs="Segoe UI"/>
      <w:color w:val="000000"/>
      <w:sz w:val="24"/>
      <w:szCs w:val="24"/>
    </w:rPr>
  </w:style>
  <w:style w:type="paragraph" w:styleId="Debesliotekstas">
    <w:name w:val="Balloon Text"/>
    <w:basedOn w:val="prastasis"/>
    <w:link w:val="DebesliotekstasDiagrama"/>
    <w:uiPriority w:val="99"/>
    <w:semiHidden/>
    <w:unhideWhenUsed/>
    <w:rsid w:val="00887B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7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1351</Words>
  <Characters>771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Švetkauskas</dc:creator>
  <cp:keywords/>
  <dc:description/>
  <cp:lastModifiedBy>Lina Bukauskienė</cp:lastModifiedBy>
  <cp:revision>3</cp:revision>
  <dcterms:created xsi:type="dcterms:W3CDTF">2019-06-18T08:35:00Z</dcterms:created>
  <dcterms:modified xsi:type="dcterms:W3CDTF">2019-06-18T10:33:00Z</dcterms:modified>
</cp:coreProperties>
</file>