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AB322" w14:textId="7CBCE464" w:rsidR="00321ADE" w:rsidRPr="004C3332" w:rsidRDefault="00C4781F" w:rsidP="00C4781F">
      <w:pPr>
        <w:ind w:left="720" w:firstLine="720"/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321ADE" w:rsidRPr="004C333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21ADE" w:rsidRPr="004C3332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B4B535D" w14:textId="4DBA1F7E" w:rsidR="008132E5" w:rsidRPr="00C4781F" w:rsidRDefault="005653BE" w:rsidP="00B600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4781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DIDESNIO POVEIKIO </w:t>
      </w:r>
      <w:r w:rsidR="006379E7" w:rsidRPr="00C4781F">
        <w:rPr>
          <w:rFonts w:ascii="Times New Roman" w:hAnsi="Times New Roman" w:cs="Times New Roman"/>
          <w:b/>
          <w:bCs/>
          <w:sz w:val="24"/>
          <w:szCs w:val="24"/>
          <w:lang w:val="lt-LT"/>
        </w:rPr>
        <w:t>TEISĖS AKT</w:t>
      </w:r>
      <w:r w:rsidRPr="00C4781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Ų PROJEKTŲ POVEIKIO VERTINIMO </w:t>
      </w:r>
      <w:r w:rsidR="002250C6" w:rsidRPr="00C4781F">
        <w:rPr>
          <w:rFonts w:ascii="Times New Roman" w:hAnsi="Times New Roman" w:cs="Times New Roman"/>
          <w:b/>
          <w:bCs/>
          <w:sz w:val="24"/>
          <w:szCs w:val="24"/>
          <w:lang w:val="lt-LT"/>
        </w:rPr>
        <w:t>REZULTAT</w:t>
      </w:r>
      <w:r w:rsidR="00504656" w:rsidRPr="00C4781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Ų </w:t>
      </w:r>
      <w:r w:rsidR="00D91A33">
        <w:rPr>
          <w:rFonts w:ascii="Times New Roman" w:hAnsi="Times New Roman" w:cs="Times New Roman"/>
          <w:b/>
          <w:bCs/>
          <w:sz w:val="24"/>
          <w:szCs w:val="24"/>
          <w:lang w:val="lt-LT"/>
        </w:rPr>
        <w:t>KOKYBĖS KRITERIJAI</w:t>
      </w:r>
    </w:p>
    <w:p w14:paraId="146BDF8F" w14:textId="3A01D2CF" w:rsidR="004C3332" w:rsidRDefault="00D91A33" w:rsidP="00D91A33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C3332">
        <w:rPr>
          <w:rFonts w:ascii="Times New Roman" w:hAnsi="Times New Roman" w:cs="Times New Roman"/>
          <w:b/>
          <w:bCs/>
          <w:sz w:val="24"/>
          <w:szCs w:val="24"/>
          <w:lang w:val="lt-LT"/>
        </w:rPr>
        <w:t>Teisės akto projekto  pavadinimas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: </w:t>
      </w:r>
      <w:r w:rsidR="00D344BB" w:rsidRPr="00D344BB">
        <w:rPr>
          <w:rFonts w:ascii="Times New Roman" w:hAnsi="Times New Roman" w:cs="Times New Roman"/>
          <w:b/>
          <w:bCs/>
          <w:sz w:val="24"/>
          <w:szCs w:val="24"/>
          <w:lang w:val="lt-LT"/>
        </w:rPr>
        <w:t>Lietuvos Respublikos švietimo įstatymo Nr. I-1489  5, 14, 21, 29, 30, 34 ir 36 straipsnių pakeitimo ir papildymo 45</w:t>
      </w:r>
      <w:r w:rsidR="00D344BB" w:rsidRPr="0078267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lt-LT"/>
        </w:rPr>
        <w:t xml:space="preserve">1 </w:t>
      </w:r>
      <w:r w:rsidR="00D344BB" w:rsidRPr="00D344BB">
        <w:rPr>
          <w:rFonts w:ascii="Times New Roman" w:hAnsi="Times New Roman" w:cs="Times New Roman"/>
          <w:b/>
          <w:bCs/>
          <w:sz w:val="24"/>
          <w:szCs w:val="24"/>
          <w:lang w:val="lt-LT"/>
        </w:rPr>
        <w:t>straipsniu įstatymo projektas</w:t>
      </w:r>
    </w:p>
    <w:p w14:paraId="121456B0" w14:textId="77777777" w:rsidR="00D91A33" w:rsidRPr="004C3332" w:rsidRDefault="00D91A33" w:rsidP="00D91A33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1"/>
        <w:gridCol w:w="6379"/>
        <w:gridCol w:w="850"/>
        <w:gridCol w:w="5664"/>
      </w:tblGrid>
      <w:tr w:rsidR="00D83D41" w:rsidRPr="00CA1E01" w14:paraId="13A160CA" w14:textId="1A1BBD69" w:rsidTr="007D742C">
        <w:tc>
          <w:tcPr>
            <w:tcW w:w="2411" w:type="dxa"/>
          </w:tcPr>
          <w:p w14:paraId="7C8127D1" w14:textId="3A330261" w:rsidR="00D83D41" w:rsidRPr="004C3332" w:rsidRDefault="00D83D41" w:rsidP="004C3332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Vertinamas klausimas</w:t>
            </w:r>
          </w:p>
        </w:tc>
        <w:tc>
          <w:tcPr>
            <w:tcW w:w="7229" w:type="dxa"/>
            <w:gridSpan w:val="2"/>
          </w:tcPr>
          <w:p w14:paraId="6BCF8800" w14:textId="35228915" w:rsidR="00D83D41" w:rsidRDefault="00D83D41" w:rsidP="004C3332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91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Klausimai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(kriterijai) kokybės įvertinimui </w:t>
            </w:r>
          </w:p>
        </w:tc>
        <w:tc>
          <w:tcPr>
            <w:tcW w:w="5664" w:type="dxa"/>
          </w:tcPr>
          <w:p w14:paraId="353E2609" w14:textId="29FE6523" w:rsidR="00D83D41" w:rsidRPr="00D91A33" w:rsidRDefault="00D83D41" w:rsidP="004C3332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91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Pastabos ir komentarai</w:t>
            </w:r>
          </w:p>
        </w:tc>
      </w:tr>
      <w:tr w:rsidR="00D83D41" w:rsidRPr="00782670" w14:paraId="44B53715" w14:textId="71090300" w:rsidTr="007D742C">
        <w:trPr>
          <w:trHeight w:val="405"/>
        </w:trPr>
        <w:tc>
          <w:tcPr>
            <w:tcW w:w="2411" w:type="dxa"/>
            <w:vMerge w:val="restart"/>
          </w:tcPr>
          <w:p w14:paraId="4AD09222" w14:textId="649F005D" w:rsidR="00D83D41" w:rsidRPr="004C3332" w:rsidRDefault="00D83D41" w:rsidP="004E18B0">
            <w:pPr>
              <w:spacing w:after="120"/>
              <w:ind w:left="306" w:hanging="3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1. </w:t>
            </w:r>
            <w:r w:rsidRPr="004C33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Problema, kurią siekiama išspręsti</w:t>
            </w:r>
          </w:p>
        </w:tc>
        <w:tc>
          <w:tcPr>
            <w:tcW w:w="6379" w:type="dxa"/>
          </w:tcPr>
          <w:p w14:paraId="6BC2A971" w14:textId="6F6FA76D" w:rsidR="00D83D41" w:rsidRPr="00782670" w:rsidRDefault="00D83D41" w:rsidP="004E18B0">
            <w:pPr>
              <w:pStyle w:val="ListParagraph"/>
              <w:numPr>
                <w:ilvl w:val="1"/>
                <w:numId w:val="1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 sprendžiama problema suformuluota </w:t>
            </w:r>
            <w:r w:rsidR="00386692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trumpai / 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glaustai?</w:t>
            </w:r>
          </w:p>
        </w:tc>
        <w:tc>
          <w:tcPr>
            <w:tcW w:w="850" w:type="dxa"/>
          </w:tcPr>
          <w:p w14:paraId="5379214F" w14:textId="0D3D0592" w:rsidR="00D83D41" w:rsidRPr="00782670" w:rsidRDefault="00024B53" w:rsidP="009F5F68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1653933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BB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D83D41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367271B3" w14:textId="68FFBE78" w:rsidR="00D83D41" w:rsidRPr="00782670" w:rsidRDefault="00024B53" w:rsidP="009F5F68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9284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41" w:rsidRPr="00782670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D83D41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1C4F890" w14:textId="35598A71" w:rsidR="00D83D41" w:rsidRPr="00782670" w:rsidRDefault="00D83D41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06EEC" w:rsidRPr="00782670" w14:paraId="264E0612" w14:textId="77777777" w:rsidTr="007D742C">
        <w:trPr>
          <w:trHeight w:val="405"/>
        </w:trPr>
        <w:tc>
          <w:tcPr>
            <w:tcW w:w="2411" w:type="dxa"/>
            <w:vMerge/>
          </w:tcPr>
          <w:p w14:paraId="1A8AE31B" w14:textId="77777777" w:rsidR="00106EEC" w:rsidRPr="004C3332" w:rsidRDefault="00106EEC" w:rsidP="00106EEC">
            <w:pPr>
              <w:spacing w:after="120"/>
              <w:ind w:left="306" w:hanging="3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5D373768" w14:textId="014A3EDF" w:rsidR="00106EEC" w:rsidRPr="00782670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 Ar sprendžiama problema suformuluota aiškiai / suprantamai ne srities specialistui?</w:t>
            </w:r>
          </w:p>
        </w:tc>
        <w:tc>
          <w:tcPr>
            <w:tcW w:w="850" w:type="dxa"/>
          </w:tcPr>
          <w:p w14:paraId="432F41BC" w14:textId="4353E0DF" w:rsidR="00106EEC" w:rsidRPr="00782670" w:rsidRDefault="00024B53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431881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BB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2A557E41" w14:textId="06F9908F" w:rsidR="00106EEC" w:rsidRPr="00782670" w:rsidRDefault="00024B53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2643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82670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2CD9458D" w14:textId="7949ADFF" w:rsidR="00106EEC" w:rsidRPr="00782670" w:rsidRDefault="00106EEC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6EEC" w:rsidRPr="00782670" w14:paraId="7CB97832" w14:textId="7C804C9A" w:rsidTr="007D742C">
        <w:trPr>
          <w:trHeight w:val="300"/>
        </w:trPr>
        <w:tc>
          <w:tcPr>
            <w:tcW w:w="2411" w:type="dxa"/>
            <w:vMerge w:val="restart"/>
          </w:tcPr>
          <w:p w14:paraId="24CB031D" w14:textId="6891B28D" w:rsidR="00106EEC" w:rsidRPr="004E18B0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ind w:left="306" w:hanging="3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Problemos mastas ir priežastys</w:t>
            </w:r>
          </w:p>
        </w:tc>
        <w:tc>
          <w:tcPr>
            <w:tcW w:w="6379" w:type="dxa"/>
          </w:tcPr>
          <w:p w14:paraId="4E236958" w14:textId="2316B7B2" w:rsidR="00106EEC" w:rsidRPr="00782670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 Ar pateikti duomenys</w:t>
            </w:r>
            <w:r w:rsidR="006B2358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/ ar argumentai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įrodantys problemos egzistavimą?</w:t>
            </w:r>
          </w:p>
        </w:tc>
        <w:tc>
          <w:tcPr>
            <w:tcW w:w="850" w:type="dxa"/>
          </w:tcPr>
          <w:p w14:paraId="3B0997DE" w14:textId="256B04F3" w:rsidR="00106EEC" w:rsidRPr="00782670" w:rsidRDefault="00024B53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5275235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5BE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68840A06" w14:textId="7A140506" w:rsidR="00106EEC" w:rsidRPr="00782670" w:rsidRDefault="00024B53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1873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82670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6107BB2A" w14:textId="471F5CDE" w:rsidR="00106EEC" w:rsidRPr="00782670" w:rsidRDefault="00782670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Pateikti duomenys ir argumentai tinkamai atskleidžia problemą. </w:t>
            </w:r>
          </w:p>
        </w:tc>
      </w:tr>
      <w:tr w:rsidR="00106EEC" w:rsidRPr="00782670" w14:paraId="6D7D6BAE" w14:textId="77777777" w:rsidTr="007D742C">
        <w:trPr>
          <w:trHeight w:val="300"/>
        </w:trPr>
        <w:tc>
          <w:tcPr>
            <w:tcW w:w="2411" w:type="dxa"/>
            <w:vMerge/>
          </w:tcPr>
          <w:p w14:paraId="1B1FEC71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FF1C809" w14:textId="664A5C1E" w:rsidR="00106EEC" w:rsidRPr="00782670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="006B2358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Ar pateikti duomenys parodantys problemos mastą?</w:t>
            </w:r>
          </w:p>
        </w:tc>
        <w:tc>
          <w:tcPr>
            <w:tcW w:w="850" w:type="dxa"/>
          </w:tcPr>
          <w:p w14:paraId="2915DE90" w14:textId="2E71A009" w:rsidR="00106EEC" w:rsidRPr="00782670" w:rsidRDefault="00024B53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63525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5BE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0993EFCB" w14:textId="4707F80E" w:rsidR="00106EEC" w:rsidRPr="00782670" w:rsidRDefault="00024B53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86231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82670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B62EF27" w14:textId="1C0D8B46" w:rsidR="00106EEC" w:rsidRPr="00782670" w:rsidRDefault="00782670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7E25BE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roblem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7E25BE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mastas </w:t>
            </w:r>
            <w:r w:rsidR="007E25BE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pagrįsta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7E25BE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kiekybiniais duomenimis.</w:t>
            </w:r>
          </w:p>
        </w:tc>
      </w:tr>
      <w:tr w:rsidR="00106EEC" w:rsidRPr="00782670" w14:paraId="0F6930F2" w14:textId="77777777" w:rsidTr="00CF7647">
        <w:trPr>
          <w:trHeight w:val="552"/>
        </w:trPr>
        <w:tc>
          <w:tcPr>
            <w:tcW w:w="2411" w:type="dxa"/>
            <w:vMerge/>
          </w:tcPr>
          <w:p w14:paraId="330B313D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F6CBE8F" w14:textId="5ECB8D35" w:rsidR="00106EEC" w:rsidRPr="00782670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="006B2358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Ar nurodytos problemos vystymosi tendencijos?</w:t>
            </w:r>
          </w:p>
        </w:tc>
        <w:tc>
          <w:tcPr>
            <w:tcW w:w="850" w:type="dxa"/>
          </w:tcPr>
          <w:p w14:paraId="3F8700CC" w14:textId="77777777" w:rsidR="00106EEC" w:rsidRPr="00782670" w:rsidRDefault="00024B53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75302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82670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19D76625" w14:textId="41981195" w:rsidR="00106EEC" w:rsidRPr="00782670" w:rsidRDefault="00024B53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1096962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5BE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77764605" w14:textId="3D392427" w:rsidR="00106EEC" w:rsidRPr="00782670" w:rsidRDefault="007E25BE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Problemos vystymosi tendencij</w:t>
            </w:r>
            <w:r w:rsid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2279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nurodytos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tačiau </w:t>
            </w:r>
            <w:r w:rsidR="002279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pateiktos informacijos </w:t>
            </w:r>
            <w:r w:rsid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darytina prielaida, 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kad</w:t>
            </w:r>
            <w:r w:rsidR="002279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nekeičiant </w:t>
            </w:r>
            <w:r w:rsid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teisinio 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reguliavimo</w:t>
            </w:r>
            <w:r w:rsidR="002279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C702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problem</w:t>
            </w:r>
            <w:r w:rsidR="002279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C702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279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liks neišspręsta.</w:t>
            </w:r>
          </w:p>
        </w:tc>
      </w:tr>
      <w:tr w:rsidR="00106EEC" w:rsidRPr="00782670" w14:paraId="0D174171" w14:textId="77777777" w:rsidTr="007D742C">
        <w:trPr>
          <w:trHeight w:val="300"/>
        </w:trPr>
        <w:tc>
          <w:tcPr>
            <w:tcW w:w="2411" w:type="dxa"/>
            <w:vMerge/>
          </w:tcPr>
          <w:p w14:paraId="7F98DB1B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676E802D" w14:textId="73FAACBA" w:rsidR="00106EEC" w:rsidRPr="00782670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="006B2358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Ar nurodyti problemos atsiradimą  lėmę veiksniai ir aplinkybės?</w:t>
            </w:r>
          </w:p>
        </w:tc>
        <w:tc>
          <w:tcPr>
            <w:tcW w:w="850" w:type="dxa"/>
          </w:tcPr>
          <w:p w14:paraId="1A593F33" w14:textId="75940A14" w:rsidR="00106EEC" w:rsidRPr="00782670" w:rsidRDefault="00024B53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7974200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5BE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1538387C" w14:textId="6CDA3621" w:rsidR="00106EEC" w:rsidRPr="00782670" w:rsidRDefault="00024B53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22256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82670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28DBA35F" w14:textId="14F4E586" w:rsidR="00106EEC" w:rsidRPr="00782670" w:rsidRDefault="00227993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Nurodytos priežastys, lėmusios problemos atsiradimą. </w:t>
            </w:r>
            <w:r w:rsidRPr="00D15C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Atkreiptinas dėmesys, kad ne visos iš pateiktų priežasčių gali būti pašalintos tobulinant teisinį reguliavimą ir bus reikalingi kiti sprendimai</w:t>
            </w:r>
            <w:r w:rsidR="00F8123E" w:rsidRPr="00D15C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dažnai susiję su papildomo finansavimo poreikiu</w:t>
            </w:r>
            <w:r w:rsidRPr="00D15C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(pavyzdžiui, pritaikant mokyklų </w:t>
            </w:r>
            <w:r w:rsidR="00F8123E" w:rsidRPr="00D15C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infrastruktūrą </w:t>
            </w:r>
            <w:r w:rsidRPr="00D15C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neįgaliems ir SUP turintiems mokiniams)</w:t>
            </w:r>
            <w:r w:rsidR="00E16E88" w:rsidRPr="00D15C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06EEC" w:rsidRPr="00782670" w14:paraId="29019D7E" w14:textId="00A4178C" w:rsidTr="007D742C">
        <w:trPr>
          <w:trHeight w:val="473"/>
        </w:trPr>
        <w:tc>
          <w:tcPr>
            <w:tcW w:w="2411" w:type="dxa"/>
            <w:vMerge w:val="restart"/>
          </w:tcPr>
          <w:p w14:paraId="770EF0A6" w14:textId="201A9564" w:rsidR="00106EEC" w:rsidRPr="004E18B0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Rezultatas, kurio tikimasi priėmus teisės aktą</w:t>
            </w:r>
          </w:p>
        </w:tc>
        <w:tc>
          <w:tcPr>
            <w:tcW w:w="6379" w:type="dxa"/>
          </w:tcPr>
          <w:p w14:paraId="28C4D04B" w14:textId="51DE4C14" w:rsidR="00106EEC" w:rsidRPr="00782670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 Ar nurodytas konkretus laukiamas pokytis, kurio tikimasi įgyvendinus teisės aktą?</w:t>
            </w:r>
          </w:p>
        </w:tc>
        <w:tc>
          <w:tcPr>
            <w:tcW w:w="850" w:type="dxa"/>
          </w:tcPr>
          <w:p w14:paraId="079E3020" w14:textId="1C9EBDBD" w:rsidR="00106EEC" w:rsidRPr="00782670" w:rsidRDefault="00024B53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166556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5BE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7FDB6EF6" w14:textId="5AA8F458" w:rsidR="00106EEC" w:rsidRPr="00782670" w:rsidRDefault="00024B53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63394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82670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32280ECE" w14:textId="6840E264" w:rsidR="00106EEC" w:rsidRPr="00782670" w:rsidRDefault="00846C46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7E25BE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urodyt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7E25BE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konkret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</w:t>
            </w:r>
            <w:r w:rsidR="007E25BE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siekiam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7E25BE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rezultata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7E25BE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76D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Tačiau </w:t>
            </w:r>
            <w:r w:rsidR="00441DAC" w:rsidRPr="00E76D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visais atvejais </w:t>
            </w:r>
            <w:r w:rsidRPr="00E76D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pateiktas aiškus planuojamų rezultatų pagrindimas ir prielaidos, kuriomis remiamasi, todėl </w:t>
            </w:r>
            <w:r w:rsidRPr="00E76D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sudėtinga įvertinti, ar nurodyti rezultatai gali būti pasiekti 2025 m.</w:t>
            </w:r>
            <w:r w:rsidR="00441DAC" w:rsidRPr="00E76D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Priežastinis ryšys </w:t>
            </w:r>
            <w:r w:rsidRPr="00E76D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tarp </w:t>
            </w:r>
            <w:r w:rsidR="00441D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negalią ir SUP turinčių vaikų ugdymo bendrosios paskirties mokyklose </w:t>
            </w:r>
            <w:r w:rsidRPr="00767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mokinių pasiekimų augimo (PISA tyrimas) neatrodo pakankamai pagrįst</w:t>
            </w:r>
            <w:r w:rsidR="00767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767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s.</w:t>
            </w:r>
            <w:r w:rsidR="00441D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06EEC" w:rsidRPr="00782670" w14:paraId="028BE42F" w14:textId="77777777" w:rsidTr="007D742C">
        <w:trPr>
          <w:trHeight w:val="472"/>
        </w:trPr>
        <w:tc>
          <w:tcPr>
            <w:tcW w:w="2411" w:type="dxa"/>
            <w:vMerge/>
          </w:tcPr>
          <w:p w14:paraId="0BB9AE6B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52A6F7EB" w14:textId="1AB7741A" w:rsidR="00106EEC" w:rsidRPr="00782670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3.2. Ar siekiamas pokytis, jeigu galima, išreikštas kiekybiškai (nurodyti siekiamo rezultato rodikliai)? </w:t>
            </w:r>
          </w:p>
        </w:tc>
        <w:tc>
          <w:tcPr>
            <w:tcW w:w="850" w:type="dxa"/>
          </w:tcPr>
          <w:p w14:paraId="7FD8480F" w14:textId="770B75BA" w:rsidR="00106EEC" w:rsidRPr="00782670" w:rsidRDefault="00024B53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254401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262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6A81CCF5" w14:textId="27515EE3" w:rsidR="00106EEC" w:rsidRPr="00782670" w:rsidRDefault="00024B53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7963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82670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10A0C400" w14:textId="7A32A29C" w:rsidR="00106EEC" w:rsidRPr="00782670" w:rsidRDefault="00054262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Siekiam</w:t>
            </w:r>
            <w:r w:rsidR="004302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poky</w:t>
            </w:r>
            <w:r w:rsidR="004302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čiai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išreikšt</w:t>
            </w:r>
            <w:r w:rsidR="004302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kiekybiškai</w:t>
            </w:r>
            <w:r w:rsidR="00846C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846C46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</w:t>
            </w:r>
            <w:r w:rsidR="004302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yti</w:t>
            </w:r>
            <w:r w:rsidR="00846C46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konkre</w:t>
            </w:r>
            <w:r w:rsidR="004302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tūs</w:t>
            </w:r>
            <w:r w:rsidR="00846C46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rodikli</w:t>
            </w:r>
            <w:r w:rsidR="00846C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846C46"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įgyvendinimo termin</w:t>
            </w:r>
            <w:r w:rsidR="004302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767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06EEC" w:rsidRPr="00782670" w14:paraId="42B2098F" w14:textId="45CCD079" w:rsidTr="001C0A4C">
        <w:trPr>
          <w:trHeight w:val="274"/>
        </w:trPr>
        <w:tc>
          <w:tcPr>
            <w:tcW w:w="2411" w:type="dxa"/>
            <w:vMerge w:val="restart"/>
            <w:shd w:val="clear" w:color="auto" w:fill="auto"/>
          </w:tcPr>
          <w:p w14:paraId="3E03B541" w14:textId="35303ED2" w:rsidR="00106EEC" w:rsidRPr="003E5851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Problemai spręsti svarstytos  alternatyvos</w:t>
            </w:r>
          </w:p>
        </w:tc>
        <w:tc>
          <w:tcPr>
            <w:tcW w:w="6379" w:type="dxa"/>
          </w:tcPr>
          <w:p w14:paraId="01FF1A75" w14:textId="2465C2AB" w:rsidR="00106EEC" w:rsidRPr="00782670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Ar nurodytos kitos svarstytos problemos sprendimo alternatyvos (įskaitant </w:t>
            </w:r>
            <w:proofErr w:type="spellStart"/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nereguliavimo</w:t>
            </w:r>
            <w:proofErr w:type="spellEnd"/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alternatyvas)?</w:t>
            </w:r>
          </w:p>
        </w:tc>
        <w:tc>
          <w:tcPr>
            <w:tcW w:w="850" w:type="dxa"/>
          </w:tcPr>
          <w:p w14:paraId="0589D8A7" w14:textId="42A34A66" w:rsidR="00106EEC" w:rsidRPr="00782670" w:rsidRDefault="00024B53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2252993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262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56E9ACAB" w14:textId="14493F1C" w:rsidR="00106EEC" w:rsidRPr="00782670" w:rsidRDefault="00024B53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34244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82670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5D669CEA" w14:textId="12968F98" w:rsidR="00106EEC" w:rsidRPr="00782670" w:rsidRDefault="00054262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nurodytos </w:t>
            </w:r>
            <w:r w:rsidR="00846C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aprašytos keturios 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problemos sprendimo alternatyvos.</w:t>
            </w:r>
          </w:p>
        </w:tc>
      </w:tr>
      <w:tr w:rsidR="00106EEC" w:rsidRPr="00782670" w14:paraId="3D9C6393" w14:textId="77777777" w:rsidTr="00614C8F">
        <w:trPr>
          <w:trHeight w:val="2347"/>
        </w:trPr>
        <w:tc>
          <w:tcPr>
            <w:tcW w:w="2411" w:type="dxa"/>
            <w:vMerge/>
            <w:shd w:val="clear" w:color="auto" w:fill="auto"/>
          </w:tcPr>
          <w:p w14:paraId="4327161E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046B6BB4" w14:textId="6E1C4E16" w:rsidR="00106EEC" w:rsidRPr="00782670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4.2. Ar paaiškinta</w:t>
            </w:r>
            <w:r w:rsidR="00001818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argumentuota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kodėl jos atmestos?</w:t>
            </w:r>
          </w:p>
        </w:tc>
        <w:tc>
          <w:tcPr>
            <w:tcW w:w="850" w:type="dxa"/>
          </w:tcPr>
          <w:p w14:paraId="53AD0B71" w14:textId="7080FEED" w:rsidR="00106EEC" w:rsidRPr="00782670" w:rsidRDefault="00024B53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823820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262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280F9323" w14:textId="309CCDA9" w:rsidR="00106EEC" w:rsidRPr="00782670" w:rsidRDefault="00024B53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1156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82670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788C68C6" w14:textId="1B7192DB" w:rsidR="00106EEC" w:rsidRPr="00782670" w:rsidRDefault="00FF682C" w:rsidP="00E16E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ateikti argumentai, kuriais remiantis atmest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alternatyva („Status quo“)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alternatyva („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Ūkio išlaikymo kaštų perdavimas savivaldybėms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4 alternatyva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nereguliavimo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alternatyva). Atkreiptinas dėmesys, kad pasirinkta alternatyva („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Įtraukties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švietime principo taikymas“) </w:t>
            </w:r>
            <w:r w:rsidRPr="00487A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aprašyta tik iš neįgaliųjų  ir SUP turinčių vaikų perspektyvos</w:t>
            </w:r>
            <w:r w:rsidR="00004001" w:rsidRPr="00487A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0040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nors praktinis šio principo taikymas turės gilesnes</w:t>
            </w:r>
            <w:r w:rsidR="00487A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ir, tikėtina, nevienareikšmes</w:t>
            </w:r>
            <w:r w:rsidR="000040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pasekmes švietimo sistemai.</w:t>
            </w:r>
          </w:p>
        </w:tc>
      </w:tr>
      <w:tr w:rsidR="00106EEC" w:rsidRPr="00782670" w14:paraId="7A564205" w14:textId="449EB531" w:rsidTr="007D742C">
        <w:trPr>
          <w:trHeight w:val="410"/>
        </w:trPr>
        <w:tc>
          <w:tcPr>
            <w:tcW w:w="2411" w:type="dxa"/>
            <w:vMerge w:val="restart"/>
          </w:tcPr>
          <w:p w14:paraId="016270AB" w14:textId="01CF5BF7" w:rsidR="00106EEC" w:rsidRPr="004E18B0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Siūlomos priemonės problemai spręsti</w:t>
            </w:r>
          </w:p>
        </w:tc>
        <w:tc>
          <w:tcPr>
            <w:tcW w:w="6379" w:type="dxa"/>
          </w:tcPr>
          <w:p w14:paraId="416A10F8" w14:textId="15A19380" w:rsidR="00106EEC" w:rsidRPr="00782670" w:rsidRDefault="00106EEC" w:rsidP="00106EE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8267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5.1. Ar siūlomos priemonės problemai spręsti nurodytos trumpai ir aiškiai?</w:t>
            </w:r>
          </w:p>
        </w:tc>
        <w:tc>
          <w:tcPr>
            <w:tcW w:w="850" w:type="dxa"/>
          </w:tcPr>
          <w:p w14:paraId="5BFC0F70" w14:textId="5E8051B0" w:rsidR="00106EEC" w:rsidRPr="00782670" w:rsidRDefault="00024B53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91619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CB0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42BE19BD" w14:textId="7C47EFCC" w:rsidR="00106EEC" w:rsidRPr="00782670" w:rsidRDefault="00024B53" w:rsidP="00106EE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37912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0D9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38F4796F" w14:textId="0EE0D679" w:rsidR="00106EEC" w:rsidRPr="00782670" w:rsidRDefault="00004001" w:rsidP="00C702C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</w:t>
            </w: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riemonės problemai spręsti aprašytos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</w:t>
            </w: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rumpai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ir aiškiai</w:t>
            </w: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Tačiau, atsižvelgiant į tai, kad daugelis įstatymo nuostatų įsigaliotų tik 2024 m., kyla tam tikrų abejonių ar anksčiau nurodyti įstatymo įgyvendinimo rezultatai 2025 m. yra pakankamai pagrįsti.</w:t>
            </w:r>
            <w:r w:rsidR="003160D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Tokių pačių abejonių kelia ir memorandumas dėl mokyklų ir sveikatos priežiūros įstaigų pritaikymo negalią turintiems asmenims, kuris numato kasmet kiekvienoje savivaldybėje pritaikyti mažiausiai po vieną mokyklą</w:t>
            </w:r>
            <w:r w:rsidR="00614C8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 nes tokie mokyklų pertvarkymo tempai ne</w:t>
            </w:r>
            <w:r w:rsidR="00F73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atrodo </w:t>
            </w:r>
            <w:r w:rsidR="00614C8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pakankami siekiant nurodytų tikslų.</w:t>
            </w:r>
          </w:p>
          <w:p w14:paraId="179A0021" w14:textId="11B7866D" w:rsidR="004C0CB0" w:rsidRPr="00782670" w:rsidRDefault="003160D9" w:rsidP="00C702C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670F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Detalus papildomo finansavimo pagrindimas </w:t>
            </w:r>
            <w:r w:rsidR="004C0CB0" w:rsidRPr="007670F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turėtų būti </w:t>
            </w:r>
            <w:r w:rsidR="00F731CF" w:rsidRPr="007670F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pateiktas </w:t>
            </w:r>
            <w:r w:rsidR="004C0CB0" w:rsidRPr="007670F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„Apibendrinto poveikio vertinimo rezultatų“ </w:t>
            </w:r>
            <w:r w:rsidRPr="007670F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skilt</w:t>
            </w:r>
            <w:r w:rsidR="00F731CF" w:rsidRPr="007670F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yje</w:t>
            </w:r>
            <w:r w:rsidRPr="007670F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106EEC" w:rsidRPr="00782670" w14:paraId="64D56DED" w14:textId="77777777" w:rsidTr="007D742C">
        <w:trPr>
          <w:trHeight w:val="410"/>
        </w:trPr>
        <w:tc>
          <w:tcPr>
            <w:tcW w:w="2411" w:type="dxa"/>
            <w:vMerge/>
          </w:tcPr>
          <w:p w14:paraId="02D9C574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68E7E0BA" w14:textId="7D807754" w:rsidR="00106EEC" w:rsidRPr="00782670" w:rsidRDefault="00106EEC" w:rsidP="00106EE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8267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5.2. Ar pasiūlytos priemonės </w:t>
            </w:r>
            <w:r w:rsidR="00200F91" w:rsidRPr="0078267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sprendžia</w:t>
            </w:r>
            <w:r w:rsidR="00A026C6" w:rsidRPr="0078267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78267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problem</w:t>
            </w:r>
            <w:r w:rsidR="00200F91" w:rsidRPr="0078267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ą</w:t>
            </w:r>
            <w:r w:rsidRPr="0078267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?</w:t>
            </w:r>
          </w:p>
        </w:tc>
        <w:tc>
          <w:tcPr>
            <w:tcW w:w="850" w:type="dxa"/>
          </w:tcPr>
          <w:p w14:paraId="7F7D93B2" w14:textId="29158E0D" w:rsidR="00106EEC" w:rsidRPr="00782670" w:rsidRDefault="00024B53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1281604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EB6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22A53CA1" w14:textId="0F9822B5" w:rsidR="00106EEC" w:rsidRPr="00782670" w:rsidRDefault="00024B53" w:rsidP="00106EE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0446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82670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3813A609" w14:textId="29A84EA8" w:rsidR="00917EB6" w:rsidRPr="00782670" w:rsidRDefault="003160D9" w:rsidP="00C702C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Pasiūlytos </w:t>
            </w:r>
            <w:r w:rsidR="00FB365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teisinio reguliavimo </w:t>
            </w: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priemonės yra tinkamos</w:t>
            </w:r>
            <w:r w:rsidR="00FB365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 bet nepakankamos</w:t>
            </w: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iš</w:t>
            </w: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spręsti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nurodytą</w:t>
            </w:r>
            <w:r w:rsidRPr="002102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problemą</w:t>
            </w:r>
            <w:r w:rsidR="00FB365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  <w:r w:rsidR="00FB365B" w:rsidRPr="007670F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</w:t>
            </w:r>
            <w:r w:rsidRPr="007670F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ūtini kompleksiški sprendimai, </w:t>
            </w:r>
            <w:r w:rsidR="00FB365B" w:rsidRPr="007670F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be kita ko, pareikalausiantys didel</w:t>
            </w:r>
            <w:r w:rsidR="00614C8F" w:rsidRPr="007670F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ės apimties</w:t>
            </w:r>
            <w:r w:rsidR="00FB365B" w:rsidRPr="007670F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papildomo finansavimo.</w:t>
            </w:r>
          </w:p>
        </w:tc>
      </w:tr>
      <w:tr w:rsidR="00106EEC" w:rsidRPr="00782670" w14:paraId="110EB289" w14:textId="0A03B7FA" w:rsidTr="007D742C">
        <w:trPr>
          <w:trHeight w:val="411"/>
        </w:trPr>
        <w:tc>
          <w:tcPr>
            <w:tcW w:w="2411" w:type="dxa"/>
            <w:vMerge w:val="restart"/>
          </w:tcPr>
          <w:p w14:paraId="43258119" w14:textId="3FCC9BAC" w:rsidR="00106EEC" w:rsidRPr="004E18B0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Tikslinės grupės, kurias gali paveikti teisės akto įgyvendinimas</w:t>
            </w:r>
          </w:p>
        </w:tc>
        <w:tc>
          <w:tcPr>
            <w:tcW w:w="6379" w:type="dxa"/>
          </w:tcPr>
          <w:p w14:paraId="0071A5B1" w14:textId="6AFE09DD" w:rsidR="00106EEC" w:rsidRPr="00782670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6.1. Ar įvardintos konkrečios tikslinės grupės, kurias tiesiogiai </w:t>
            </w:r>
            <w:r w:rsidR="00180ACD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/ ar netiesiogiai 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paveiks siūlomas reguliavimas?</w:t>
            </w:r>
          </w:p>
        </w:tc>
        <w:tc>
          <w:tcPr>
            <w:tcW w:w="850" w:type="dxa"/>
          </w:tcPr>
          <w:p w14:paraId="05B09531" w14:textId="6754A1D2" w:rsidR="00106EEC" w:rsidRPr="00782670" w:rsidRDefault="00024B53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602495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0BB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7C95BA32" w14:textId="62583C3C" w:rsidR="00106EEC" w:rsidRPr="00782670" w:rsidRDefault="00024B53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79532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82670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4BB597F5" w14:textId="221A6519" w:rsidR="00106EEC" w:rsidRPr="00782670" w:rsidRDefault="002450BB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 įvardintos grupės, kurias</w:t>
            </w:r>
            <w:r w:rsidR="00FB36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tiesiogiai ar netiesiogiai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paveiks siūlomas </w:t>
            </w:r>
            <w:r w:rsidR="00000999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reguliavimas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06EEC" w:rsidRPr="00782670" w14:paraId="750071DE" w14:textId="77777777" w:rsidTr="007D742C">
        <w:trPr>
          <w:trHeight w:val="411"/>
        </w:trPr>
        <w:tc>
          <w:tcPr>
            <w:tcW w:w="2411" w:type="dxa"/>
            <w:vMerge/>
          </w:tcPr>
          <w:p w14:paraId="72E7E5C1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7920A283" w14:textId="70A8D51D" w:rsidR="00106EEC" w:rsidRPr="00782670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180ACD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Ar pateiktas vertinimas, kaip siūlomas reguliavimas paveiks kiekvieną iš išvardintų grupių (tiesioginis ir </w:t>
            </w:r>
            <w:r w:rsidR="00180ACD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/ar 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netiesioginis poveikis)</w:t>
            </w:r>
            <w:r w:rsidR="00A026C6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pagrįstas argumentais ir / ar kiekybiniais vertinimais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?</w:t>
            </w:r>
          </w:p>
        </w:tc>
        <w:tc>
          <w:tcPr>
            <w:tcW w:w="850" w:type="dxa"/>
          </w:tcPr>
          <w:p w14:paraId="2AD8291B" w14:textId="254B1080" w:rsidR="00106EEC" w:rsidRPr="00782670" w:rsidRDefault="00024B53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14739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0BB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740777D1" w14:textId="41ADB4D8" w:rsidR="00106EEC" w:rsidRPr="00782670" w:rsidRDefault="00024B53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4039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82670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5D8C936C" w14:textId="2473EB86" w:rsidR="00106EEC" w:rsidRPr="00782670" w:rsidRDefault="00FB365B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Poveiki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tikslinėms grupėms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vertinimas 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daugiausia 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aprašomojo pobūdžio</w:t>
            </w:r>
            <w:r w:rsidR="00614C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14C8F" w:rsidRPr="00767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767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 visais atvejais identifikuotas galimas neigiamas poveikis</w:t>
            </w:r>
            <w:r w:rsidR="00F731CF" w:rsidRPr="00767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tinkamai neįvertintos </w:t>
            </w:r>
            <w:r w:rsidRPr="00767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tam tikros rizikos, kurios kils įgyvendinant numatytus pokyčius.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06EEC" w:rsidRPr="00782670" w14:paraId="22CAB152" w14:textId="10937D4E" w:rsidTr="007D742C">
        <w:trPr>
          <w:trHeight w:val="798"/>
        </w:trPr>
        <w:tc>
          <w:tcPr>
            <w:tcW w:w="2411" w:type="dxa"/>
            <w:vMerge w:val="restart"/>
          </w:tcPr>
          <w:p w14:paraId="5D9B698A" w14:textId="223AE6B5" w:rsidR="00106EEC" w:rsidRPr="004E18B0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Apibendrinti poveikio vertinimo rezultatai</w:t>
            </w:r>
          </w:p>
          <w:p w14:paraId="62AFB9E0" w14:textId="369AAE06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2841CB11" w14:textId="284349D8" w:rsidR="00106EEC" w:rsidRPr="00782670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7.1. </w:t>
            </w:r>
            <w:r w:rsidR="00180ACD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visais reikiamais aspektais įvertintas siūlomo reguliavimo poveikis (teigiamas ir / ar neigiamas)?</w:t>
            </w:r>
          </w:p>
        </w:tc>
        <w:tc>
          <w:tcPr>
            <w:tcW w:w="850" w:type="dxa"/>
          </w:tcPr>
          <w:p w14:paraId="396994AF" w14:textId="4E53608C" w:rsidR="00106EEC" w:rsidRPr="00782670" w:rsidRDefault="00024B53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210286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5B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1B5BB7C4" w14:textId="0B3CC9D7" w:rsidR="00106EEC" w:rsidRPr="00782670" w:rsidRDefault="00024B53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1379942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0BB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53AD103" w14:textId="58B31DC0" w:rsidR="00106EEC" w:rsidRPr="00782670" w:rsidRDefault="00B8497B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7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Apibendrinti poveikio vertinimo rezultatai turėtų būti pateikiami kitu formatu – pagal atskirus poveikio aspektus (poveikis valstybės finansams, </w:t>
            </w:r>
            <w:r w:rsidR="008F3DB6" w:rsidRPr="00767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užimtumui, </w:t>
            </w:r>
            <w:r w:rsidRPr="00767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regionų plėtrai ir t.t.).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F3D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eigiam</w:t>
            </w:r>
            <w:r w:rsidR="008F3D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planuojamų pokyčių poveikis visai švietimo sistemai (pagerės visų vaikų </w:t>
            </w:r>
            <w:r w:rsidR="008F3D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mokymosi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pasiekimai, sumažės </w:t>
            </w:r>
            <w:r w:rsidR="008F3D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šių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pasiekimų </w:t>
            </w:r>
            <w:r w:rsidR="008F3D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regioniniai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skirtumai  ir </w:t>
            </w:r>
            <w:r w:rsidR="00686B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t.t.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.) </w:t>
            </w:r>
            <w:r w:rsidR="00686B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neatrodo pakankamai pagrįstas</w:t>
            </w:r>
            <w:r w:rsidR="00767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686B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67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686B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epakankamai įvertintos su </w:t>
            </w:r>
            <w:r w:rsid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pokyčiais</w:t>
            </w:r>
            <w:r w:rsidR="00686B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susiję rizikos</w:t>
            </w:r>
            <w:r w:rsidR="00767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686B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pvz., teigiama, kad bus papildomai įdarbinta </w:t>
            </w:r>
            <w:r w:rsidR="00686B7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686B71">
              <w:rPr>
                <w:rFonts w:ascii="Times New Roman" w:hAnsi="Times New Roman" w:cs="Times New Roman"/>
                <w:sz w:val="24"/>
                <w:szCs w:val="24"/>
              </w:rPr>
              <w:t>tūkst</w:t>
            </w:r>
            <w:proofErr w:type="spellEnd"/>
            <w:r w:rsidR="00686B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86B71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="0068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B71"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="0068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B71">
              <w:rPr>
                <w:rFonts w:ascii="Times New Roman" w:hAnsi="Times New Roman" w:cs="Times New Roman"/>
                <w:sz w:val="24"/>
                <w:szCs w:val="24"/>
              </w:rPr>
              <w:t>specialistų</w:t>
            </w:r>
            <w:proofErr w:type="spellEnd"/>
            <w:r w:rsidR="00686B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6B71">
              <w:rPr>
                <w:rFonts w:ascii="Times New Roman" w:hAnsi="Times New Roman" w:cs="Times New Roman"/>
                <w:sz w:val="24"/>
                <w:szCs w:val="24"/>
              </w:rPr>
              <w:t>tačiau</w:t>
            </w:r>
            <w:proofErr w:type="spellEnd"/>
            <w:r w:rsidR="0068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B71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="00686B71">
              <w:rPr>
                <w:rFonts w:ascii="Times New Roman" w:hAnsi="Times New Roman" w:cs="Times New Roman"/>
                <w:sz w:val="24"/>
                <w:szCs w:val="24"/>
              </w:rPr>
              <w:t xml:space="preserve"> 2025 m. </w:t>
            </w:r>
            <w:proofErr w:type="spellStart"/>
            <w:r w:rsidR="00F27F80">
              <w:rPr>
                <w:rFonts w:ascii="Times New Roman" w:hAnsi="Times New Roman" w:cs="Times New Roman"/>
                <w:sz w:val="24"/>
                <w:szCs w:val="24"/>
              </w:rPr>
              <w:t>šiuos</w:t>
            </w:r>
            <w:proofErr w:type="spellEnd"/>
            <w:r w:rsidR="00F27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F80">
              <w:rPr>
                <w:rFonts w:ascii="Times New Roman" w:hAnsi="Times New Roman" w:cs="Times New Roman"/>
                <w:sz w:val="24"/>
                <w:szCs w:val="24"/>
              </w:rPr>
              <w:t>specialistus</w:t>
            </w:r>
            <w:proofErr w:type="spellEnd"/>
            <w:r w:rsidR="00767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B71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proofErr w:type="spellEnd"/>
            <w:r w:rsidR="0068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B71">
              <w:rPr>
                <w:rFonts w:ascii="Times New Roman" w:hAnsi="Times New Roman" w:cs="Times New Roman"/>
                <w:sz w:val="24"/>
                <w:szCs w:val="24"/>
              </w:rPr>
              <w:t>reikės</w:t>
            </w:r>
            <w:proofErr w:type="spellEnd"/>
            <w:r w:rsidR="0068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B71">
              <w:rPr>
                <w:rFonts w:ascii="Times New Roman" w:hAnsi="Times New Roman" w:cs="Times New Roman"/>
                <w:sz w:val="24"/>
                <w:szCs w:val="24"/>
              </w:rPr>
              <w:t>paruošti</w:t>
            </w:r>
            <w:proofErr w:type="spellEnd"/>
            <w:r w:rsidR="0068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B7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68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B71">
              <w:rPr>
                <w:rFonts w:ascii="Times New Roman" w:hAnsi="Times New Roman" w:cs="Times New Roman"/>
                <w:sz w:val="24"/>
                <w:szCs w:val="24"/>
              </w:rPr>
              <w:t>sukurti</w:t>
            </w:r>
            <w:proofErr w:type="spellEnd"/>
            <w:r w:rsidR="0068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B71">
              <w:rPr>
                <w:rFonts w:ascii="Times New Roman" w:hAnsi="Times New Roman" w:cs="Times New Roman"/>
                <w:sz w:val="24"/>
                <w:szCs w:val="24"/>
              </w:rPr>
              <w:t>jiems</w:t>
            </w:r>
            <w:proofErr w:type="spellEnd"/>
            <w:r w:rsidR="0068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B71">
              <w:rPr>
                <w:rFonts w:ascii="Times New Roman" w:hAnsi="Times New Roman" w:cs="Times New Roman"/>
                <w:sz w:val="24"/>
                <w:szCs w:val="24"/>
              </w:rPr>
              <w:t>patrauklias</w:t>
            </w:r>
            <w:proofErr w:type="spellEnd"/>
            <w:r w:rsidR="0068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B71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="0068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B71">
              <w:rPr>
                <w:rFonts w:ascii="Times New Roman" w:hAnsi="Times New Roman" w:cs="Times New Roman"/>
                <w:sz w:val="24"/>
                <w:szCs w:val="24"/>
              </w:rPr>
              <w:t>sąlygas</w:t>
            </w:r>
            <w:proofErr w:type="spellEnd"/>
            <w:r w:rsidR="00686B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Poveikis papildomoms valstybės biudžeto lėšoms pateiktas tik 2021-202</w:t>
            </w:r>
            <w:r w:rsidR="00686B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metų laikotarpiui, nors </w:t>
            </w:r>
            <w:r w:rsidR="00686B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akivaizdu, kad nuolatinio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papildomo finansavimo poreikis išliks ir </w:t>
            </w:r>
            <w:r w:rsidR="00686B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vėlesniais metais</w:t>
            </w:r>
            <w:r w:rsid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06EEC" w:rsidRPr="00782670" w14:paraId="03054482" w14:textId="77777777" w:rsidTr="007D742C">
        <w:trPr>
          <w:trHeight w:val="798"/>
        </w:trPr>
        <w:tc>
          <w:tcPr>
            <w:tcW w:w="2411" w:type="dxa"/>
            <w:vMerge/>
          </w:tcPr>
          <w:p w14:paraId="26E557E2" w14:textId="77777777" w:rsidR="00106EEC" w:rsidRPr="004C3332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2B7DBD4E" w14:textId="50F33993" w:rsidR="00106EEC" w:rsidRPr="00782670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  <w:r w:rsidR="00180ACD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Ar vertinimai pagrįsti argumentais ir</w:t>
            </w:r>
            <w:r w:rsidR="00CA10FE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CA10FE"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kiekybiniais duomenimis?</w:t>
            </w:r>
          </w:p>
        </w:tc>
        <w:tc>
          <w:tcPr>
            <w:tcW w:w="850" w:type="dxa"/>
          </w:tcPr>
          <w:p w14:paraId="1EDB6D10" w14:textId="5381B0D5" w:rsidR="00106EEC" w:rsidRPr="00782670" w:rsidRDefault="00024B53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988668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BA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11D4319B" w14:textId="3B0923DA" w:rsidR="00106EEC" w:rsidRPr="00782670" w:rsidRDefault="00024B53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83629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DB4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147FB9BD" w14:textId="12D9D71D" w:rsidR="007562BA" w:rsidRPr="00782670" w:rsidRDefault="007562BA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Argumentai yra labiau aprašomojo pobūdžio</w:t>
            </w:r>
            <w:r w:rsidR="00D14DB4" w:rsidRP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ne visur pakanka</w:t>
            </w:r>
            <w:r w:rsidRP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14DB4" w:rsidRP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P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iekybinio pagrindimo</w:t>
            </w:r>
            <w:r w:rsidR="000B5384" w:rsidRP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D14DB4" w:rsidRP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06EEC" w:rsidRPr="00782670" w14:paraId="777EDEAE" w14:textId="3C7111FE" w:rsidTr="007D742C">
        <w:trPr>
          <w:trHeight w:val="411"/>
        </w:trPr>
        <w:tc>
          <w:tcPr>
            <w:tcW w:w="2411" w:type="dxa"/>
            <w:vMerge w:val="restart"/>
          </w:tcPr>
          <w:p w14:paraId="7BE3EBE9" w14:textId="2970A191" w:rsidR="00106EEC" w:rsidRPr="004E18B0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E1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 apie viešąsias konsultacijas</w:t>
            </w:r>
          </w:p>
        </w:tc>
        <w:tc>
          <w:tcPr>
            <w:tcW w:w="6379" w:type="dxa"/>
          </w:tcPr>
          <w:p w14:paraId="5BFEEFCF" w14:textId="47AB9801" w:rsidR="00106EEC" w:rsidRPr="00782670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8.1. Ar vykdytos viešosios konsultacijos?</w:t>
            </w:r>
          </w:p>
        </w:tc>
        <w:tc>
          <w:tcPr>
            <w:tcW w:w="850" w:type="dxa"/>
          </w:tcPr>
          <w:p w14:paraId="349D77FF" w14:textId="326FB204" w:rsidR="00106EEC" w:rsidRPr="00782670" w:rsidRDefault="00024B53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2847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BA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75389B5A" w14:textId="18114050" w:rsidR="00106EEC" w:rsidRPr="00782670" w:rsidRDefault="00024B53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56927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82670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58CC1610" w14:textId="03581DEB" w:rsidR="00106EEC" w:rsidRPr="00782670" w:rsidRDefault="007562BA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Vykdytos 3 viešosios konsultacijos su neįgaliuosius atstovaujančiomis NVO organizacijomis.</w:t>
            </w:r>
            <w:r w:rsidR="00D14D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Atkreiptinas dėmesys, kad poveikio vertinimo pažymoje išvardinta 10 tikslinių grupių, tačiau konsultuotasi tik su organizacijomis, kurios atstovauja vienos iš tikslinių grupių</w:t>
            </w:r>
            <w:r w:rsid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14D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interesus. Todėl konsultacijos laikytinos vienpusiškomis.</w:t>
            </w:r>
          </w:p>
        </w:tc>
      </w:tr>
      <w:tr w:rsidR="00D14DB4" w:rsidRPr="00782670" w14:paraId="08B8E723" w14:textId="77777777" w:rsidTr="007D742C">
        <w:trPr>
          <w:trHeight w:val="411"/>
        </w:trPr>
        <w:tc>
          <w:tcPr>
            <w:tcW w:w="2411" w:type="dxa"/>
            <w:vMerge/>
          </w:tcPr>
          <w:p w14:paraId="6312A74D" w14:textId="77777777" w:rsidR="00D14DB4" w:rsidRPr="004C3332" w:rsidRDefault="00D14DB4" w:rsidP="00D14DB4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3DA3A574" w14:textId="0EE8BE4A" w:rsidR="00D14DB4" w:rsidRPr="00782670" w:rsidRDefault="00D14DB4" w:rsidP="00D14DB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8.2. Ar pateikti apibendrinti viešųjų konsultacijų rezultatai (konsultacijų tikslas, su kuo konsultuotasi, paaiškinama, kaip konsultacijų rezultatai panaudoti rengiant teisės akto projektą ar jo galimo poveikio įvertinimą) ?</w:t>
            </w:r>
          </w:p>
        </w:tc>
        <w:tc>
          <w:tcPr>
            <w:tcW w:w="850" w:type="dxa"/>
          </w:tcPr>
          <w:p w14:paraId="7C3392E4" w14:textId="73096A50" w:rsidR="00D14DB4" w:rsidRPr="00782670" w:rsidRDefault="00024B53" w:rsidP="00D14DB4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7764033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DB4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D14DB4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4A0F2B7B" w14:textId="1D185570" w:rsidR="00D14DB4" w:rsidRPr="00782670" w:rsidRDefault="00024B53" w:rsidP="00D14DB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48917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DB4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D14DB4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4303ED71" w14:textId="0CC8415F" w:rsidR="00D14DB4" w:rsidRPr="00782670" w:rsidRDefault="00D14DB4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apibendrinti viešųjų konsultacijų rezultatai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bet </w:t>
            </w:r>
            <w:r w:rsidR="009F32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pateiktos informacijos darytina prielaida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kad buvo konsultuotasi tik dėl vieno Švietimo įstatymo straipsnio. </w:t>
            </w:r>
          </w:p>
        </w:tc>
      </w:tr>
      <w:tr w:rsidR="00D14DB4" w:rsidRPr="00782670" w14:paraId="29231C7F" w14:textId="28774705" w:rsidTr="007D742C">
        <w:trPr>
          <w:trHeight w:val="370"/>
        </w:trPr>
        <w:tc>
          <w:tcPr>
            <w:tcW w:w="2411" w:type="dxa"/>
            <w:vMerge/>
          </w:tcPr>
          <w:p w14:paraId="2766F495" w14:textId="77777777" w:rsidR="00D14DB4" w:rsidRPr="004C3332" w:rsidRDefault="00D14DB4" w:rsidP="00D14DB4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2DF96D6" w14:textId="412716AD" w:rsidR="00D14DB4" w:rsidRPr="00782670" w:rsidRDefault="00D14DB4" w:rsidP="00D14DB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8.3. Ar pateikiamas argumentuotas paaiškinimas, kodėl nevykdytos viešosios konsultacijos?</w:t>
            </w:r>
          </w:p>
        </w:tc>
        <w:tc>
          <w:tcPr>
            <w:tcW w:w="850" w:type="dxa"/>
          </w:tcPr>
          <w:p w14:paraId="58164220" w14:textId="77777777" w:rsidR="00D14DB4" w:rsidRPr="00782670" w:rsidRDefault="00024B53" w:rsidP="00D14DB4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86120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DB4" w:rsidRPr="00782670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D14DB4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571A9623" w14:textId="68F3A143" w:rsidR="00D14DB4" w:rsidRPr="00782670" w:rsidRDefault="00024B53" w:rsidP="00D14DB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26653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DB4" w:rsidRPr="00782670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D14DB4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2EC512E" w14:textId="3131BCB1" w:rsidR="00D14DB4" w:rsidRPr="00782670" w:rsidRDefault="00D14DB4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D14DB4" w:rsidRPr="00782670" w14:paraId="539DD32D" w14:textId="77777777" w:rsidTr="007D742C">
        <w:trPr>
          <w:trHeight w:val="370"/>
        </w:trPr>
        <w:tc>
          <w:tcPr>
            <w:tcW w:w="2411" w:type="dxa"/>
            <w:vMerge w:val="restart"/>
          </w:tcPr>
          <w:p w14:paraId="79BCFAD6" w14:textId="0A72C830" w:rsidR="00D14DB4" w:rsidRPr="001C0A4C" w:rsidRDefault="00D14DB4" w:rsidP="00D14DB4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C0A4C">
              <w:rPr>
                <w:rFonts w:ascii="Times New Roman" w:hAnsi="Times New Roman" w:cs="Times New Roman"/>
                <w:b/>
                <w:bCs/>
                <w:lang w:val="lt-LT"/>
              </w:rPr>
              <w:t>Bendrieji reikalavimai kokybei</w:t>
            </w:r>
          </w:p>
        </w:tc>
        <w:tc>
          <w:tcPr>
            <w:tcW w:w="6379" w:type="dxa"/>
          </w:tcPr>
          <w:p w14:paraId="5E56BAD3" w14:textId="29DFF9F6" w:rsidR="00D14DB4" w:rsidRPr="00782670" w:rsidRDefault="00D14DB4" w:rsidP="00D14DB4">
            <w:pPr>
              <w:pStyle w:val="ListParagraph"/>
              <w:numPr>
                <w:ilvl w:val="1"/>
                <w:numId w:val="1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 kalba aiški, lengvai suprantama ne srities specialistui?</w:t>
            </w:r>
          </w:p>
          <w:p w14:paraId="475F76D2" w14:textId="4D396764" w:rsidR="00D14DB4" w:rsidRPr="00782670" w:rsidRDefault="00D14DB4" w:rsidP="00D14DB4">
            <w:pPr>
              <w:pStyle w:val="ListParagraph"/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56A2F2C3" w14:textId="64370CCA" w:rsidR="00D14DB4" w:rsidRPr="00782670" w:rsidRDefault="00024B53" w:rsidP="00D14DB4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382337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DB4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D14DB4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345E3766" w14:textId="44480213" w:rsidR="00D14DB4" w:rsidRPr="00782670" w:rsidRDefault="00024B53" w:rsidP="00D14DB4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73189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DB4" w:rsidRPr="00782670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D14DB4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1D80071E" w14:textId="79807FCC" w:rsidR="00D14DB4" w:rsidRPr="00782670" w:rsidRDefault="00D14DB4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14DB4" w:rsidRPr="00782670" w14:paraId="4E2C7632" w14:textId="77777777" w:rsidTr="007D742C">
        <w:trPr>
          <w:trHeight w:val="370"/>
        </w:trPr>
        <w:tc>
          <w:tcPr>
            <w:tcW w:w="2411" w:type="dxa"/>
            <w:vMerge/>
          </w:tcPr>
          <w:p w14:paraId="19B8408C" w14:textId="77777777" w:rsidR="00D14DB4" w:rsidRDefault="00D14DB4" w:rsidP="00D14DB4">
            <w:pPr>
              <w:pStyle w:val="ListParagraph"/>
              <w:spacing w:after="120"/>
              <w:ind w:left="360"/>
              <w:rPr>
                <w:b/>
                <w:bCs/>
                <w:lang w:val="lt-LT"/>
              </w:rPr>
            </w:pPr>
          </w:p>
        </w:tc>
        <w:tc>
          <w:tcPr>
            <w:tcW w:w="6379" w:type="dxa"/>
          </w:tcPr>
          <w:p w14:paraId="720B08C5" w14:textId="04A8F581" w:rsidR="00D14DB4" w:rsidRPr="00782670" w:rsidRDefault="00D14DB4" w:rsidP="00D14DB4">
            <w:pPr>
              <w:pStyle w:val="ListParagraph"/>
              <w:numPr>
                <w:ilvl w:val="1"/>
                <w:numId w:val="1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2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 dėstymas logiškas, naudojami argumentai suprantami? </w:t>
            </w:r>
          </w:p>
        </w:tc>
        <w:tc>
          <w:tcPr>
            <w:tcW w:w="850" w:type="dxa"/>
          </w:tcPr>
          <w:p w14:paraId="6D25C6DA" w14:textId="2A2E4BB2" w:rsidR="00D14DB4" w:rsidRPr="00782670" w:rsidRDefault="00024B53" w:rsidP="00D14DB4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764800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DB4" w:rsidRPr="00782670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D14DB4" w:rsidRPr="00782670">
              <w:rPr>
                <w:sz w:val="18"/>
                <w:szCs w:val="18"/>
                <w:lang w:val="lt-LT"/>
              </w:rPr>
              <w:t xml:space="preserve"> Taip</w:t>
            </w:r>
          </w:p>
          <w:p w14:paraId="2C5C5F89" w14:textId="5D4A792D" w:rsidR="00D14DB4" w:rsidRPr="00782670" w:rsidRDefault="00024B53" w:rsidP="00D14DB4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75801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DB4" w:rsidRPr="00782670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D14DB4" w:rsidRPr="00782670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6EC9C8E2" w14:textId="122EA7EB" w:rsidR="00D14DB4" w:rsidRPr="00782670" w:rsidRDefault="00D14DB4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14DB4" w:rsidRPr="00782670" w14:paraId="1DD83623" w14:textId="77777777" w:rsidTr="001C0A4C">
        <w:trPr>
          <w:trHeight w:val="370"/>
        </w:trPr>
        <w:tc>
          <w:tcPr>
            <w:tcW w:w="2411" w:type="dxa"/>
            <w:shd w:val="clear" w:color="auto" w:fill="B4C6E7" w:themeFill="accent1" w:themeFillTint="66"/>
          </w:tcPr>
          <w:p w14:paraId="2176D00D" w14:textId="187E8EB6" w:rsidR="00D14DB4" w:rsidRDefault="00D14DB4" w:rsidP="00D14DB4">
            <w:pPr>
              <w:pStyle w:val="ListParagraph"/>
              <w:spacing w:after="120"/>
              <w:ind w:left="360"/>
              <w:rPr>
                <w:b/>
                <w:bCs/>
                <w:lang w:val="lt-LT"/>
              </w:rPr>
            </w:pPr>
            <w:r w:rsidRPr="00E348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Atlikto didesnio poveikio vertinimo apibendrinančios išvados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ir </w:t>
            </w:r>
            <w:r w:rsidRPr="00894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rekomendacijos</w:t>
            </w:r>
          </w:p>
        </w:tc>
        <w:tc>
          <w:tcPr>
            <w:tcW w:w="12893" w:type="dxa"/>
            <w:gridSpan w:val="3"/>
          </w:tcPr>
          <w:p w14:paraId="073B994B" w14:textId="77777777" w:rsidR="00D14DB4" w:rsidRPr="0021025D" w:rsidRDefault="00D14DB4" w:rsidP="00D14DB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Atliktas poveikio vertinimas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ir jo rezultatai visiškai arba iš dalies </w:t>
            </w:r>
            <w:r w:rsidRPr="002102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atitinka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daugumą </w:t>
            </w:r>
            <w:r w:rsidRPr="002102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nustatyt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ų</w:t>
            </w:r>
            <w:r w:rsidRPr="002102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kokybės kriterij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ų</w:t>
            </w: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6348B982" w14:textId="22D9DD46" w:rsidR="00D14DB4" w:rsidRPr="0021025D" w:rsidRDefault="00D14DB4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02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Problema, jos mastas ir priežastys ir siektinas rezultatas, problemai spręsti siūlomos priemonės aprašyti tinkamai ir aiškiai. </w:t>
            </w:r>
            <w:r w:rsidR="006611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Tačiau </w:t>
            </w:r>
            <w:r w:rsidR="006611C5" w:rsidRPr="00846C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nėra pateiktas</w:t>
            </w:r>
            <w:r w:rsid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pakankamas</w:t>
            </w:r>
            <w:r w:rsidR="006611C5" w:rsidRPr="00846C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planuojamų rezultatų pagrindimas</w:t>
            </w:r>
            <w:r w:rsidR="006611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nėra aišku, ar ambicingi rezultatai pakankamai suderinti su </w:t>
            </w:r>
            <w:r w:rsidR="00614C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finansinėmis </w:t>
            </w:r>
            <w:r w:rsidR="006611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galimybėmis.</w:t>
            </w:r>
          </w:p>
          <w:p w14:paraId="05311F13" w14:textId="32CA376E" w:rsidR="00D14DB4" w:rsidRPr="00102B27" w:rsidRDefault="006611C5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Atkreiptinas dėmesys, kad ne visos iš pateiktų </w:t>
            </w:r>
            <w:r w:rsidR="007622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problemos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priežasčių gali būti pašalintos tobulinant teisinį reguliavimą</w:t>
            </w:r>
            <w:r w:rsidR="007622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todėl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bus reikalingi kiti sprendimai (pavyzdžiui, pritaikant mokyklų </w:t>
            </w:r>
            <w:r w:rsidR="000B5384" w:rsidRP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infrastruktūrą </w:t>
            </w:r>
            <w:r w:rsidR="00614C8F" w:rsidRP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neįgaliųjų vaikų poreikiams</w:t>
            </w:r>
            <w:r w:rsidR="007012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užtikrinant švietimo pagalbos specialistų paruošimą ir įdarbinimą</w:t>
            </w:r>
            <w:r w:rsidRP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0B53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Apibendrinti poveikio vertinimo rezultatai ne visais aspektais atrodo pakankamai pagrįsti, </w:t>
            </w:r>
            <w:r w:rsid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visada išlaikomas balansas tarp galimų teigiamų ir neigiamų pasekmių, neįvertintos </w:t>
            </w:r>
            <w:r w:rsidR="000B53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 planuojamais pokyčiais susiję rizikos. </w:t>
            </w:r>
            <w:r w:rsidRP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Papildomas lėšų poreikis iš valstybės biudžeto pateiktas tik 2021-202</w:t>
            </w:r>
            <w:r w:rsidR="000B5384" w:rsidRPr="00F27F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laikotarpiui, nors toks poreikis išliks vidutiniu ir ilgos trukmės laikotarpiu.</w:t>
            </w:r>
            <w:r w:rsidR="009F32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2AE5E0E" w14:textId="10AA3321" w:rsidR="006611C5" w:rsidRDefault="006611C5" w:rsidP="00C702C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Viešosios konsultacijos vyko tik su viena t</w:t>
            </w:r>
            <w:r w:rsidR="00C702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ksline grupe, pritrūko </w:t>
            </w:r>
            <w:r w:rsidR="00C702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platesnės diskusijos su švietimo bendruomene ir tėvų organizacijomis.</w:t>
            </w:r>
          </w:p>
          <w:p w14:paraId="473A2CDF" w14:textId="4C3B87E9" w:rsidR="00D14DB4" w:rsidRPr="00782670" w:rsidRDefault="006611C5" w:rsidP="00614C8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Įvertinant didelius papildomo finansavimo poreikius, planuojami pertvarkymai </w:t>
            </w:r>
            <w:r w:rsidR="00F27F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jų įgyvendinimo tempas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turėtų būti svarstomi bendrame švietimo reformos ir</w:t>
            </w:r>
            <w:r w:rsidR="00614C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14C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šios reformos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prioritetų kontekste.</w:t>
            </w:r>
          </w:p>
        </w:tc>
      </w:tr>
    </w:tbl>
    <w:p w14:paraId="1BDC0466" w14:textId="5E4FD494" w:rsidR="00C52918" w:rsidRPr="00C52918" w:rsidRDefault="00C52918" w:rsidP="00C4781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C52918" w:rsidRPr="00C52918" w:rsidSect="00D91A33">
      <w:footerReference w:type="default" r:id="rId11"/>
      <w:pgSz w:w="16838" w:h="11906" w:orient="landscape"/>
      <w:pgMar w:top="1440" w:right="42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B9F09" w14:textId="77777777" w:rsidR="00024B53" w:rsidRDefault="00024B53" w:rsidP="007873D2">
      <w:pPr>
        <w:spacing w:after="0" w:line="240" w:lineRule="auto"/>
      </w:pPr>
      <w:r>
        <w:separator/>
      </w:r>
    </w:p>
  </w:endnote>
  <w:endnote w:type="continuationSeparator" w:id="0">
    <w:p w14:paraId="5425650F" w14:textId="77777777" w:rsidR="00024B53" w:rsidRDefault="00024B53" w:rsidP="0078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9387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F9EE8" w14:textId="0FDEEAD3" w:rsidR="007873D2" w:rsidRDefault="007873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12A4A5" w14:textId="77777777" w:rsidR="007873D2" w:rsidRDefault="00787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7E57F" w14:textId="77777777" w:rsidR="00024B53" w:rsidRDefault="00024B53" w:rsidP="007873D2">
      <w:pPr>
        <w:spacing w:after="0" w:line="240" w:lineRule="auto"/>
      </w:pPr>
      <w:r>
        <w:separator/>
      </w:r>
    </w:p>
  </w:footnote>
  <w:footnote w:type="continuationSeparator" w:id="0">
    <w:p w14:paraId="1B8BBF0B" w14:textId="77777777" w:rsidR="00024B53" w:rsidRDefault="00024B53" w:rsidP="00787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075A"/>
    <w:multiLevelType w:val="hybridMultilevel"/>
    <w:tmpl w:val="492A4330"/>
    <w:lvl w:ilvl="0" w:tplc="A60814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6100"/>
    <w:multiLevelType w:val="hybridMultilevel"/>
    <w:tmpl w:val="CDEC6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2C43"/>
    <w:multiLevelType w:val="hybridMultilevel"/>
    <w:tmpl w:val="00B09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6CB"/>
    <w:multiLevelType w:val="hybridMultilevel"/>
    <w:tmpl w:val="CF360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877F1"/>
    <w:multiLevelType w:val="hybridMultilevel"/>
    <w:tmpl w:val="3D8A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23007"/>
    <w:multiLevelType w:val="multilevel"/>
    <w:tmpl w:val="6996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5823C0"/>
    <w:multiLevelType w:val="hybridMultilevel"/>
    <w:tmpl w:val="398C2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22997"/>
    <w:multiLevelType w:val="multilevel"/>
    <w:tmpl w:val="73EC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0F197B"/>
    <w:multiLevelType w:val="multilevel"/>
    <w:tmpl w:val="5F60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E94B0F"/>
    <w:multiLevelType w:val="multilevel"/>
    <w:tmpl w:val="A0CA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1655C2"/>
    <w:multiLevelType w:val="multilevel"/>
    <w:tmpl w:val="8E8E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BC07DB"/>
    <w:multiLevelType w:val="hybridMultilevel"/>
    <w:tmpl w:val="80189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50848"/>
    <w:multiLevelType w:val="hybridMultilevel"/>
    <w:tmpl w:val="88EAD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E3193"/>
    <w:multiLevelType w:val="hybridMultilevel"/>
    <w:tmpl w:val="1E8C3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F2732"/>
    <w:multiLevelType w:val="multilevel"/>
    <w:tmpl w:val="AE684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E48F1"/>
    <w:multiLevelType w:val="hybridMultilevel"/>
    <w:tmpl w:val="24E850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6"/>
  </w:num>
  <w:num w:numId="8">
    <w:abstractNumId w:val="11"/>
  </w:num>
  <w:num w:numId="9">
    <w:abstractNumId w:val="15"/>
  </w:num>
  <w:num w:numId="10">
    <w:abstractNumId w:val="1"/>
  </w:num>
  <w:num w:numId="11">
    <w:abstractNumId w:val="13"/>
  </w:num>
  <w:num w:numId="12">
    <w:abstractNumId w:val="12"/>
  </w:num>
  <w:num w:numId="13">
    <w:abstractNumId w:val="2"/>
  </w:num>
  <w:num w:numId="14">
    <w:abstractNumId w:val="3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DE"/>
    <w:rsid w:val="00000999"/>
    <w:rsid w:val="00001818"/>
    <w:rsid w:val="00004001"/>
    <w:rsid w:val="00006717"/>
    <w:rsid w:val="00010C36"/>
    <w:rsid w:val="00024B53"/>
    <w:rsid w:val="00034AA6"/>
    <w:rsid w:val="000521C4"/>
    <w:rsid w:val="00054262"/>
    <w:rsid w:val="000A39E5"/>
    <w:rsid w:val="000B5384"/>
    <w:rsid w:val="000F410E"/>
    <w:rsid w:val="00100E46"/>
    <w:rsid w:val="00102B27"/>
    <w:rsid w:val="00102F8D"/>
    <w:rsid w:val="00106EEC"/>
    <w:rsid w:val="00115DAB"/>
    <w:rsid w:val="001602E5"/>
    <w:rsid w:val="00180ACD"/>
    <w:rsid w:val="00187D17"/>
    <w:rsid w:val="001C0A4C"/>
    <w:rsid w:val="001D41C6"/>
    <w:rsid w:val="001D5D66"/>
    <w:rsid w:val="001F7F29"/>
    <w:rsid w:val="00200F91"/>
    <w:rsid w:val="00212EEB"/>
    <w:rsid w:val="0021675A"/>
    <w:rsid w:val="002214DE"/>
    <w:rsid w:val="002250C6"/>
    <w:rsid w:val="00225801"/>
    <w:rsid w:val="00227993"/>
    <w:rsid w:val="002450BB"/>
    <w:rsid w:val="00257066"/>
    <w:rsid w:val="00266195"/>
    <w:rsid w:val="002863F5"/>
    <w:rsid w:val="002C5012"/>
    <w:rsid w:val="002D32AF"/>
    <w:rsid w:val="002D58CE"/>
    <w:rsid w:val="003160D9"/>
    <w:rsid w:val="00321ADE"/>
    <w:rsid w:val="003309CD"/>
    <w:rsid w:val="003342C8"/>
    <w:rsid w:val="00345284"/>
    <w:rsid w:val="00353533"/>
    <w:rsid w:val="00386692"/>
    <w:rsid w:val="00391860"/>
    <w:rsid w:val="003A3C3F"/>
    <w:rsid w:val="003E5851"/>
    <w:rsid w:val="0043020F"/>
    <w:rsid w:val="00441DAC"/>
    <w:rsid w:val="00477293"/>
    <w:rsid w:val="00482700"/>
    <w:rsid w:val="00482A95"/>
    <w:rsid w:val="00487A1F"/>
    <w:rsid w:val="004969C7"/>
    <w:rsid w:val="004A1E38"/>
    <w:rsid w:val="004B075D"/>
    <w:rsid w:val="004C0CB0"/>
    <w:rsid w:val="004C3332"/>
    <w:rsid w:val="004C6982"/>
    <w:rsid w:val="004D7B76"/>
    <w:rsid w:val="004E18B0"/>
    <w:rsid w:val="00504656"/>
    <w:rsid w:val="00505658"/>
    <w:rsid w:val="0050650B"/>
    <w:rsid w:val="0051042C"/>
    <w:rsid w:val="0051346F"/>
    <w:rsid w:val="005630CC"/>
    <w:rsid w:val="0056491C"/>
    <w:rsid w:val="005653BE"/>
    <w:rsid w:val="00566B76"/>
    <w:rsid w:val="0059162B"/>
    <w:rsid w:val="00592A8D"/>
    <w:rsid w:val="005A121B"/>
    <w:rsid w:val="005A6186"/>
    <w:rsid w:val="005C6A60"/>
    <w:rsid w:val="005D7455"/>
    <w:rsid w:val="00614C8F"/>
    <w:rsid w:val="00624536"/>
    <w:rsid w:val="006379E7"/>
    <w:rsid w:val="006406F4"/>
    <w:rsid w:val="0064472D"/>
    <w:rsid w:val="006611C5"/>
    <w:rsid w:val="00686B71"/>
    <w:rsid w:val="006B2358"/>
    <w:rsid w:val="006B298D"/>
    <w:rsid w:val="006C2154"/>
    <w:rsid w:val="006C5E43"/>
    <w:rsid w:val="006E6823"/>
    <w:rsid w:val="007012D5"/>
    <w:rsid w:val="00706EDF"/>
    <w:rsid w:val="0071408C"/>
    <w:rsid w:val="00750E41"/>
    <w:rsid w:val="007562BA"/>
    <w:rsid w:val="007622EC"/>
    <w:rsid w:val="007670FD"/>
    <w:rsid w:val="007772EA"/>
    <w:rsid w:val="00782670"/>
    <w:rsid w:val="007873D2"/>
    <w:rsid w:val="007A5133"/>
    <w:rsid w:val="007B7987"/>
    <w:rsid w:val="007D742C"/>
    <w:rsid w:val="007E25BE"/>
    <w:rsid w:val="008132E5"/>
    <w:rsid w:val="008223DC"/>
    <w:rsid w:val="00837D90"/>
    <w:rsid w:val="0084620E"/>
    <w:rsid w:val="00846C46"/>
    <w:rsid w:val="008667BF"/>
    <w:rsid w:val="00872A4D"/>
    <w:rsid w:val="00894111"/>
    <w:rsid w:val="008F3DB6"/>
    <w:rsid w:val="008F4114"/>
    <w:rsid w:val="00913FB6"/>
    <w:rsid w:val="00917EB6"/>
    <w:rsid w:val="009279AB"/>
    <w:rsid w:val="00970B42"/>
    <w:rsid w:val="00974BF6"/>
    <w:rsid w:val="009A04DF"/>
    <w:rsid w:val="009B7943"/>
    <w:rsid w:val="009F32BA"/>
    <w:rsid w:val="009F5F68"/>
    <w:rsid w:val="00A023F0"/>
    <w:rsid w:val="00A026C6"/>
    <w:rsid w:val="00A02B8A"/>
    <w:rsid w:val="00A305D6"/>
    <w:rsid w:val="00A408E9"/>
    <w:rsid w:val="00A411DB"/>
    <w:rsid w:val="00A52F79"/>
    <w:rsid w:val="00A7731F"/>
    <w:rsid w:val="00A979D4"/>
    <w:rsid w:val="00AA4CFF"/>
    <w:rsid w:val="00AF27B5"/>
    <w:rsid w:val="00B139B1"/>
    <w:rsid w:val="00B5084E"/>
    <w:rsid w:val="00B600B6"/>
    <w:rsid w:val="00B8497B"/>
    <w:rsid w:val="00BC0BA6"/>
    <w:rsid w:val="00BD569A"/>
    <w:rsid w:val="00BE1495"/>
    <w:rsid w:val="00BF2BAD"/>
    <w:rsid w:val="00C13367"/>
    <w:rsid w:val="00C4672F"/>
    <w:rsid w:val="00C4781F"/>
    <w:rsid w:val="00C52918"/>
    <w:rsid w:val="00C702C9"/>
    <w:rsid w:val="00CA10FE"/>
    <w:rsid w:val="00CA1E01"/>
    <w:rsid w:val="00CC5510"/>
    <w:rsid w:val="00CF33F6"/>
    <w:rsid w:val="00CF7647"/>
    <w:rsid w:val="00CF7BD3"/>
    <w:rsid w:val="00D11B51"/>
    <w:rsid w:val="00D14DB4"/>
    <w:rsid w:val="00D15C2B"/>
    <w:rsid w:val="00D23B27"/>
    <w:rsid w:val="00D344BB"/>
    <w:rsid w:val="00D43CAD"/>
    <w:rsid w:val="00D4505D"/>
    <w:rsid w:val="00D66820"/>
    <w:rsid w:val="00D83D41"/>
    <w:rsid w:val="00D91A33"/>
    <w:rsid w:val="00DC15FE"/>
    <w:rsid w:val="00DC4EA2"/>
    <w:rsid w:val="00DD14D1"/>
    <w:rsid w:val="00DE2680"/>
    <w:rsid w:val="00DE641D"/>
    <w:rsid w:val="00E16E88"/>
    <w:rsid w:val="00E30D64"/>
    <w:rsid w:val="00E32C2C"/>
    <w:rsid w:val="00E348E4"/>
    <w:rsid w:val="00E71E2F"/>
    <w:rsid w:val="00E76DA7"/>
    <w:rsid w:val="00E87D90"/>
    <w:rsid w:val="00EA136B"/>
    <w:rsid w:val="00EC7460"/>
    <w:rsid w:val="00ED74BA"/>
    <w:rsid w:val="00EF760E"/>
    <w:rsid w:val="00F1011A"/>
    <w:rsid w:val="00F27F80"/>
    <w:rsid w:val="00F367FD"/>
    <w:rsid w:val="00F55948"/>
    <w:rsid w:val="00F731CF"/>
    <w:rsid w:val="00F8123E"/>
    <w:rsid w:val="00FA11CF"/>
    <w:rsid w:val="00FB365B"/>
    <w:rsid w:val="00FC0E47"/>
    <w:rsid w:val="00FC11C7"/>
    <w:rsid w:val="00FC254B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2F17"/>
  <w15:chartTrackingRefBased/>
  <w15:docId w15:val="{7D3882AF-70E6-4911-891A-1887FA47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7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7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29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3D2"/>
  </w:style>
  <w:style w:type="paragraph" w:styleId="Footer">
    <w:name w:val="footer"/>
    <w:basedOn w:val="Normal"/>
    <w:link w:val="FooterChar"/>
    <w:uiPriority w:val="99"/>
    <w:unhideWhenUsed/>
    <w:rsid w:val="00787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2561FF4030AA04494266F6A6AD3EADD" ma:contentTypeVersion="12" ma:contentTypeDescription="Kurkite naują dokumentą." ma:contentTypeScope="" ma:versionID="4b5b2f80fdbd30bddbf1bc78a17d5282">
  <xsd:schema xmlns:xsd="http://www.w3.org/2001/XMLSchema" xmlns:xs="http://www.w3.org/2001/XMLSchema" xmlns:p="http://schemas.microsoft.com/office/2006/metadata/properties" xmlns:ns3="9bbf328e-77ca-4f21-b247-53aa82d10e59" xmlns:ns4="1135e877-51c8-42ab-b981-f1b0fa81c186" targetNamespace="http://schemas.microsoft.com/office/2006/metadata/properties" ma:root="true" ma:fieldsID="019cc8699acb357461e58fcc091a5059" ns3:_="" ns4:_="">
    <xsd:import namespace="9bbf328e-77ca-4f21-b247-53aa82d10e59"/>
    <xsd:import namespace="1135e877-51c8-42ab-b981-f1b0fa81c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328e-77ca-4f21-b247-53aa82d10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5e877-51c8-42ab-b981-f1b0fa81c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909F7-C792-42BC-BC85-8DAA0DB01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f328e-77ca-4f21-b247-53aa82d10e59"/>
    <ds:schemaRef ds:uri="1135e877-51c8-42ab-b981-f1b0fa81c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05CC5-305A-4306-859E-E8B8FD521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0C24D-DD3D-4DB2-B8DF-3D6EA0288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6A5F38-CF4D-4CB6-993C-CC913E89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1304</Words>
  <Characters>7435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</dc:creator>
  <cp:keywords/>
  <dc:description/>
  <cp:lastModifiedBy>Saulius Kolyta</cp:lastModifiedBy>
  <cp:revision>12</cp:revision>
  <cp:lastPrinted>2020-01-02T11:01:00Z</cp:lastPrinted>
  <dcterms:created xsi:type="dcterms:W3CDTF">2020-05-26T08:18:00Z</dcterms:created>
  <dcterms:modified xsi:type="dcterms:W3CDTF">2020-05-26T12:13:00Z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0x010100D2561FF4030AA04494266F6A6AD3EADD</vt:lpwstr>
  </property>
</Properties>
</file>