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E5681" w14:textId="77777777" w:rsidR="00696177" w:rsidRDefault="001D6B50">
      <w:pPr>
        <w:spacing w:before="480" w:after="240" w:line="240" w:lineRule="auto"/>
        <w:rPr>
          <w:rFonts w:ascii="Cambria" w:eastAsia="Cambria" w:hAnsi="Cambria" w:cs="Cambria"/>
          <w:b/>
          <w:color w:val="366091"/>
          <w:sz w:val="28"/>
          <w:szCs w:val="28"/>
        </w:rPr>
      </w:pPr>
      <w:bookmarkStart w:id="0" w:name="_GoBack"/>
      <w:bookmarkEnd w:id="0"/>
      <w:r>
        <w:rPr>
          <w:rFonts w:ascii="Cambria" w:eastAsia="Cambria" w:hAnsi="Cambria" w:cs="Cambria"/>
          <w:b/>
          <w:color w:val="366091"/>
          <w:sz w:val="28"/>
          <w:szCs w:val="28"/>
        </w:rPr>
        <w:t>Annex 2: Partnerships</w:t>
      </w:r>
    </w:p>
    <w:p w14:paraId="7B9E5682" w14:textId="77777777" w:rsidR="00696177" w:rsidRDefault="00696177">
      <w:pPr>
        <w:spacing w:after="120" w:line="360" w:lineRule="auto"/>
        <w:jc w:val="both"/>
        <w:rPr>
          <w:rFonts w:ascii="Cambria" w:eastAsia="Cambria" w:hAnsi="Cambria" w:cs="Cambria"/>
          <w:color w:val="000000"/>
        </w:rPr>
      </w:pPr>
    </w:p>
    <w:p w14:paraId="7B9E5683"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Countries may participate in the Intelligence College in Europe either as full members or as partners. Institutions can only be partners.</w:t>
      </w:r>
    </w:p>
    <w:p w14:paraId="7B9E5684" w14:textId="77777777" w:rsidR="00696177" w:rsidRDefault="001D6B50">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1.1 Partner status</w:t>
      </w:r>
    </w:p>
    <w:p w14:paraId="7B9E5685" w14:textId="77777777" w:rsidR="00696177" w:rsidRDefault="001D6B50">
      <w:pPr>
        <w:jc w:val="both"/>
        <w:rPr>
          <w:rFonts w:ascii="Cambria" w:eastAsia="Cambria" w:hAnsi="Cambria" w:cs="Cambria"/>
          <w:color w:val="000000"/>
        </w:rPr>
      </w:pPr>
      <w:r>
        <w:rPr>
          <w:rFonts w:ascii="Cambria" w:eastAsia="Cambria" w:hAnsi="Cambria" w:cs="Cambria"/>
          <w:color w:val="000000"/>
        </w:rPr>
        <w:t xml:space="preserve">The Countries who have designated a Point of Contact (PoC) before the </w:t>
      </w:r>
      <w:r>
        <w:rPr>
          <w:rFonts w:ascii="Cambria" w:eastAsia="Cambria" w:hAnsi="Cambria" w:cs="Cambria"/>
          <w:color w:val="000000"/>
        </w:rPr>
        <w:t>signing of the Letter of Intent (LoI) but who do not wish to adhere to the Letter acquire Partner status.</w:t>
      </w:r>
    </w:p>
    <w:p w14:paraId="7B9E5686"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Any European Country or Institution that wishes to join as a partner at a later date will have to make a written request to the Presidency of the Stee</w:t>
      </w:r>
      <w:r>
        <w:rPr>
          <w:rFonts w:ascii="Cambria" w:eastAsia="Cambria" w:hAnsi="Cambria" w:cs="Cambria"/>
          <w:color w:val="000000"/>
        </w:rPr>
        <w:t>ring Committee. The Presidency submits the candidature to the Steering Committee, who then decide by consensus, as outlined in the `decision making process` section of Annex 1. If accepted, any joining partner will be required to designate a PoC.</w:t>
      </w:r>
    </w:p>
    <w:p w14:paraId="7B9E5687" w14:textId="77777777" w:rsidR="00696177" w:rsidRDefault="001D6B50">
      <w:r>
        <w:rPr>
          <w:rFonts w:ascii="Cambria" w:eastAsia="Cambria" w:hAnsi="Cambria" w:cs="Cambria"/>
          <w:color w:val="000000"/>
        </w:rPr>
        <w:t>The Colle</w:t>
      </w:r>
      <w:r>
        <w:rPr>
          <w:rFonts w:ascii="Cambria" w:eastAsia="Cambria" w:hAnsi="Cambria" w:cs="Cambria"/>
          <w:color w:val="000000"/>
        </w:rPr>
        <w:t>ge will maintain its contacts with the Partners through their PoCs.</w:t>
      </w:r>
    </w:p>
    <w:p w14:paraId="7B9E5688" w14:textId="77777777" w:rsidR="00696177" w:rsidRDefault="001D6B50">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1.2 Partners’ rights</w:t>
      </w:r>
    </w:p>
    <w:p w14:paraId="7B9E5689"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 xml:space="preserve">Partners will not be part of the Steering Committee nor eligible for the Presidency. They can attend Steering committee meetings, fully or partly, when invited by the </w:t>
      </w:r>
      <w:r>
        <w:rPr>
          <w:rFonts w:ascii="Cambria" w:eastAsia="Cambria" w:hAnsi="Cambria" w:cs="Cambria"/>
          <w:color w:val="000000"/>
        </w:rPr>
        <w:t>Presidency. Partners have no voting rights.</w:t>
      </w:r>
    </w:p>
    <w:p w14:paraId="7B9E568A"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Partners will be entitled to participate in some of the College’s activities, such as thematic seminars, upon invitation by the Presidency or by the hosting Country. The Steering Committee is informed.</w:t>
      </w:r>
    </w:p>
    <w:p w14:paraId="7B9E568B"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Partners m</w:t>
      </w:r>
      <w:r>
        <w:rPr>
          <w:rFonts w:ascii="Cambria" w:eastAsia="Cambria" w:hAnsi="Cambria" w:cs="Cambria"/>
          <w:color w:val="000000"/>
        </w:rPr>
        <w:t>ay also formulate a written request to the Presidency to participate in specific activities or to offer College members access to initiatives run in their Country or under their responsibility. The Presidency, in agreement with the Troika, provides a writt</w:t>
      </w:r>
      <w:r>
        <w:rPr>
          <w:rFonts w:ascii="Cambria" w:eastAsia="Cambria" w:hAnsi="Cambria" w:cs="Cambria"/>
          <w:color w:val="000000"/>
        </w:rPr>
        <w:t>en answer.</w:t>
      </w:r>
    </w:p>
    <w:p w14:paraId="7B9E568C"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lastRenderedPageBreak/>
        <w:t xml:space="preserve">Partners may co-organise, in close link with a Member, College activities on a voluntary basis, when approved by the Steering committee. </w:t>
      </w:r>
    </w:p>
    <w:p w14:paraId="7B9E568D" w14:textId="77777777" w:rsidR="00696177" w:rsidRDefault="001D6B50">
      <w:pPr>
        <w:spacing w:after="120" w:line="360" w:lineRule="auto"/>
        <w:jc w:val="both"/>
        <w:rPr>
          <w:rFonts w:ascii="Cambria" w:eastAsia="Cambria" w:hAnsi="Cambria" w:cs="Cambria"/>
          <w:color w:val="000000"/>
          <w:u w:val="single"/>
        </w:rPr>
      </w:pPr>
      <w:r>
        <w:rPr>
          <w:rFonts w:ascii="Cambria" w:eastAsia="Cambria" w:hAnsi="Cambria" w:cs="Cambria"/>
          <w:color w:val="000000"/>
        </w:rPr>
        <w:t xml:space="preserve">Partners can offer support to the College, under the same modalities. </w:t>
      </w:r>
    </w:p>
    <w:p w14:paraId="7B9E568E"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Partners Countries can ask to become</w:t>
      </w:r>
      <w:r>
        <w:rPr>
          <w:rFonts w:ascii="Cambria" w:eastAsia="Cambria" w:hAnsi="Cambria" w:cs="Cambria"/>
          <w:color w:val="000000"/>
        </w:rPr>
        <w:t xml:space="preserve"> Members by addressing a written request to the Presidency, that will submit it to the Steering Committee, as stated in section 1.1 of Annex 1. </w:t>
      </w:r>
    </w:p>
    <w:p w14:paraId="7B9E568F" w14:textId="77777777" w:rsidR="00696177" w:rsidRDefault="001D6B50">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1.3 Partners’ obligations</w:t>
      </w:r>
    </w:p>
    <w:p w14:paraId="7B9E5690"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Partners adhere to the Vision, Mandate and Principles of cooperation of the College a</w:t>
      </w:r>
      <w:r>
        <w:rPr>
          <w:rFonts w:ascii="Cambria" w:eastAsia="Cambria" w:hAnsi="Cambria" w:cs="Cambria"/>
          <w:color w:val="000000"/>
        </w:rPr>
        <w:t>s stated in the Letter of Intent. They engage with the College in a constructive and European spirit.</w:t>
      </w:r>
    </w:p>
    <w:p w14:paraId="7B9E5691"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Partners participating in the College’s activities will abide by the same rules as any other participant.</w:t>
      </w:r>
    </w:p>
    <w:p w14:paraId="7B9E5692" w14:textId="77777777" w:rsidR="00696177" w:rsidRDefault="001D6B50">
      <w:pPr>
        <w:spacing w:before="480" w:after="240" w:line="240" w:lineRule="auto"/>
        <w:rPr>
          <w:rFonts w:ascii="Cambria" w:eastAsia="Cambria" w:hAnsi="Cambria" w:cs="Cambria"/>
          <w:b/>
          <w:color w:val="366091"/>
          <w:sz w:val="25"/>
          <w:szCs w:val="25"/>
        </w:rPr>
      </w:pPr>
      <w:bookmarkStart w:id="1" w:name="_tyjcwt"/>
      <w:bookmarkEnd w:id="1"/>
      <w:r>
        <w:rPr>
          <w:rFonts w:ascii="Cambria" w:eastAsia="Cambria" w:hAnsi="Cambria" w:cs="Cambria"/>
          <w:b/>
          <w:color w:val="366091"/>
          <w:sz w:val="25"/>
          <w:szCs w:val="25"/>
        </w:rPr>
        <w:t>1.3 Withdrawal, exclusion and suspension</w:t>
      </w:r>
    </w:p>
    <w:p w14:paraId="7B9E5693"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A Partn</w:t>
      </w:r>
      <w:r>
        <w:rPr>
          <w:rFonts w:ascii="Cambria" w:eastAsia="Cambria" w:hAnsi="Cambria" w:cs="Cambria"/>
          <w:color w:val="000000"/>
        </w:rPr>
        <w:t>er may withdraw from the Intelligence College in Europe at any time but should endeavour to give three (3) months written notice of the withdrawal to the Presidency, who will inform all the other Members immediately of such notice.</w:t>
      </w:r>
    </w:p>
    <w:p w14:paraId="7B9E5694" w14:textId="77777777" w:rsidR="00696177" w:rsidRDefault="001D6B50">
      <w:pPr>
        <w:spacing w:after="120" w:line="360" w:lineRule="auto"/>
        <w:jc w:val="both"/>
        <w:rPr>
          <w:rFonts w:ascii="Cambria" w:eastAsia="Cambria" w:hAnsi="Cambria" w:cs="Cambria"/>
          <w:color w:val="000000"/>
        </w:rPr>
      </w:pPr>
      <w:r>
        <w:rPr>
          <w:rFonts w:ascii="Cambria" w:eastAsia="Cambria" w:hAnsi="Cambria" w:cs="Cambria"/>
          <w:color w:val="000000"/>
        </w:rPr>
        <w:t>Failure by Partners to c</w:t>
      </w:r>
      <w:r>
        <w:rPr>
          <w:rFonts w:ascii="Cambria" w:eastAsia="Cambria" w:hAnsi="Cambria" w:cs="Cambria"/>
          <w:color w:val="000000"/>
        </w:rPr>
        <w:t xml:space="preserve">omply with their obligations (1.2) may result in suspension or exclusion. Any Member can refer such an issue to the Presidency. </w:t>
      </w:r>
    </w:p>
    <w:p w14:paraId="7B9E5695" w14:textId="77777777" w:rsidR="00696177" w:rsidRDefault="001D6B50">
      <w:pPr>
        <w:spacing w:after="120" w:line="360" w:lineRule="auto"/>
        <w:jc w:val="both"/>
        <w:rPr>
          <w:rFonts w:ascii="Cambria" w:eastAsia="Cambria" w:hAnsi="Cambria" w:cs="Cambria"/>
          <w:color w:val="000000"/>
        </w:rPr>
      </w:pPr>
      <w:bookmarkStart w:id="2" w:name="_3dy6vkm"/>
      <w:bookmarkEnd w:id="2"/>
      <w:r>
        <w:rPr>
          <w:rFonts w:ascii="Cambria" w:eastAsia="Cambria" w:hAnsi="Cambria" w:cs="Cambria"/>
          <w:color w:val="000000"/>
        </w:rPr>
        <w:t>Once the request has been made, the Presidency convenes a Steering Committee meeting, within three months of receipt of written</w:t>
      </w:r>
      <w:r>
        <w:rPr>
          <w:rFonts w:ascii="Cambria" w:eastAsia="Cambria" w:hAnsi="Cambria" w:cs="Cambria"/>
          <w:color w:val="000000"/>
        </w:rPr>
        <w:t xml:space="preserve"> notice, during which the Partner in question will be heard. The Steering Committee then sits and decides by consensus whether suspension or exclusion is appropriate.  </w:t>
      </w:r>
    </w:p>
    <w:p w14:paraId="7B9E5696" w14:textId="77777777" w:rsidR="00696177" w:rsidRDefault="001D6B50">
      <w:pPr>
        <w:spacing w:after="120" w:line="360" w:lineRule="auto"/>
        <w:jc w:val="both"/>
      </w:pPr>
      <w:r>
        <w:rPr>
          <w:rFonts w:ascii="Cambria" w:eastAsia="Cambria" w:hAnsi="Cambria" w:cs="Cambria"/>
          <w:color w:val="000000"/>
        </w:rPr>
        <w:t>The Presidency notifies the offending Partner in writing of its reasoned decision.</w:t>
      </w:r>
    </w:p>
    <w:sectPr w:rsidR="00696177">
      <w:headerReference w:type="default" r:id="rId6"/>
      <w:footerReference w:type="default" r:id="rId7"/>
      <w:headerReference w:type="first" r:id="rId8"/>
      <w:pgSz w:w="11906" w:h="16838"/>
      <w:pgMar w:top="1701" w:right="1701" w:bottom="1701" w:left="1701" w:header="709" w:footer="709" w:gutter="0"/>
      <w:pgNumType w:start="1"/>
      <w:cols w:space="1296"/>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E569F" w14:textId="77777777" w:rsidR="00000000" w:rsidRDefault="001D6B50">
      <w:pPr>
        <w:spacing w:after="0" w:line="240" w:lineRule="auto"/>
      </w:pPr>
      <w:r>
        <w:separator/>
      </w:r>
    </w:p>
  </w:endnote>
  <w:endnote w:type="continuationSeparator" w:id="0">
    <w:p w14:paraId="7B9E56A1" w14:textId="77777777" w:rsidR="00000000" w:rsidRDefault="001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5698" w14:textId="4D2B3F16" w:rsidR="00696177" w:rsidRDefault="001D6B50">
    <w:pPr>
      <w:tabs>
        <w:tab w:val="center" w:pos="4536"/>
        <w:tab w:val="right" w:pos="9072"/>
      </w:tabs>
      <w:spacing w:after="0" w:line="240" w:lineRule="auto"/>
    </w:pPr>
    <w:r>
      <w:rPr>
        <w:color w:val="000000"/>
      </w:rPr>
      <w:fldChar w:fldCharType="begin"/>
    </w:r>
    <w:r>
      <w:instrText>PAGE</w:instrText>
    </w:r>
    <w:r>
      <w:fldChar w:fldCharType="separate"/>
    </w:r>
    <w:r>
      <w:rPr>
        <w:noProof/>
      </w:rPr>
      <w:t>2</w:t>
    </w:r>
    <w:r>
      <w:fldChar w:fldCharType="end"/>
    </w:r>
  </w:p>
  <w:p w14:paraId="7B9E5699" w14:textId="77777777" w:rsidR="00696177" w:rsidRDefault="001D6B50">
    <w:pPr>
      <w:tabs>
        <w:tab w:val="right" w:pos="9356"/>
      </w:tabs>
      <w:spacing w:after="0" w:line="240" w:lineRule="auto"/>
      <w:ind w:right="360"/>
      <w:jc w:val="right"/>
      <w:rPr>
        <w:color w:val="000000"/>
      </w:rPr>
    </w:pPr>
    <w:r>
      <w:rPr>
        <w:noProof/>
        <w:color w:val="000000"/>
        <w:lang w:val="lt-LT" w:eastAsia="lt-LT"/>
      </w:rPr>
      <mc:AlternateContent>
        <mc:Choice Requires="wps">
          <w:drawing>
            <wp:anchor distT="0" distB="0" distL="114300" distR="114300" simplePos="0" relativeHeight="2" behindDoc="1" locked="0" layoutInCell="1" allowOverlap="1" wp14:anchorId="7B9E569B" wp14:editId="7B9E569C">
              <wp:simplePos x="0" y="0"/>
              <wp:positionH relativeFrom="column">
                <wp:posOffset>5359400</wp:posOffset>
              </wp:positionH>
              <wp:positionV relativeFrom="paragraph">
                <wp:posOffset>-126365</wp:posOffset>
              </wp:positionV>
              <wp:extent cx="13335" cy="457835"/>
              <wp:effectExtent l="0" t="0" r="0" b="0"/>
              <wp:wrapNone/>
              <wp:docPr id="1" name="Straight Arrow Connector 1"/>
              <wp:cNvGraphicFramePr/>
              <a:graphic xmlns:a="http://schemas.openxmlformats.org/drawingml/2006/main">
                <a:graphicData uri="http://schemas.microsoft.com/office/word/2010/wordprocessingShape">
                  <wps:wsp>
                    <wps:cNvSpPr/>
                    <wps:spPr>
                      <a:xfrm>
                        <a:off x="0" y="0"/>
                        <a:ext cx="12600" cy="457200"/>
                      </a:xfrm>
                      <a:custGeom>
                        <a:avLst/>
                        <a:gdLst/>
                        <a:ahLst/>
                        <a:cxnLst/>
                        <a:rect l="l" t="t" r="r" b="b"/>
                        <a:pathLst>
                          <a:path w="21600" h="21600">
                            <a:moveTo>
                              <a:pt x="0" y="0"/>
                            </a:moveTo>
                            <a:lnTo>
                              <a:pt x="21600" y="21600"/>
                            </a:lnTo>
                          </a:path>
                        </a:pathLst>
                      </a:custGeom>
                      <a:no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7D547E3" id="Straight Arrow Connector 1" o:spid="_x0000_s1026" style="position:absolute;margin-left:422pt;margin-top:-9.95pt;width:1.05pt;height:36.05pt;z-index:-50331647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N+w/FAIAAMIEAAAOAAAAZHJzL2Uyb0RvYy54bWysVMtu2zAQvBfoPxC817KNNC0My0GQIL0U bVCnH0BTpEWA5ApLxrL/vsuVLBvpKUV1oJaPGe7saLW+OwYvDgaTg1jLxWwuhYkaGhf3tfz98vTp qxQpq9goD9HU8mSSvNt8/LDuu5VZQgu+MSiIJKZV39WyzblbVVXSrQkqzaAzkTYtYFCZprivGlQ9 sQdfLefz26oHbDoEbVKi1cdhU26Y31qj809rk8nC15Jyyzwij7syVpu1Wu1Rda3TYxrqH7IIykW6 dKJ6VFmJV3R/UQWnERLYPNMQKrDWacMaSM1i/kbNtlWdYS1UnNRNZUr/j1b/ODyjcA15J0VUgSza ZlRu32Zxjwi9eIAYqYyAYlGq1XdpRaBt94zjLFFYpB8thvImUeLIFT5NFTbHLDQtLpa3c7JB087N 5y9kYKGsLlj9mvI3A8yjDt9THvxpzpFqz5E+xnOIlF7x17O/WQryF6Ugf3eDv53KBVeSK6Hoa7lc cCLtOSp7AQ7mBfhUfqOAUrzs+nh9amQiRUM0CBrOEKxcyBKnJGjxWmaEJ+c96/SxXJ7Au6as8QT3 uweP4qDKB8zPWLKrY8RYoFXxZnCDo3zypnD4+MtY8phNYVI9sg6NQJ1KnpzbgckIUA5ayuKd2BFS 0Ib77534CcT3Q8wTPrgIyOKv1JVwB82Jv0YuADUK13ts6tKJ13Mu0+XXs/kDAAD//wMAUEsDBBQA BgAIAAAAIQDzkFYd4AAAAAoBAAAPAAAAZHJzL2Rvd25yZXYueG1sTI/NTsMwEITvSLyDtUhcUOsk MlESsqmgiBsXSlVxdJPNj4jXUey24e0xJ3oczWjmm3KzmFGcaXaDZYR4HYEgrm0zcIew/3xbZSCc 19zo0TIh/JCDTXV7U+qisRf+oPPOdyKUsCs0Qu/9VEjp6p6Mdms7EQevtbPRPsi5k82sL6HcjDKJ olQaPXBY6PVE257q793JIPhDu1Vd++Je3+v0kCu3V18PEeL93fL8BMLT4v/D8Icf0KEKTEd74saJ ESFTKnzxCKs4z0GERKbSGMQR4TFJQFalvL5Q/QIAAP//AwBQSwECLQAUAAYACAAAACEAtoM4kv4A AADhAQAAEwAAAAAAAAAAAAAAAAAAAAAAW0NvbnRlbnRfVHlwZXNdLnhtbFBLAQItABQABgAIAAAA IQA4/SH/1gAAAJQBAAALAAAAAAAAAAAAAAAAAC8BAABfcmVscy8ucmVsc1BLAQItABQABgAIAAAA IQDcN+w/FAIAAMIEAAAOAAAAAAAAAAAAAAAAAC4CAABkcnMvZTJvRG9jLnhtbFBLAQItABQABgAI AAAAIQDzkFYd4AAAAAoBAAAPAAAAAAAAAAAAAAAAAG4EAABkcnMvZG93bnJldi54bWxQSwUGAAAA AAQABADzAAAAewUAAAAA " path="m,l21600,21600e" filled="f">
              <v:path arrowok="t"/>
            </v:shape>
          </w:pict>
        </mc:Fallback>
      </mc:AlternateContent>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E569B" w14:textId="77777777" w:rsidR="00000000" w:rsidRDefault="001D6B50">
      <w:pPr>
        <w:spacing w:after="0" w:line="240" w:lineRule="auto"/>
      </w:pPr>
      <w:r>
        <w:separator/>
      </w:r>
    </w:p>
  </w:footnote>
  <w:footnote w:type="continuationSeparator" w:id="0">
    <w:p w14:paraId="7B9E569D" w14:textId="77777777" w:rsidR="00000000" w:rsidRDefault="001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5697" w14:textId="77777777" w:rsidR="00696177" w:rsidRDefault="00696177">
    <w:pP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569A" w14:textId="77777777" w:rsidR="00696177" w:rsidRDefault="00696177">
    <w:pP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77"/>
    <w:rsid w:val="001D6B50"/>
    <w:rsid w:val="0069617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5681"/>
  <w15:docId w15:val="{6D5B5744-345D-4F8B-8281-37D54E85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2CA"/>
    <w:pPr>
      <w:spacing w:after="200" w:line="276" w:lineRule="auto"/>
    </w:pPr>
    <w:rPr>
      <w:rFonts w:cs="Calibri"/>
      <w:lang w:val="en-US" w:eastAsia="en-GB"/>
    </w:rPr>
  </w:style>
  <w:style w:type="paragraph" w:styleId="Antrat3">
    <w:name w:val="heading 3"/>
    <w:basedOn w:val="prastasis"/>
    <w:next w:val="prastasis"/>
    <w:link w:val="Antrat3Diagrama"/>
    <w:qFormat/>
    <w:rsid w:val="00C022CA"/>
    <w:pPr>
      <w:keepNext/>
      <w:keepLines/>
      <w:spacing w:before="200" w:after="0"/>
      <w:outlineLvl w:val="2"/>
    </w:pPr>
    <w:rPr>
      <w:rFonts w:ascii="Cambria" w:eastAsia="Cambria" w:hAnsi="Cambria" w:cs="Cambria"/>
      <w:b/>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qFormat/>
    <w:rsid w:val="00C022CA"/>
    <w:rPr>
      <w:rFonts w:ascii="Cambria" w:eastAsia="Cambria" w:hAnsi="Cambria" w:cs="Cambria"/>
      <w:b/>
      <w:color w:val="4F81BD"/>
      <w:lang w:val="en-US" w:eastAsia="en-GB"/>
    </w:rPr>
  </w:style>
  <w:style w:type="character" w:customStyle="1" w:styleId="DebesliotekstasDiagrama">
    <w:name w:val="Debesėlio tekstas Diagrama"/>
    <w:basedOn w:val="Numatytasispastraiposriftas"/>
    <w:link w:val="Debesliotekstas"/>
    <w:uiPriority w:val="99"/>
    <w:semiHidden/>
    <w:qFormat/>
    <w:rsid w:val="00985DCE"/>
    <w:rPr>
      <w:rFonts w:ascii="Segoe UI" w:eastAsia="Calibri" w:hAnsi="Segoe UI" w:cs="Segoe UI"/>
      <w:sz w:val="18"/>
      <w:szCs w:val="18"/>
      <w:lang w:val="en-US" w:eastAsia="en-GB"/>
    </w:rPr>
  </w:style>
  <w:style w:type="character" w:customStyle="1" w:styleId="ListLabel1">
    <w:name w:val="ListLabel 1"/>
    <w:qFormat/>
    <w:rPr>
      <w:rFonts w:eastAsia="Noto Sans Symbols" w:cs="Noto Sans Symbols"/>
      <w:sz w:val="24"/>
      <w:szCs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Times New Roman" w:cs="Times New Roman"/>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C022CA"/>
    <w:pPr>
      <w:ind w:left="720"/>
      <w:contextualSpacing/>
    </w:pPr>
  </w:style>
  <w:style w:type="paragraph" w:styleId="Debesliotekstas">
    <w:name w:val="Balloon Text"/>
    <w:basedOn w:val="prastasis"/>
    <w:link w:val="DebesliotekstasDiagrama"/>
    <w:uiPriority w:val="99"/>
    <w:semiHidden/>
    <w:unhideWhenUsed/>
    <w:qFormat/>
    <w:rsid w:val="00985DCE"/>
    <w:pPr>
      <w:spacing w:after="0" w:line="240" w:lineRule="auto"/>
    </w:pPr>
    <w:rPr>
      <w:rFonts w:ascii="Segoe UI" w:hAnsi="Segoe UI" w:cs="Segoe UI"/>
      <w:sz w:val="18"/>
      <w:szCs w:val="18"/>
    </w:rPr>
  </w:style>
  <w:style w:type="paragraph" w:styleId="Antrats">
    <w:name w:val="header"/>
    <w:basedOn w:val="prastasis"/>
  </w:style>
  <w:style w:type="paragraph" w:styleId="Porat">
    <w:name w:val="footer"/>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1950</Words>
  <Characters>1112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Cabinet Office</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2020-02-12T09:28:00Z</dcterms:created>
  <dc:creator>Jane Lindsay</dc:creator>
  <dc:language>lt-LT</dc:language>
  <cp:lastModifiedBy>Rymantė Gedvilienė</cp:lastModifiedBy>
  <cp:lastPrinted>2019-12-13T14:56:00Z</cp:lastPrinted>
  <dcterms:modified xsi:type="dcterms:W3CDTF">2020-02-12T09:28:00Z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Cabinet 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