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3"/>
        <w:tblW w:w="0" w:type="auto"/>
        <w:tblLayout w:type="fixed"/>
        <w:tblLook w:val="0000" w:firstRow="0" w:lastRow="0" w:firstColumn="0" w:lastColumn="0" w:noHBand="0" w:noVBand="0"/>
      </w:tblPr>
      <w:tblGrid>
        <w:gridCol w:w="4253"/>
      </w:tblGrid>
      <w:tr w:rsidR="00D41078" w14:paraId="5A0DEB16" w14:textId="77777777" w:rsidTr="00D41078">
        <w:trPr>
          <w:cantSplit/>
          <w:trHeight w:val="340"/>
        </w:trPr>
        <w:tc>
          <w:tcPr>
            <w:tcW w:w="4253" w:type="dxa"/>
          </w:tcPr>
          <w:p w14:paraId="0172AB4A" w14:textId="77777777" w:rsidR="00D41078" w:rsidRDefault="00D41078" w:rsidP="00D41078">
            <w:pPr>
              <w:ind w:right="24"/>
            </w:pPr>
            <w:bookmarkStart w:id="0" w:name="_GoBack"/>
            <w:bookmarkEnd w:id="0"/>
            <w:r>
              <w:t xml:space="preserve"> </w:t>
            </w:r>
            <w:r w:rsidRPr="00247DA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D41078">
              <w:rPr>
                <w:sz w:val="22"/>
                <w:szCs w:val="22"/>
              </w:rPr>
              <w:t xml:space="preserve"> </w:t>
            </w:r>
            <w:r>
              <w:t>2020-02-      Nr. (1.</w:t>
            </w:r>
            <w:r w:rsidR="00C55EC4">
              <w:t>36</w:t>
            </w:r>
            <w:r>
              <w:t xml:space="preserve"> E) </w:t>
            </w:r>
            <w:r w:rsidR="00C55EC4">
              <w:t>2T</w:t>
            </w:r>
            <w:r>
              <w:t>-</w:t>
            </w:r>
          </w:p>
          <w:p w14:paraId="2721E2FE" w14:textId="77777777" w:rsidR="00D41078" w:rsidRDefault="00D41078" w:rsidP="00D41078">
            <w:pPr>
              <w:ind w:right="-108"/>
            </w:pPr>
            <w:r>
              <w:t xml:space="preserve">     </w:t>
            </w:r>
            <w:r w:rsidR="000B62E8">
              <w:t>Į 2020-02-03</w:t>
            </w:r>
            <w:r>
              <w:t xml:space="preserve">  Nr. </w:t>
            </w:r>
            <w:r w:rsidR="000B62E8">
              <w:rPr>
                <w:color w:val="000000"/>
              </w:rPr>
              <w:t>2-545</w:t>
            </w:r>
            <w:r>
              <w:t xml:space="preserve"> </w:t>
            </w:r>
          </w:p>
        </w:tc>
      </w:tr>
      <w:tr w:rsidR="00D41078" w14:paraId="285D4546" w14:textId="77777777" w:rsidTr="00D41078">
        <w:trPr>
          <w:cantSplit/>
          <w:trHeight w:val="340"/>
        </w:trPr>
        <w:tc>
          <w:tcPr>
            <w:tcW w:w="4253" w:type="dxa"/>
          </w:tcPr>
          <w:p w14:paraId="630094E7" w14:textId="77777777" w:rsidR="00D41078" w:rsidRDefault="00D41078" w:rsidP="00D41078">
            <w:pPr>
              <w:ind w:right="24"/>
            </w:pPr>
          </w:p>
        </w:tc>
      </w:tr>
    </w:tbl>
    <w:p w14:paraId="1D3762BA" w14:textId="77777777" w:rsidR="00E15916" w:rsidRDefault="002C42FC" w:rsidP="00D41078">
      <w:pPr>
        <w:pStyle w:val="Adresas"/>
        <w:ind w:right="0"/>
      </w:pPr>
      <w:r>
        <w:t>Lietuvos Respublikos s</w:t>
      </w:r>
      <w:r w:rsidR="00041876">
        <w:t xml:space="preserve">usisiekimo </w:t>
      </w:r>
      <w:r w:rsidR="00E15916">
        <w:t>ministerijai</w:t>
      </w:r>
    </w:p>
    <w:p w14:paraId="70D33A4E" w14:textId="77777777" w:rsidR="004540E4" w:rsidRDefault="004540E4" w:rsidP="00E15916">
      <w:pPr>
        <w:pStyle w:val="Pavadinimas1"/>
        <w:ind w:right="-1"/>
        <w:jc w:val="both"/>
        <w:rPr>
          <w:caps w:val="0"/>
        </w:rPr>
      </w:pPr>
    </w:p>
    <w:p w14:paraId="7270C023" w14:textId="77777777" w:rsidR="0075539B" w:rsidRDefault="0075539B" w:rsidP="00E15916">
      <w:pPr>
        <w:pStyle w:val="Pavadinimas1"/>
        <w:ind w:right="-1"/>
        <w:jc w:val="both"/>
        <w:rPr>
          <w:caps w:val="0"/>
        </w:rPr>
      </w:pPr>
    </w:p>
    <w:p w14:paraId="6A87FE04" w14:textId="77777777" w:rsidR="0075539B" w:rsidRDefault="0075539B" w:rsidP="00E15916">
      <w:pPr>
        <w:pStyle w:val="Pavadinimas1"/>
        <w:ind w:right="-1"/>
        <w:jc w:val="both"/>
        <w:rPr>
          <w:caps w:val="0"/>
        </w:rPr>
      </w:pPr>
    </w:p>
    <w:p w14:paraId="7E28D0AB" w14:textId="77777777" w:rsidR="00E15916" w:rsidRDefault="00E15916" w:rsidP="00E15916">
      <w:pPr>
        <w:pStyle w:val="Pavadinimas1"/>
        <w:ind w:right="-1"/>
        <w:jc w:val="both"/>
      </w:pPr>
      <w:r>
        <w:rPr>
          <w:b/>
        </w:rPr>
        <w:t xml:space="preserve">dėl </w:t>
      </w:r>
      <w:r w:rsidRPr="00E15916">
        <w:rPr>
          <w:b/>
        </w:rPr>
        <w:t xml:space="preserve">VYRIAUSYBĖS </w:t>
      </w:r>
      <w:r>
        <w:rPr>
          <w:b/>
        </w:rPr>
        <w:t xml:space="preserve">NUTARIMO </w:t>
      </w:r>
      <w:r w:rsidR="00D251AC">
        <w:rPr>
          <w:b/>
          <w:lang w:eastAsia="lt-LT"/>
        </w:rPr>
        <w:t>PROJEKTO</w:t>
      </w:r>
    </w:p>
    <w:p w14:paraId="7EDA1B91" w14:textId="77777777" w:rsidR="0075539B" w:rsidRDefault="0075539B" w:rsidP="00E15916">
      <w:pPr>
        <w:ind w:firstLine="720"/>
        <w:jc w:val="both"/>
      </w:pPr>
    </w:p>
    <w:p w14:paraId="106075CD" w14:textId="77777777" w:rsidR="006C5765" w:rsidRDefault="006C5765" w:rsidP="00E15916">
      <w:pPr>
        <w:ind w:firstLine="720"/>
        <w:jc w:val="both"/>
      </w:pPr>
    </w:p>
    <w:p w14:paraId="5F93F125" w14:textId="77777777" w:rsidR="00CB6C54" w:rsidRDefault="00D251AC" w:rsidP="00A24382">
      <w:pPr>
        <w:ind w:firstLine="720"/>
        <w:jc w:val="both"/>
      </w:pPr>
      <w:r>
        <w:t>T</w:t>
      </w:r>
      <w:r w:rsidRPr="0034246A">
        <w:t xml:space="preserve">eisingumo ministerija, </w:t>
      </w:r>
      <w:r w:rsidRPr="00ED39A4">
        <w:t>išnagrinėjusi</w:t>
      </w:r>
      <w:r w:rsidR="002C42FC">
        <w:t xml:space="preserve"> </w:t>
      </w:r>
      <w:r w:rsidR="002C42FC" w:rsidRPr="00247DA1">
        <w:t>pateiktą</w:t>
      </w:r>
      <w:r w:rsidR="00BB234C">
        <w:t xml:space="preserve"> derinti </w:t>
      </w:r>
      <w:hyperlink r:id="rId7" w:history="1">
        <w:r w:rsidR="00BB234C" w:rsidRPr="00612687">
          <w:rPr>
            <w:rStyle w:val="Hyperlink"/>
          </w:rPr>
          <w:t>Lietuvos Resp</w:t>
        </w:r>
        <w:r w:rsidR="00A24382" w:rsidRPr="00612687">
          <w:rPr>
            <w:rStyle w:val="Hyperlink"/>
          </w:rPr>
          <w:t>ublikos Vyriausy</w:t>
        </w:r>
        <w:r w:rsidR="00BB234C" w:rsidRPr="00612687">
          <w:rPr>
            <w:rStyle w:val="Hyperlink"/>
          </w:rPr>
          <w:t xml:space="preserve">bės nutarimo „Dėl Lietuvos Respublikos </w:t>
        </w:r>
        <w:r w:rsidR="00222A67">
          <w:rPr>
            <w:rStyle w:val="Hyperlink"/>
          </w:rPr>
          <w:t xml:space="preserve">Vyriausybės 2017 m. </w:t>
        </w:r>
        <w:r w:rsidR="00A24382" w:rsidRPr="00612687">
          <w:rPr>
            <w:rStyle w:val="Hyperlink"/>
          </w:rPr>
          <w:t>gruodžio 18 d. nutarimo Nr. 1056 „Dėl Valstybės valdomų elektroninių ryšių tinklų plėtros planavimo tvarkos aprašo patvirtinimo“ pak</w:t>
        </w:r>
        <w:r w:rsidR="00222A67">
          <w:rPr>
            <w:rStyle w:val="Hyperlink"/>
          </w:rPr>
          <w:t>e</w:t>
        </w:r>
        <w:r w:rsidR="00A24382" w:rsidRPr="00612687">
          <w:rPr>
            <w:rStyle w:val="Hyperlink"/>
          </w:rPr>
          <w:t>itimo“ projektą</w:t>
        </w:r>
      </w:hyperlink>
      <w:r w:rsidR="0093682E">
        <w:t xml:space="preserve"> (toliau – Projektas), </w:t>
      </w:r>
      <w:r w:rsidR="00A24382">
        <w:t>teikia šias pastabas ir pasiūlymus:</w:t>
      </w:r>
    </w:p>
    <w:p w14:paraId="4996F0B5" w14:textId="77777777" w:rsidR="00BB234C" w:rsidRDefault="00A92967" w:rsidP="000B62E8">
      <w:pPr>
        <w:ind w:firstLine="720"/>
        <w:jc w:val="both"/>
      </w:pPr>
      <w:bookmarkStart w:id="1" w:name="p5"/>
      <w:r>
        <w:t xml:space="preserve">1. </w:t>
      </w:r>
      <w:r w:rsidR="004C3F2E">
        <w:t>Konstitucinis Teismas pažymėjo, kad</w:t>
      </w:r>
      <w:r w:rsidR="00612687">
        <w:t xml:space="preserve"> poįstatyminiai teisės aktai turi būti priimami remiantis įstatymais, nes poįstatyminis teisės aktas yra įstatymo normų taikymo aktas (Konstitucinio Teismo 2003 m. gruodžio 30 d. nutarimas</w:t>
      </w:r>
      <w:r w:rsidR="004C3F2E">
        <w:t xml:space="preserve"> ir kt.</w:t>
      </w:r>
      <w:r w:rsidR="00612687">
        <w:t>).</w:t>
      </w:r>
      <w:bookmarkEnd w:id="1"/>
      <w:r w:rsidR="004C3F2E">
        <w:t xml:space="preserve"> Apsižvelgiant į tai, siūlytina</w:t>
      </w:r>
      <w:r w:rsidR="00FE297C">
        <w:t>,</w:t>
      </w:r>
      <w:r w:rsidR="004C3F2E">
        <w:t xml:space="preserve"> kaip yra nustatyta galiojančiame Projektu siūlomame keisti nutarime, į keičiamo nutarimo preambulę įrašyti </w:t>
      </w:r>
      <w:r w:rsidR="00FE297C">
        <w:t xml:space="preserve">nutarimo </w:t>
      </w:r>
      <w:r w:rsidR="004C3F2E">
        <w:t>įstatyminį pagrindą.</w:t>
      </w:r>
    </w:p>
    <w:p w14:paraId="3E9D288B" w14:textId="77777777" w:rsidR="00A92967" w:rsidRDefault="00A92967" w:rsidP="000B62E8">
      <w:pPr>
        <w:ind w:firstLine="720"/>
        <w:jc w:val="both"/>
      </w:pPr>
      <w:r>
        <w:t xml:space="preserve">2. </w:t>
      </w:r>
      <w:r w:rsidR="00B7361B">
        <w:t xml:space="preserve">Pastebėtina, kad Projekto 1 punkte siūlomo keisti nutarimo </w:t>
      </w:r>
      <w:r w:rsidR="00DB7182">
        <w:t>2.1</w:t>
      </w:r>
      <w:r w:rsidR="00B7361B">
        <w:t>, 2.2 ir 3.1 papunkči</w:t>
      </w:r>
      <w:r w:rsidR="0093682E">
        <w:t>uose yra skirtingai reguliuojami</w:t>
      </w:r>
      <w:r w:rsidR="00B7361B">
        <w:t xml:space="preserve"> teisiniai santykiai, susiję su akcinėmis bendrovėmis ir (ar) uždarosiomis akcinėmis bendrovėmis, kurių valstybei nuosavybės teise priklausančios akcijos suteikia daugiau kaip ½ balsų visuotiniame akcininkų susirinkime (toliau – bendrovės): 2.1 papunktyje </w:t>
      </w:r>
      <w:r w:rsidR="00B7361B" w:rsidRPr="000418E5">
        <w:rPr>
          <w:i/>
        </w:rPr>
        <w:t>rekomenduojama</w:t>
      </w:r>
      <w:r w:rsidR="00B7361B">
        <w:t xml:space="preserve"> bendrovėms vadovautis keičiamu aprašu, 2.2 papunktyje bendrovėms </w:t>
      </w:r>
      <w:r w:rsidR="00B7361B" w:rsidRPr="000418E5">
        <w:rPr>
          <w:i/>
        </w:rPr>
        <w:t>rekomenduojama</w:t>
      </w:r>
      <w:r w:rsidR="00B7361B">
        <w:t xml:space="preserve"> nuolat teikti</w:t>
      </w:r>
      <w:r w:rsidR="00E510AA">
        <w:t xml:space="preserve"> šiame papunktyje nurodytą</w:t>
      </w:r>
      <w:r w:rsidR="00B7361B">
        <w:t xml:space="preserve"> informaciją, 3.1 papunktyje nustatoma, kad Susisiekimo ministerija </w:t>
      </w:r>
      <w:r w:rsidR="00B7361B" w:rsidRPr="000418E5">
        <w:rPr>
          <w:i/>
        </w:rPr>
        <w:t>turi teisę gauti</w:t>
      </w:r>
      <w:r w:rsidR="00B7361B">
        <w:t xml:space="preserve"> nurodytą informaciją iš bendrovių</w:t>
      </w:r>
      <w:r w:rsidR="00E510AA">
        <w:t>, kas suponuoja,</w:t>
      </w:r>
      <w:r w:rsidR="00730F8D">
        <w:t xml:space="preserve"> </w:t>
      </w:r>
      <w:r w:rsidR="00E510AA">
        <w:t xml:space="preserve">kad bendrovės privalo informaciją teikti, todėl 2.1 ir 2.2 papunkčių </w:t>
      </w:r>
      <w:r w:rsidR="00730F8D">
        <w:t>nuostatos, formuluojamos tik kaip rekomendacinės, neatitinka 3.1 papunkčiui</w:t>
      </w:r>
      <w:r w:rsidR="00B7361B">
        <w:t>. Siūlytina koreguoti minėtas nuostatas.</w:t>
      </w:r>
    </w:p>
    <w:p w14:paraId="2E293FB4" w14:textId="7A6B8DF3" w:rsidR="002249F7" w:rsidRDefault="00681E1C" w:rsidP="002249F7">
      <w:pPr>
        <w:ind w:firstLine="720"/>
        <w:jc w:val="both"/>
      </w:pPr>
      <w:r>
        <w:t>3. Siūlytina</w:t>
      </w:r>
      <w:r w:rsidR="00387D4E">
        <w:t xml:space="preserve"> </w:t>
      </w:r>
      <w:r w:rsidR="00F9799B">
        <w:t xml:space="preserve">apsvarstyti </w:t>
      </w:r>
      <w:r>
        <w:t>suvienodinti subjektus</w:t>
      </w:r>
      <w:r w:rsidR="00E971F3">
        <w:t xml:space="preserve"> </w:t>
      </w:r>
      <w:r>
        <w:t xml:space="preserve">– 2.2 </w:t>
      </w:r>
      <w:r w:rsidR="00387D4E">
        <w:t xml:space="preserve">ir 3.3 </w:t>
      </w:r>
      <w:r>
        <w:t>papunk</w:t>
      </w:r>
      <w:r w:rsidR="00387D4E">
        <w:t>čiuose</w:t>
      </w:r>
      <w:r>
        <w:t xml:space="preserve"> nurodyta</w:t>
      </w:r>
      <w:r w:rsidR="00E971F3">
        <w:t>, kad informaciją gaus</w:t>
      </w:r>
      <w:r>
        <w:t xml:space="preserve"> </w:t>
      </w:r>
      <w:r w:rsidRPr="002249F7">
        <w:rPr>
          <w:i/>
        </w:rPr>
        <w:t>Susisiekimo ministerija</w:t>
      </w:r>
      <w:r w:rsidR="002249F7" w:rsidRPr="002249F7">
        <w:rPr>
          <w:i/>
        </w:rPr>
        <w:t xml:space="preserve"> arba jos įgaliota</w:t>
      </w:r>
      <w:r w:rsidR="002249F7">
        <w:rPr>
          <w:i/>
        </w:rPr>
        <w:t xml:space="preserve"> institucija</w:t>
      </w:r>
      <w:r w:rsidR="00387D4E">
        <w:rPr>
          <w:i/>
        </w:rPr>
        <w:t xml:space="preserve"> ar įstaiga</w:t>
      </w:r>
      <w:r w:rsidR="002249F7">
        <w:t>, o 3.1</w:t>
      </w:r>
      <w:r w:rsidR="00387D4E">
        <w:t xml:space="preserve"> ir 3.2</w:t>
      </w:r>
      <w:r w:rsidR="002249F7">
        <w:t xml:space="preserve"> papunk</w:t>
      </w:r>
      <w:r w:rsidR="00387D4E">
        <w:t>čiuose</w:t>
      </w:r>
      <w:r w:rsidR="002249F7">
        <w:t xml:space="preserve"> – </w:t>
      </w:r>
      <w:r w:rsidR="002249F7" w:rsidRPr="002249F7">
        <w:rPr>
          <w:i/>
        </w:rPr>
        <w:t>Susisiekimo ministerija</w:t>
      </w:r>
      <w:r w:rsidR="002249F7">
        <w:t>.</w:t>
      </w:r>
    </w:p>
    <w:p w14:paraId="7F7DA2BF" w14:textId="77777777" w:rsidR="005B2C10" w:rsidRDefault="002C554D" w:rsidP="005B2C10">
      <w:pPr>
        <w:ind w:firstLine="720"/>
        <w:jc w:val="both"/>
        <w:rPr>
          <w:lang w:eastAsia="lt-LT"/>
        </w:rPr>
      </w:pPr>
      <w:r>
        <w:t>4</w:t>
      </w:r>
      <w:r w:rsidR="00681E1C">
        <w:t xml:space="preserve">. Svarstytina, ar neturėtų būti </w:t>
      </w:r>
      <w:r w:rsidR="00BD647E">
        <w:t>į P</w:t>
      </w:r>
      <w:r>
        <w:t>rojekte siūlomą keisti nutarimą įrašyta galiojančio nutarimo 3.2 papunkčio nuo</w:t>
      </w:r>
      <w:r w:rsidR="0093682E">
        <w:t>stata</w:t>
      </w:r>
      <w:r>
        <w:t xml:space="preserve">, kuri numato, kad nutarimas netaikomas </w:t>
      </w:r>
      <w:r w:rsidR="005B2C10" w:rsidRPr="005B2C10">
        <w:rPr>
          <w:lang w:eastAsia="lt-LT"/>
        </w:rPr>
        <w:t>valstybės elektroninių ryšių tinklų valdytojams, valdantiems nacionalinio saugumo ir gynybos interesams naudojamus elektroninių ryšių tinklus</w:t>
      </w:r>
      <w:r w:rsidR="00BD647E">
        <w:rPr>
          <w:lang w:eastAsia="lt-LT"/>
        </w:rPr>
        <w:t>.</w:t>
      </w:r>
    </w:p>
    <w:p w14:paraId="11D968BC" w14:textId="46910A31" w:rsidR="00BD647E" w:rsidRDefault="00A279D3" w:rsidP="005B2C10">
      <w:pPr>
        <w:ind w:firstLine="720"/>
        <w:jc w:val="both"/>
      </w:pPr>
      <w:r>
        <w:rPr>
          <w:lang w:eastAsia="lt-LT"/>
        </w:rPr>
        <w:t>5. Tikslintinas</w:t>
      </w:r>
      <w:r w:rsidR="00BD647E">
        <w:t xml:space="preserve"> Projekto 1 punkte siūlomo keisti nutarimo</w:t>
      </w:r>
      <w:r>
        <w:t xml:space="preserve"> 3.2 papunktis</w:t>
      </w:r>
      <w:r w:rsidR="00AA6854">
        <w:t>, siekiant aiškumo dėl skelbtino informacijos turinio: nurodytina</w:t>
      </w:r>
      <w:r>
        <w:t>, kas tvirtins ataskaitos formą</w:t>
      </w:r>
      <w:r w:rsidR="0093682E">
        <w:t xml:space="preserve"> </w:t>
      </w:r>
      <w:r>
        <w:t>(</w:t>
      </w:r>
      <w:r w:rsidR="00AA6854">
        <w:t xml:space="preserve">arba ataskaitos forma galėtų būti </w:t>
      </w:r>
      <w:r w:rsidR="008853DF">
        <w:t>tvirtin</w:t>
      </w:r>
      <w:r w:rsidR="00AA6854">
        <w:t>ama</w:t>
      </w:r>
      <w:r>
        <w:t xml:space="preserve"> </w:t>
      </w:r>
      <w:r w:rsidR="00AA6854">
        <w:t>keičiamu nutarimu), arba nuostata pildytina ataskaitos turinio elementais</w:t>
      </w:r>
      <w:r w:rsidR="005902DE">
        <w:t>.</w:t>
      </w:r>
    </w:p>
    <w:p w14:paraId="5C93A4C6" w14:textId="77777777" w:rsidR="005902DE" w:rsidRDefault="000A43AB" w:rsidP="005B2C10">
      <w:pPr>
        <w:ind w:firstLine="720"/>
        <w:jc w:val="both"/>
      </w:pPr>
      <w:r>
        <w:t xml:space="preserve">6. </w:t>
      </w:r>
      <w:r w:rsidR="005902DE">
        <w:t>Koreguotinas</w:t>
      </w:r>
      <w:r w:rsidR="005902DE" w:rsidRPr="005902DE">
        <w:t xml:space="preserve"> </w:t>
      </w:r>
      <w:r w:rsidR="005902DE">
        <w:t>Projekto 1 punkte siūlomo keisti nutarimo 3.3 papunktis,</w:t>
      </w:r>
      <w:r>
        <w:t xml:space="preserve"> nes jame nustatoma, kad apiben</w:t>
      </w:r>
      <w:r w:rsidR="005902DE">
        <w:t xml:space="preserve">drinus nutarimo 2.2 papunktyje surinktą informaciją, skelbiama informacija apie </w:t>
      </w:r>
      <w:r w:rsidR="005902DE" w:rsidRPr="00EF10EB">
        <w:rPr>
          <w:i/>
        </w:rPr>
        <w:t xml:space="preserve">valstybės </w:t>
      </w:r>
      <w:r w:rsidR="00EF10EB" w:rsidRPr="00EF10EB">
        <w:rPr>
          <w:i/>
        </w:rPr>
        <w:lastRenderedPageBreak/>
        <w:t>valdomų</w:t>
      </w:r>
      <w:r w:rsidR="005902DE" w:rsidRPr="00EF10EB">
        <w:rPr>
          <w:i/>
        </w:rPr>
        <w:t xml:space="preserve"> į</w:t>
      </w:r>
      <w:r w:rsidR="00EF10EB" w:rsidRPr="00EF10EB">
        <w:rPr>
          <w:i/>
        </w:rPr>
        <w:t>monių</w:t>
      </w:r>
      <w:r w:rsidR="00EF10EB">
        <w:t xml:space="preserve"> tinklus ir paslaugas</w:t>
      </w:r>
      <w:r>
        <w:t>, kai minėtame 2.2 papunktyje</w:t>
      </w:r>
      <w:r w:rsidR="005902DE">
        <w:t xml:space="preserve"> </w:t>
      </w:r>
      <w:r w:rsidR="00EF10EB">
        <w:t xml:space="preserve">reguliuojamos nuostatos dėl </w:t>
      </w:r>
      <w:r w:rsidR="00EF10EB" w:rsidRPr="00EF10EB">
        <w:rPr>
          <w:i/>
        </w:rPr>
        <w:t>bendrovių</w:t>
      </w:r>
      <w:r w:rsidR="00EF10EB">
        <w:t xml:space="preserve"> tinklų, paslaugų ir jų kainų. Siūlytina suderinti minėtuose punktuose vartojamas sąvokas ir </w:t>
      </w:r>
      <w:r w:rsidR="00321E83">
        <w:t>nuostatas.</w:t>
      </w:r>
    </w:p>
    <w:p w14:paraId="27252DC7" w14:textId="77777777" w:rsidR="00A3586E" w:rsidRDefault="00A3586E" w:rsidP="005B2C10">
      <w:pPr>
        <w:ind w:firstLine="720"/>
        <w:jc w:val="both"/>
      </w:pPr>
      <w:r>
        <w:t>7. Projekto 2.4 ir 2.5 papunkčiuose dėstomo keičiamo aprašo 8.3 ir 8.4 papunkčiuose yra nustatomos nuo</w:t>
      </w:r>
      <w:r w:rsidR="00795340">
        <w:t xml:space="preserve">statos </w:t>
      </w:r>
      <w:r>
        <w:t>dėl sutikimo, kuris atitinka Apra</w:t>
      </w:r>
      <w:r w:rsidR="00795340">
        <w:t>š</w:t>
      </w:r>
      <w:r>
        <w:t>o 12 punkte nustatyta sąlygas.</w:t>
      </w:r>
      <w:r w:rsidR="00795340">
        <w:t xml:space="preserve"> Pastebėtina, kad Projekto 2.6 papunktyje dėstomo keičiamo aprašo 12 punkte yra nustatytos ne </w:t>
      </w:r>
      <w:r w:rsidR="00795340" w:rsidRPr="00795340">
        <w:rPr>
          <w:i/>
        </w:rPr>
        <w:t>sutikimo</w:t>
      </w:r>
      <w:r w:rsidR="00795340">
        <w:t xml:space="preserve">, o </w:t>
      </w:r>
      <w:r w:rsidR="00795340" w:rsidRPr="00795340">
        <w:rPr>
          <w:i/>
        </w:rPr>
        <w:t>sutarties</w:t>
      </w:r>
      <w:r w:rsidR="00795340">
        <w:t xml:space="preserve"> sąlygos. Atsižvelgiant į tai, siūlytina koreguoti minėtas keičiamo aprašo 8.3 ir 8.4 papunkčių nuostatas.</w:t>
      </w:r>
    </w:p>
    <w:p w14:paraId="5859E9B5" w14:textId="77777777" w:rsidR="00DB7182" w:rsidRDefault="00DB7182" w:rsidP="005B2C10">
      <w:pPr>
        <w:ind w:firstLine="720"/>
        <w:jc w:val="both"/>
      </w:pPr>
      <w:r>
        <w:t>8. Projekto 2.6 papunktyje dėstomo keičiamo aprašo 11 punkte vietoj žodžių „teigiamą Susisiekimo ministerijos išvadą dėl tikslingumo plėtoti tinklą“</w:t>
      </w:r>
      <w:r w:rsidR="00796E93">
        <w:t xml:space="preserve"> </w:t>
      </w:r>
      <w:r w:rsidR="008853DF">
        <w:t xml:space="preserve">siūlytina </w:t>
      </w:r>
      <w:r w:rsidR="00796E93">
        <w:t>įrašyti žodžius „Aprašo 9 punkte nuro</w:t>
      </w:r>
      <w:r w:rsidR="008853DF">
        <w:t xml:space="preserve">dytą </w:t>
      </w:r>
      <w:r w:rsidR="00796E93">
        <w:t>išvadą“.</w:t>
      </w:r>
    </w:p>
    <w:p w14:paraId="0C67AA5C" w14:textId="77777777" w:rsidR="005212C9" w:rsidRPr="005B2C10" w:rsidRDefault="005212C9" w:rsidP="005B2C10">
      <w:pPr>
        <w:ind w:firstLine="720"/>
        <w:jc w:val="both"/>
      </w:pPr>
      <w:r>
        <w:t>9. Projekto 2.6 papunktyje dėstomo keičiamo aprašo 12.5 papunktyje siūlytina patikslinti</w:t>
      </w:r>
      <w:r w:rsidR="0093682E">
        <w:t>,</w:t>
      </w:r>
      <w:r>
        <w:t xml:space="preserve"> kas turi būti informuotas (ar informacija skelbiama viešai) ir kokia tvarka.</w:t>
      </w:r>
    </w:p>
    <w:p w14:paraId="7FFF4A95" w14:textId="77777777" w:rsidR="0093682E" w:rsidRDefault="00E42D07" w:rsidP="000B62E8">
      <w:pPr>
        <w:ind w:firstLine="720"/>
        <w:jc w:val="both"/>
      </w:pPr>
      <w:r>
        <w:t xml:space="preserve">10. </w:t>
      </w:r>
      <w:r w:rsidR="0093682E">
        <w:t xml:space="preserve">Vadovaujantis </w:t>
      </w:r>
      <w:r w:rsidR="0093682E" w:rsidRPr="00DE7196">
        <w:rPr>
          <w:lang w:eastAsia="lt-LT"/>
        </w:rPr>
        <w:t>Teisės aktų projektų rengimo rekomendacijų, patvirtintų Lietuvos Respublikos teisingumo ministro 2013 m. gruodžio 23 d. įsakymas Nr. 1R-298</w:t>
      </w:r>
      <w:r w:rsidR="0093682E">
        <w:rPr>
          <w:lang w:eastAsia="lt-LT"/>
        </w:rPr>
        <w:t>, 112 punktu</w:t>
      </w:r>
      <w:r w:rsidR="0093682E">
        <w:t>, r</w:t>
      </w:r>
      <w:r w:rsidR="0093682E">
        <w:rPr>
          <w:lang w:eastAsia="lt-LT"/>
        </w:rPr>
        <w:t>engiant P</w:t>
      </w:r>
      <w:r w:rsidR="0093682E" w:rsidRPr="0093682E">
        <w:rPr>
          <w:lang w:eastAsia="lt-LT"/>
        </w:rPr>
        <w:t xml:space="preserve">rojektą, kartu </w:t>
      </w:r>
      <w:r w:rsidR="0093682E">
        <w:rPr>
          <w:lang w:eastAsia="lt-LT"/>
        </w:rPr>
        <w:t xml:space="preserve">turėjo būti </w:t>
      </w:r>
      <w:r w:rsidR="0093682E" w:rsidRPr="0093682E">
        <w:rPr>
          <w:lang w:eastAsia="lt-LT"/>
        </w:rPr>
        <w:t xml:space="preserve">parengiamas ir </w:t>
      </w:r>
      <w:r w:rsidR="0093682E">
        <w:rPr>
          <w:lang w:eastAsia="lt-LT"/>
        </w:rPr>
        <w:t>kartu su Projektu pateiktas derinti P</w:t>
      </w:r>
      <w:r w:rsidR="0093682E" w:rsidRPr="0093682E">
        <w:rPr>
          <w:lang w:eastAsia="lt-LT"/>
        </w:rPr>
        <w:t>rojekto lyginamasis variantas</w:t>
      </w:r>
      <w:r w:rsidR="00AA6854">
        <w:rPr>
          <w:lang w:eastAsia="lt-LT"/>
        </w:rPr>
        <w:t>.</w:t>
      </w:r>
    </w:p>
    <w:p w14:paraId="7FDD3B0C" w14:textId="26139C04" w:rsidR="00BB234C" w:rsidRDefault="0093682E" w:rsidP="000B62E8">
      <w:pPr>
        <w:ind w:firstLine="720"/>
        <w:jc w:val="both"/>
      </w:pPr>
      <w:r>
        <w:t xml:space="preserve">11. </w:t>
      </w:r>
      <w:r w:rsidR="00BB234C">
        <w:t>Projekto pavadinim</w:t>
      </w:r>
      <w:r w:rsidR="00AA6854">
        <w:t>as</w:t>
      </w:r>
      <w:r w:rsidR="00BB234C">
        <w:t xml:space="preserve">, </w:t>
      </w:r>
      <w:r w:rsidR="00FD57D5">
        <w:t>2.</w:t>
      </w:r>
      <w:r w:rsidR="00681E1C">
        <w:t xml:space="preserve">2, </w:t>
      </w:r>
      <w:r w:rsidR="00BB234C">
        <w:t>2.6 papun</w:t>
      </w:r>
      <w:r w:rsidR="00681E1C">
        <w:t>kči</w:t>
      </w:r>
      <w:r w:rsidR="00AA6854">
        <w:t>ai taisytini kalbos požiūriu dėl esančių rašybos klaidų</w:t>
      </w:r>
      <w:r w:rsidR="00BB234C">
        <w:t>.</w:t>
      </w:r>
    </w:p>
    <w:p w14:paraId="652F448D" w14:textId="77777777" w:rsidR="00993893" w:rsidRDefault="00993893" w:rsidP="00E15916"/>
    <w:p w14:paraId="6165C58A" w14:textId="77777777" w:rsidR="00BA4C26" w:rsidRDefault="00BA4C26" w:rsidP="00E15916"/>
    <w:p w14:paraId="185823B0" w14:textId="77777777" w:rsidR="0075539B" w:rsidRDefault="0075539B" w:rsidP="00E15916"/>
    <w:p w14:paraId="085DE7A4" w14:textId="77777777" w:rsidR="0075539B" w:rsidRDefault="0075539B" w:rsidP="00E15916"/>
    <w:p w14:paraId="158C23BF" w14:textId="77777777" w:rsidR="00E15916" w:rsidRDefault="00E15916" w:rsidP="00E15916">
      <w:r>
        <w:t xml:space="preserve">Teisingumo ministras                                                                                        </w:t>
      </w:r>
      <w:r w:rsidR="002C42FC">
        <w:t xml:space="preserve">   Elvinas Jankevičius</w:t>
      </w:r>
      <w:r>
        <w:t xml:space="preserve">           </w:t>
      </w:r>
    </w:p>
    <w:p w14:paraId="3C440D76" w14:textId="77777777" w:rsidR="00993893" w:rsidRDefault="00993893" w:rsidP="00BC59D5"/>
    <w:p w14:paraId="19C52EC1" w14:textId="77777777" w:rsidR="0075539B" w:rsidRDefault="0075539B" w:rsidP="00BC59D5"/>
    <w:p w14:paraId="3C9F4F25" w14:textId="77777777" w:rsidR="00BA4C26" w:rsidRDefault="00BA4C26" w:rsidP="00BC59D5"/>
    <w:p w14:paraId="46AC1EA6" w14:textId="77777777" w:rsidR="00BA4C26" w:rsidRDefault="00BA4C26" w:rsidP="00BC59D5"/>
    <w:p w14:paraId="5420A8D6" w14:textId="77777777" w:rsidR="00DB7182" w:rsidRDefault="00DB7182" w:rsidP="00BC59D5"/>
    <w:p w14:paraId="03F9EE1E" w14:textId="77777777" w:rsidR="00DB7182" w:rsidRDefault="00DB7182" w:rsidP="00BC59D5"/>
    <w:p w14:paraId="2630963E" w14:textId="77777777" w:rsidR="00DB7182" w:rsidRDefault="00DB7182" w:rsidP="00BC59D5"/>
    <w:p w14:paraId="31009BD8" w14:textId="77777777" w:rsidR="00DB7182" w:rsidRDefault="00DB7182" w:rsidP="00BC59D5"/>
    <w:p w14:paraId="7F6786B4" w14:textId="77777777" w:rsidR="00DB7182" w:rsidRDefault="00DB7182" w:rsidP="00BC59D5"/>
    <w:p w14:paraId="41A7B468" w14:textId="77777777" w:rsidR="00BA4C26" w:rsidRDefault="00BA4C26" w:rsidP="00BC59D5"/>
    <w:p w14:paraId="59C0CDED" w14:textId="77777777" w:rsidR="0075539B" w:rsidRDefault="0075539B" w:rsidP="00BC59D5"/>
    <w:p w14:paraId="54A8D643" w14:textId="77777777" w:rsidR="00BC59D5" w:rsidRDefault="00BC59D5" w:rsidP="00BC59D5">
      <w:pPr>
        <w:tabs>
          <w:tab w:val="decimal" w:pos="9638"/>
        </w:tabs>
        <w:rPr>
          <w:color w:val="000000" w:themeColor="text1"/>
          <w:sz w:val="20"/>
        </w:rPr>
      </w:pPr>
      <w:r w:rsidRPr="00DE69AA">
        <w:rPr>
          <w:color w:val="000000" w:themeColor="text1"/>
          <w:sz w:val="20"/>
          <w:szCs w:val="20"/>
        </w:rPr>
        <w:t xml:space="preserve">Inga Grigienė, (8 5) </w:t>
      </w:r>
      <w:r w:rsidRPr="00DE69AA">
        <w:rPr>
          <w:color w:val="333333"/>
          <w:sz w:val="20"/>
          <w:szCs w:val="20"/>
        </w:rPr>
        <w:t>2662963</w:t>
      </w:r>
      <w:r w:rsidRPr="00DE69AA">
        <w:rPr>
          <w:color w:val="000000" w:themeColor="text1"/>
          <w:sz w:val="20"/>
          <w:szCs w:val="20"/>
        </w:rPr>
        <w:t xml:space="preserve">, el. p. </w:t>
      </w:r>
      <w:hyperlink r:id="rId8" w:history="1">
        <w:r w:rsidRPr="00272550">
          <w:rPr>
            <w:rStyle w:val="Hyperlink"/>
            <w:sz w:val="20"/>
            <w:szCs w:val="20"/>
          </w:rPr>
          <w:t>i.grigiene@tm.lt</w:t>
        </w:r>
      </w:hyperlink>
      <w:r w:rsidRPr="00CA1F17">
        <w:rPr>
          <w:color w:val="000000" w:themeColor="text1"/>
          <w:sz w:val="20"/>
        </w:rPr>
        <w:t xml:space="preserve"> </w:t>
      </w:r>
    </w:p>
    <w:p w14:paraId="6C30A805" w14:textId="77777777" w:rsidR="00DB0379" w:rsidRPr="009A12ED" w:rsidRDefault="00DB0379" w:rsidP="00DB0379">
      <w:pPr>
        <w:rPr>
          <w:sz w:val="20"/>
          <w:szCs w:val="20"/>
          <w:lang w:eastAsia="lt-LT"/>
        </w:rPr>
      </w:pPr>
      <w:proofErr w:type="spellStart"/>
      <w:r w:rsidRPr="00AC359D">
        <w:rPr>
          <w:sz w:val="20"/>
          <w:szCs w:val="20"/>
          <w:lang w:eastAsia="lt-LT"/>
        </w:rPr>
        <w:t>Rič</w:t>
      </w:r>
      <w:r>
        <w:rPr>
          <w:sz w:val="20"/>
          <w:szCs w:val="20"/>
          <w:lang w:eastAsia="lt-LT"/>
        </w:rPr>
        <w:t>ard</w:t>
      </w:r>
      <w:proofErr w:type="spellEnd"/>
      <w:r>
        <w:rPr>
          <w:sz w:val="20"/>
          <w:szCs w:val="20"/>
          <w:lang w:eastAsia="lt-LT"/>
        </w:rPr>
        <w:t xml:space="preserve"> </w:t>
      </w:r>
      <w:proofErr w:type="spellStart"/>
      <w:r>
        <w:rPr>
          <w:sz w:val="20"/>
          <w:szCs w:val="20"/>
          <w:lang w:eastAsia="lt-LT"/>
        </w:rPr>
        <w:t>Dzikovič</w:t>
      </w:r>
      <w:proofErr w:type="spellEnd"/>
      <w:r>
        <w:rPr>
          <w:sz w:val="20"/>
          <w:szCs w:val="20"/>
          <w:lang w:eastAsia="lt-LT"/>
        </w:rPr>
        <w:t xml:space="preserve"> (8 5) 2662939, el. </w:t>
      </w:r>
      <w:r w:rsidRPr="00AC359D">
        <w:rPr>
          <w:sz w:val="20"/>
          <w:szCs w:val="20"/>
          <w:lang w:eastAsia="lt-LT"/>
        </w:rPr>
        <w:t xml:space="preserve">p. </w:t>
      </w:r>
      <w:hyperlink r:id="rId9" w:history="1">
        <w:r w:rsidRPr="00AC359D">
          <w:rPr>
            <w:rStyle w:val="Hyperlink"/>
            <w:sz w:val="20"/>
            <w:szCs w:val="20"/>
            <w:lang w:eastAsia="lt-LT"/>
          </w:rPr>
          <w:t>r.dzikovic@tm.lt</w:t>
        </w:r>
      </w:hyperlink>
      <w:r w:rsidRPr="00AC359D">
        <w:rPr>
          <w:sz w:val="20"/>
          <w:szCs w:val="20"/>
          <w:lang w:eastAsia="lt-LT"/>
        </w:rPr>
        <w:t xml:space="preserve"> </w:t>
      </w:r>
    </w:p>
    <w:p w14:paraId="21AAC64C" w14:textId="77777777" w:rsidR="00BC59D5" w:rsidRPr="00FA295C" w:rsidRDefault="00BC59D5" w:rsidP="00BC59D5">
      <w:pPr>
        <w:rPr>
          <w:rFonts w:eastAsiaTheme="minorHAnsi"/>
          <w:color w:val="0000FF"/>
          <w:sz w:val="20"/>
          <w:szCs w:val="20"/>
          <w:u w:val="single"/>
          <w:lang w:val="fr-FR"/>
        </w:rPr>
      </w:pPr>
    </w:p>
    <w:sectPr w:rsidR="00BC59D5" w:rsidRPr="00FA295C" w:rsidSect="00D41078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D07BB" w14:textId="77777777" w:rsidR="00BC68E3" w:rsidRDefault="00BC68E3" w:rsidP="00E15916">
      <w:r>
        <w:separator/>
      </w:r>
    </w:p>
  </w:endnote>
  <w:endnote w:type="continuationSeparator" w:id="0">
    <w:p w14:paraId="2A85E4E2" w14:textId="77777777" w:rsidR="00BC68E3" w:rsidRDefault="00BC68E3" w:rsidP="00E1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EFF8E" w14:textId="77777777" w:rsidR="00AA6854" w:rsidRDefault="00BC59D5" w:rsidP="00BC59D5">
    <w:pPr>
      <w:pStyle w:val="Footer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</w:r>
    <w:r w:rsidR="009171F5">
      <w:t xml:space="preserve">                                                                      </w:t>
    </w:r>
  </w:p>
  <w:p w14:paraId="0C9EF4E8" w14:textId="77777777" w:rsidR="00AA6854" w:rsidRDefault="00BC59D5" w:rsidP="00AA6854">
    <w:pPr>
      <w:pStyle w:val="Footer"/>
    </w:pPr>
    <w:r>
      <w:rPr>
        <w:noProof/>
        <w:lang w:eastAsia="lt-LT"/>
      </w:rPr>
      <w:drawing>
        <wp:inline distT="0" distB="0" distL="0" distR="0" wp14:anchorId="5B62A11E" wp14:editId="71CBF0A2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71F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C179A" w14:textId="77777777" w:rsidR="00BC68E3" w:rsidRDefault="00BC68E3" w:rsidP="00E15916">
      <w:r>
        <w:separator/>
      </w:r>
    </w:p>
  </w:footnote>
  <w:footnote w:type="continuationSeparator" w:id="0">
    <w:p w14:paraId="035270B2" w14:textId="77777777" w:rsidR="00BC68E3" w:rsidRDefault="00BC68E3" w:rsidP="00E1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BCC7" w14:textId="77777777" w:rsidR="00AA6854" w:rsidRDefault="00AA6854" w:rsidP="00AA6854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7612" w14:textId="77777777" w:rsidR="00AA6854" w:rsidRPr="00095F50" w:rsidRDefault="009171F5" w:rsidP="00AA6854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2FEC0B3" wp14:editId="123376D6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95C97" w14:textId="77777777" w:rsidR="00AA6854" w:rsidRPr="006A0169" w:rsidRDefault="00AA6854" w:rsidP="00AA6854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511F4B4" w14:textId="77777777" w:rsidR="00AA6854" w:rsidRPr="006A0169" w:rsidRDefault="009171F5" w:rsidP="00AA6854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CE59427" w14:textId="77777777" w:rsidR="00AA6854" w:rsidRPr="006A0169" w:rsidRDefault="00AA6854" w:rsidP="00AA6854">
    <w:pPr>
      <w:suppressAutoHyphens w:val="0"/>
      <w:jc w:val="center"/>
      <w:rPr>
        <w:b/>
        <w:bCs/>
        <w:sz w:val="26"/>
        <w:lang w:eastAsia="en-US"/>
      </w:rPr>
    </w:pPr>
  </w:p>
  <w:p w14:paraId="1E717243" w14:textId="77777777" w:rsidR="00AA6854" w:rsidRDefault="009171F5" w:rsidP="00AA6854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13942DE" w14:textId="77777777" w:rsidR="00AA6854" w:rsidRDefault="009171F5" w:rsidP="00AA6854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0CC6FFEA" w14:textId="77777777" w:rsidR="00AA6854" w:rsidRDefault="009171F5" w:rsidP="00AA6854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49546F80" w14:textId="77777777" w:rsidR="00AA6854" w:rsidRDefault="009171F5" w:rsidP="00AA6854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47466F62" w14:textId="77777777" w:rsidR="00AA6854" w:rsidRDefault="00AA6854" w:rsidP="00AA6854">
    <w:pPr>
      <w:pStyle w:val="Header"/>
      <w:rPr>
        <w:szCs w:val="14"/>
      </w:rPr>
    </w:pPr>
  </w:p>
  <w:p w14:paraId="742BD7B8" w14:textId="77777777" w:rsidR="00FF40B2" w:rsidRPr="006A0169" w:rsidRDefault="00FF40B2" w:rsidP="00AA6854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0492"/>
    <w:multiLevelType w:val="hybridMultilevel"/>
    <w:tmpl w:val="FAB0B698"/>
    <w:lvl w:ilvl="0" w:tplc="C26E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F3231"/>
    <w:multiLevelType w:val="hybridMultilevel"/>
    <w:tmpl w:val="42064DB4"/>
    <w:lvl w:ilvl="0" w:tplc="43A0D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16"/>
    <w:rsid w:val="00004E5E"/>
    <w:rsid w:val="00041876"/>
    <w:rsid w:val="000418E5"/>
    <w:rsid w:val="000A43AB"/>
    <w:rsid w:val="000B62E8"/>
    <w:rsid w:val="000C5840"/>
    <w:rsid w:val="001354CA"/>
    <w:rsid w:val="00141155"/>
    <w:rsid w:val="001B5089"/>
    <w:rsid w:val="001C7AC9"/>
    <w:rsid w:val="00222A67"/>
    <w:rsid w:val="002249F7"/>
    <w:rsid w:val="0024057D"/>
    <w:rsid w:val="002407C9"/>
    <w:rsid w:val="00247DA1"/>
    <w:rsid w:val="00247EA9"/>
    <w:rsid w:val="002571F6"/>
    <w:rsid w:val="002A4974"/>
    <w:rsid w:val="002C42FC"/>
    <w:rsid w:val="002C554D"/>
    <w:rsid w:val="002C6721"/>
    <w:rsid w:val="002D0686"/>
    <w:rsid w:val="00321E83"/>
    <w:rsid w:val="003463A5"/>
    <w:rsid w:val="0035108E"/>
    <w:rsid w:val="00387D4E"/>
    <w:rsid w:val="003C2B05"/>
    <w:rsid w:val="0040256B"/>
    <w:rsid w:val="00415DAD"/>
    <w:rsid w:val="0042168F"/>
    <w:rsid w:val="004540E4"/>
    <w:rsid w:val="004C3F2E"/>
    <w:rsid w:val="005212C9"/>
    <w:rsid w:val="00523C60"/>
    <w:rsid w:val="00576918"/>
    <w:rsid w:val="005825F7"/>
    <w:rsid w:val="005902DE"/>
    <w:rsid w:val="005B2C10"/>
    <w:rsid w:val="005D5258"/>
    <w:rsid w:val="005F457A"/>
    <w:rsid w:val="00612687"/>
    <w:rsid w:val="0066669F"/>
    <w:rsid w:val="00670A23"/>
    <w:rsid w:val="00681E1C"/>
    <w:rsid w:val="006C5765"/>
    <w:rsid w:val="006C59C7"/>
    <w:rsid w:val="006F4751"/>
    <w:rsid w:val="0070102A"/>
    <w:rsid w:val="00730F8D"/>
    <w:rsid w:val="0075539B"/>
    <w:rsid w:val="00795340"/>
    <w:rsid w:val="00796E93"/>
    <w:rsid w:val="007B447A"/>
    <w:rsid w:val="007C14FE"/>
    <w:rsid w:val="007E25F9"/>
    <w:rsid w:val="008853DF"/>
    <w:rsid w:val="008B3602"/>
    <w:rsid w:val="009171F5"/>
    <w:rsid w:val="00930615"/>
    <w:rsid w:val="00932F52"/>
    <w:rsid w:val="0093682E"/>
    <w:rsid w:val="00973B4F"/>
    <w:rsid w:val="00993893"/>
    <w:rsid w:val="009F54D2"/>
    <w:rsid w:val="009F7722"/>
    <w:rsid w:val="00A15D47"/>
    <w:rsid w:val="00A24382"/>
    <w:rsid w:val="00A279D3"/>
    <w:rsid w:val="00A3586E"/>
    <w:rsid w:val="00A92967"/>
    <w:rsid w:val="00AA590B"/>
    <w:rsid w:val="00AA6854"/>
    <w:rsid w:val="00AD3F63"/>
    <w:rsid w:val="00B30A89"/>
    <w:rsid w:val="00B6080A"/>
    <w:rsid w:val="00B7361B"/>
    <w:rsid w:val="00BA4C26"/>
    <w:rsid w:val="00BB234C"/>
    <w:rsid w:val="00BC59D5"/>
    <w:rsid w:val="00BC68E3"/>
    <w:rsid w:val="00BD647E"/>
    <w:rsid w:val="00C41C89"/>
    <w:rsid w:val="00C555EF"/>
    <w:rsid w:val="00C55EC4"/>
    <w:rsid w:val="00C63CBC"/>
    <w:rsid w:val="00C977A1"/>
    <w:rsid w:val="00CB6C54"/>
    <w:rsid w:val="00D17991"/>
    <w:rsid w:val="00D251AC"/>
    <w:rsid w:val="00D33E9D"/>
    <w:rsid w:val="00D40E9A"/>
    <w:rsid w:val="00D41078"/>
    <w:rsid w:val="00D64BA3"/>
    <w:rsid w:val="00D77C3B"/>
    <w:rsid w:val="00DB0379"/>
    <w:rsid w:val="00DB7182"/>
    <w:rsid w:val="00DD6021"/>
    <w:rsid w:val="00DF6446"/>
    <w:rsid w:val="00E15916"/>
    <w:rsid w:val="00E17AC3"/>
    <w:rsid w:val="00E20B99"/>
    <w:rsid w:val="00E25C35"/>
    <w:rsid w:val="00E26DFF"/>
    <w:rsid w:val="00E42D07"/>
    <w:rsid w:val="00E510AA"/>
    <w:rsid w:val="00E971F3"/>
    <w:rsid w:val="00EE06A0"/>
    <w:rsid w:val="00EF10EB"/>
    <w:rsid w:val="00F9799B"/>
    <w:rsid w:val="00FA295C"/>
    <w:rsid w:val="00FD57D5"/>
    <w:rsid w:val="00FE297C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6617"/>
  <w15:chartTrackingRefBased/>
  <w15:docId w15:val="{9BB23D11-5CC7-4647-9547-9E86AE13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1">
    <w:name w:val="Antraštė1"/>
    <w:basedOn w:val="Normal"/>
    <w:next w:val="BodyText"/>
    <w:rsid w:val="00E15916"/>
    <w:pPr>
      <w:keepNext/>
      <w:spacing w:after="119"/>
      <w:jc w:val="center"/>
    </w:pPr>
    <w:rPr>
      <w:rFonts w:eastAsia="MS Mincho" w:cs="Tahoma"/>
      <w:szCs w:val="28"/>
    </w:rPr>
  </w:style>
  <w:style w:type="paragraph" w:styleId="Footer">
    <w:name w:val="footer"/>
    <w:basedOn w:val="Normal"/>
    <w:link w:val="FooterChar"/>
    <w:rsid w:val="00E15916"/>
    <w:pPr>
      <w:tabs>
        <w:tab w:val="right" w:pos="8306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15916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Normal"/>
    <w:rsid w:val="00E15916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E15916"/>
    <w:pPr>
      <w:ind w:right="318"/>
    </w:pPr>
  </w:style>
  <w:style w:type="paragraph" w:customStyle="1" w:styleId="Kopija">
    <w:name w:val="Kopija"/>
    <w:basedOn w:val="Adresas"/>
    <w:rsid w:val="00E15916"/>
    <w:pPr>
      <w:ind w:right="3999"/>
    </w:pPr>
  </w:style>
  <w:style w:type="paragraph" w:styleId="Header">
    <w:name w:val="header"/>
    <w:basedOn w:val="Normal"/>
    <w:link w:val="HeaderChar"/>
    <w:rsid w:val="00E15916"/>
  </w:style>
  <w:style w:type="character" w:customStyle="1" w:styleId="HeaderChar">
    <w:name w:val="Header Char"/>
    <w:basedOn w:val="DefaultParagraphFont"/>
    <w:link w:val="Header"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1591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159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47D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E4"/>
    <w:rPr>
      <w:rFonts w:ascii="Segoe UI" w:eastAsia="Times New Roman" w:hAnsi="Segoe UI" w:cs="Segoe UI"/>
      <w:sz w:val="18"/>
      <w:szCs w:val="18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4057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ttps://e-seimas.lrs.lt/portal/legalAct/lt/TAK/4902e541466111ea9b3585dbd527d9e8?jfwid=-rze41fz2i" TargetMode="External" Type="http://schemas.openxmlformats.org/officeDocument/2006/relationships/hyperlink"/>
<Relationship Id="rId8" Target="mailto:i.grigiene@tm.lt" TargetMode="External" Type="http://schemas.openxmlformats.org/officeDocument/2006/relationships/hyperlink"/>
<Relationship Id="rId9" Target="mailto:r.dzikovic@tm.lt" TargetMode="External" Type="http://schemas.openxmlformats.org/officeDocument/2006/relationships/hyperlink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2915</Words>
  <Characters>1662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2020-03-10T10:47:00Z</dcterms:created>
  <dc:creator>Tauras Rutkūnas</dc:creator>
  <cp:lastModifiedBy>Arturas Liatocha</cp:lastModifiedBy>
  <cp:lastPrinted>2020-02-17T14:32:00Z</cp:lastPrinted>
  <dcterms:modified xsi:type="dcterms:W3CDTF">2020-03-10T10:47:00Z</dcterms:modified>
  <cp:revision>2</cp:revision>
</cp:coreProperties>
</file>