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1DDEA" w14:textId="4E39ECC2" w:rsidR="0074528A" w:rsidRPr="005937B0" w:rsidRDefault="0074528A" w:rsidP="0074528A">
      <w:pPr>
        <w:jc w:val="center"/>
        <w:rPr>
          <w:b/>
          <w:bCs/>
        </w:rPr>
      </w:pPr>
      <w:r w:rsidRPr="005937B0">
        <w:rPr>
          <w:b/>
          <w:bCs/>
        </w:rPr>
        <w:t>DERINIMO PAŽYMA</w:t>
      </w:r>
    </w:p>
    <w:p w14:paraId="1F3CB129" w14:textId="73B8860A" w:rsidR="00A941DE" w:rsidRPr="005937B0" w:rsidRDefault="00A941DE" w:rsidP="0074528A">
      <w:pPr>
        <w:jc w:val="center"/>
        <w:rPr>
          <w:b/>
          <w:szCs w:val="22"/>
        </w:rPr>
      </w:pPr>
      <w:r w:rsidRPr="005937B0">
        <w:rPr>
          <w:b/>
          <w:bCs/>
        </w:rPr>
        <w:t>dėl Lietuvos Respublikos geležinkelių transporto eismo saugos įstatymo Nr. IX-1905 pakeitimo įstatymo projekto , Lietuvos Respublikos geležinkelių transporto kodekso 7, 13 straipsnių pakeitimo ir 11, 16 straipsnių pripažinimo netekusiais galios įstatymo projekto ir Lietuvos Respublikos administracinių nusižengimų kodekso</w:t>
      </w:r>
      <w:r w:rsidR="00AC7950">
        <w:rPr>
          <w:b/>
          <w:bCs/>
        </w:rPr>
        <w:t xml:space="preserve"> </w:t>
      </w:r>
      <w:r w:rsidR="00083661">
        <w:rPr>
          <w:b/>
          <w:bCs/>
        </w:rPr>
        <w:t xml:space="preserve">379 </w:t>
      </w:r>
      <w:r w:rsidR="00AC7950">
        <w:rPr>
          <w:b/>
          <w:bCs/>
        </w:rPr>
        <w:t>ir</w:t>
      </w:r>
      <w:r w:rsidRPr="005937B0">
        <w:rPr>
          <w:b/>
          <w:bCs/>
        </w:rPr>
        <w:t xml:space="preserve"> 381 </w:t>
      </w:r>
      <w:r w:rsidR="00AC7950" w:rsidRPr="005937B0">
        <w:rPr>
          <w:b/>
          <w:bCs/>
        </w:rPr>
        <w:t>straipsni</w:t>
      </w:r>
      <w:r w:rsidR="00AC7950">
        <w:rPr>
          <w:b/>
          <w:bCs/>
        </w:rPr>
        <w:t>ų</w:t>
      </w:r>
      <w:r w:rsidR="00AC7950" w:rsidRPr="005937B0">
        <w:rPr>
          <w:b/>
          <w:bCs/>
        </w:rPr>
        <w:t xml:space="preserve"> </w:t>
      </w:r>
      <w:r w:rsidRPr="005937B0">
        <w:rPr>
          <w:b/>
          <w:bCs/>
        </w:rPr>
        <w:t>pakeitimo įstatymo projekto</w:t>
      </w:r>
    </w:p>
    <w:p w14:paraId="1C6B15A7" w14:textId="77777777" w:rsidR="0074528A" w:rsidRPr="005937B0" w:rsidRDefault="0074528A" w:rsidP="0074528A">
      <w:pPr>
        <w:rPr>
          <w:b/>
          <w:bCs/>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4820"/>
        <w:gridCol w:w="7479"/>
      </w:tblGrid>
      <w:tr w:rsidR="0074528A" w:rsidRPr="005937B0" w14:paraId="4622E827" w14:textId="77777777" w:rsidTr="004D03CC">
        <w:trPr>
          <w:trHeight w:val="498"/>
        </w:trPr>
        <w:tc>
          <w:tcPr>
            <w:tcW w:w="2268" w:type="dxa"/>
            <w:vAlign w:val="center"/>
          </w:tcPr>
          <w:p w14:paraId="532A719F" w14:textId="77777777" w:rsidR="0074528A" w:rsidRPr="005937B0" w:rsidRDefault="0074528A" w:rsidP="004D03CC">
            <w:pPr>
              <w:jc w:val="center"/>
            </w:pPr>
            <w:r w:rsidRPr="005937B0">
              <w:rPr>
                <w:b/>
                <w:bCs/>
              </w:rPr>
              <w:t>Institucijos pavadinimas, rašto data ir numeris</w:t>
            </w:r>
          </w:p>
        </w:tc>
        <w:tc>
          <w:tcPr>
            <w:tcW w:w="4820" w:type="dxa"/>
            <w:vAlign w:val="center"/>
          </w:tcPr>
          <w:p w14:paraId="1E55C551" w14:textId="77777777" w:rsidR="0074528A" w:rsidRPr="005937B0" w:rsidRDefault="0074528A" w:rsidP="004D03CC">
            <w:pPr>
              <w:jc w:val="center"/>
            </w:pPr>
            <w:r w:rsidRPr="005937B0">
              <w:rPr>
                <w:b/>
                <w:bCs/>
              </w:rPr>
              <w:t>Pastabos ir pasiūlymai</w:t>
            </w:r>
          </w:p>
        </w:tc>
        <w:tc>
          <w:tcPr>
            <w:tcW w:w="7479" w:type="dxa"/>
            <w:vAlign w:val="center"/>
          </w:tcPr>
          <w:p w14:paraId="5B7F851F" w14:textId="77777777" w:rsidR="0074528A" w:rsidRPr="005937B0" w:rsidRDefault="0074528A" w:rsidP="004D03CC">
            <w:pPr>
              <w:jc w:val="center"/>
            </w:pPr>
            <w:r w:rsidRPr="005937B0">
              <w:rPr>
                <w:b/>
                <w:bCs/>
              </w:rPr>
              <w:t>Argumentai, kodėl neatsižvelgta į institucijų pastabas ir pasiūlymus</w:t>
            </w:r>
          </w:p>
        </w:tc>
      </w:tr>
      <w:tr w:rsidR="0074528A" w:rsidRPr="005937B0" w14:paraId="2DE100A6" w14:textId="77777777" w:rsidTr="004D03CC">
        <w:trPr>
          <w:trHeight w:val="1015"/>
        </w:trPr>
        <w:tc>
          <w:tcPr>
            <w:tcW w:w="2268" w:type="dxa"/>
          </w:tcPr>
          <w:p w14:paraId="3C192DF1" w14:textId="77777777" w:rsidR="0074528A" w:rsidRPr="005937B0" w:rsidRDefault="0074528A" w:rsidP="004D03CC">
            <w:r w:rsidRPr="005937B0">
              <w:t>Lietuvos Respublikos ekonomikos ir inovacijų ministerijos 2019-12-23 raštas Nr. (15.27-43E)-3-4724</w:t>
            </w:r>
          </w:p>
        </w:tc>
        <w:tc>
          <w:tcPr>
            <w:tcW w:w="4820" w:type="dxa"/>
            <w:tcBorders>
              <w:top w:val="single" w:sz="4" w:space="0" w:color="auto"/>
              <w:bottom w:val="single" w:sz="4" w:space="0" w:color="auto"/>
            </w:tcBorders>
          </w:tcPr>
          <w:p w14:paraId="2D044FCB" w14:textId="77777777" w:rsidR="0074528A" w:rsidRPr="005937B0" w:rsidRDefault="0074528A" w:rsidP="004D03CC">
            <w:pPr>
              <w:pStyle w:val="Pagrindinistekstas"/>
              <w:ind w:firstLine="0"/>
              <w:rPr>
                <w:rFonts w:cs="Times New Roman"/>
              </w:rPr>
            </w:pPr>
            <w:r w:rsidRPr="005937B0">
              <w:rPr>
                <w:rFonts w:cs="Times New Roman"/>
              </w:rPr>
              <w:t xml:space="preserve">,,8) Pažymime, kad GTESĮ projekto 8 straipsnio 9 dalyje nustatyta, kad Eismo saugos institucija per 4 mėnesius nuo dienos, kai tinkamai įformintas prašymas ir visi reikalingi dokumentai pateikiami institucijai, priima motyvuotą sprendimą išduoti arba atsisakyti išduoti saugos sertifikatą ir apie priimtą sprendimą informuoja subjektą. Šioje dalyje nurodyto sprendimo nepateikimas per nustatytą terminą nelaikomas saugos sertifikato išdavimu. Analogiška nuostata įtvirtinama ir 9 straipsnio 7 dalyje dėl saugos leidimo išdavimo. </w:t>
            </w:r>
          </w:p>
          <w:p w14:paraId="1975DF0A" w14:textId="77777777" w:rsidR="0074528A" w:rsidRPr="005937B0" w:rsidRDefault="0074528A" w:rsidP="004D03CC">
            <w:pPr>
              <w:pStyle w:val="Pagrindinistekstas"/>
              <w:rPr>
                <w:rFonts w:cs="Times New Roman"/>
              </w:rPr>
            </w:pPr>
            <w:r w:rsidRPr="005937B0">
              <w:rPr>
                <w:rFonts w:cs="Times New Roman"/>
              </w:rPr>
              <w:t xml:space="preserve">Atkreipiame dėmesį, kad, vadovaujantis Licencijavimo pagrindų aprašu, patvirtintu Lietuvos Respublikos Vyriausybės 2012 m. liepos 18 d. nutarimu Nr. 973 „Dėl Licencijavimo pagrindų aprašo patvirtinimo“ (toliau – Aprašas), teisė pradėti ar vykdyti tam tikrą veiklą ūkio subjekto įgyjama gavus licenciją, Apraše numatomi du licencijų išdavimo modeliai „G“ ir „D“. Pirmiau minėtas saugos sertifikatas ir saugos leidimas pagal šių licencijų išdavimo sąlygas priskirtini modeliui „G“. Aprašo 18.6 papunktyje nustatyta, kad, jeigu licencijai taikomas išdavimo modelis „G“, įstatyme turi būti įtvirtintos išimtys, jeigu tokios taikomos, kai licencijos neišdavimas ar motyvuoto atsisakymo išduoti licenciją nepateikimas per nustatytą terminą nelaikomas </w:t>
            </w:r>
            <w:r w:rsidRPr="005937B0">
              <w:rPr>
                <w:rFonts w:cs="Times New Roman"/>
              </w:rPr>
              <w:lastRenderedPageBreak/>
              <w:t>licencijos išdavimu (šios išimtys turi būti pateisintos svarbiais visuomenės interesais, įskaitant teisėtus trečiųjų asmenų interesus).</w:t>
            </w:r>
          </w:p>
          <w:p w14:paraId="59FA3043" w14:textId="77777777" w:rsidR="0074528A" w:rsidRPr="005937B0" w:rsidRDefault="0074528A" w:rsidP="004D03CC">
            <w:pPr>
              <w:pStyle w:val="Pagrindinistekstas"/>
              <w:ind w:firstLine="0"/>
              <w:rPr>
                <w:rFonts w:cs="Times New Roman"/>
              </w:rPr>
            </w:pPr>
            <w:r w:rsidRPr="005937B0">
              <w:rPr>
                <w:rFonts w:cs="Times New Roman"/>
              </w:rPr>
              <w:t>Siūlome įvertinti, ar tikslinga Įstatymo projekto 8 straipsnio 9 dalyje ir 9 straipsnio 7 dalyje nustatyti, kad nurodyto sprendimo apie licencijos išdavimą nepateikimas per nustatytą terminą nelaikomas saugos sertifikato išdavimu, t. y. taikyti Aprašo 18.6 papunktyje numatytą išimtį.“</w:t>
            </w:r>
          </w:p>
        </w:tc>
        <w:tc>
          <w:tcPr>
            <w:tcW w:w="7479" w:type="dxa"/>
            <w:tcBorders>
              <w:top w:val="single" w:sz="4" w:space="0" w:color="auto"/>
              <w:bottom w:val="single" w:sz="4" w:space="0" w:color="auto"/>
            </w:tcBorders>
            <w:shd w:val="clear" w:color="auto" w:fill="auto"/>
          </w:tcPr>
          <w:p w14:paraId="6E1A6BEE" w14:textId="77777777" w:rsidR="0074528A" w:rsidRPr="005937B0" w:rsidRDefault="0074528A" w:rsidP="004D03CC">
            <w:pPr>
              <w:jc w:val="both"/>
              <w:rPr>
                <w:b/>
              </w:rPr>
            </w:pPr>
            <w:r w:rsidRPr="005937B0">
              <w:rPr>
                <w:b/>
              </w:rPr>
              <w:lastRenderedPageBreak/>
              <w:t xml:space="preserve">Neatsižvelgta. </w:t>
            </w:r>
          </w:p>
          <w:p w14:paraId="550C8699" w14:textId="3DE26473" w:rsidR="00197FA5" w:rsidRPr="005937B0" w:rsidRDefault="001D1A75" w:rsidP="00197FA5">
            <w:pPr>
              <w:jc w:val="both"/>
              <w:rPr>
                <w:lang w:eastAsia="lt-LT"/>
              </w:rPr>
            </w:pPr>
            <w:r w:rsidRPr="005937B0">
              <w:rPr>
                <w:bCs/>
              </w:rPr>
              <w:t xml:space="preserve">Pagal </w:t>
            </w:r>
            <w:r w:rsidR="000858CB" w:rsidRPr="005937B0">
              <w:rPr>
                <w:bCs/>
              </w:rPr>
              <w:t>2018 m. balandžio 9 d. Komisijos įgyvendinimo reglamento (ES) 2018/763, kuriuo pagal Europos Parlamento ir Tarybos direktyvą (ES) 2016/798 nustatomos bendrų saugos sertifikatų išdavimo geležinkelio įmonėms praktinės taisyklės ir panaikinamas Komisijos reglamentas (EB)               Nr. 653/2007 (OL 2016 L 129, p. 49)</w:t>
            </w:r>
            <w:r w:rsidR="0074528A" w:rsidRPr="005937B0">
              <w:rPr>
                <w:bCs/>
              </w:rPr>
              <w:t xml:space="preserve"> 6 str</w:t>
            </w:r>
            <w:r w:rsidRPr="005937B0">
              <w:rPr>
                <w:bCs/>
              </w:rPr>
              <w:t>aipsnio</w:t>
            </w:r>
            <w:r w:rsidR="0074528A" w:rsidRPr="005937B0">
              <w:rPr>
                <w:bCs/>
              </w:rPr>
              <w:t xml:space="preserve"> 3 d</w:t>
            </w:r>
            <w:r w:rsidRPr="005937B0">
              <w:rPr>
                <w:bCs/>
              </w:rPr>
              <w:t xml:space="preserve">alį, </w:t>
            </w:r>
            <w:r w:rsidR="0074528A" w:rsidRPr="005937B0">
              <w:rPr>
                <w:bCs/>
              </w:rPr>
              <w:t>dėl bendro</w:t>
            </w:r>
            <w:r w:rsidR="002508DA">
              <w:rPr>
                <w:bCs/>
              </w:rPr>
              <w:t>jo</w:t>
            </w:r>
            <w:r w:rsidR="0074528A" w:rsidRPr="005937B0">
              <w:rPr>
                <w:bCs/>
              </w:rPr>
              <w:t xml:space="preserve"> saugos sertifikato išdavimo privalo būti priimtas </w:t>
            </w:r>
            <w:r w:rsidR="0074528A" w:rsidRPr="005937B0">
              <w:rPr>
                <w:bCs/>
                <w:u w:val="single"/>
              </w:rPr>
              <w:t>sprendimas</w:t>
            </w:r>
            <w:r w:rsidR="0074528A" w:rsidRPr="005937B0">
              <w:rPr>
                <w:bCs/>
              </w:rPr>
              <w:t xml:space="preserve">. </w:t>
            </w:r>
            <w:r w:rsidR="000858CB" w:rsidRPr="005937B0">
              <w:rPr>
                <w:bCs/>
              </w:rPr>
              <w:t xml:space="preserve">Lietuvos Respublikos geležinkelių transporto eismo saugos įstatymo Nr. IX-1905 (toliau – GTESĮ) pakeitimo įstatymo projekto (toliau – GTESĮ projektas) </w:t>
            </w:r>
            <w:r w:rsidR="00920C7C" w:rsidRPr="005937B0">
              <w:rPr>
                <w:bCs/>
              </w:rPr>
              <w:t xml:space="preserve">8 </w:t>
            </w:r>
            <w:r w:rsidR="00C1299C" w:rsidRPr="005937B0">
              <w:rPr>
                <w:bCs/>
              </w:rPr>
              <w:t>str</w:t>
            </w:r>
            <w:r w:rsidRPr="005937B0">
              <w:rPr>
                <w:bCs/>
              </w:rPr>
              <w:t>aipsnio</w:t>
            </w:r>
            <w:r w:rsidR="00C1299C" w:rsidRPr="005937B0">
              <w:rPr>
                <w:bCs/>
              </w:rPr>
              <w:t xml:space="preserve"> 3 d</w:t>
            </w:r>
            <w:r w:rsidRPr="005937B0">
              <w:rPr>
                <w:bCs/>
              </w:rPr>
              <w:t xml:space="preserve">alyje siūloma nustatyti, kad </w:t>
            </w:r>
            <w:r w:rsidR="00C1299C" w:rsidRPr="005937B0">
              <w:rPr>
                <w:bCs/>
              </w:rPr>
              <w:t>bendro</w:t>
            </w:r>
            <w:r w:rsidR="002508DA">
              <w:rPr>
                <w:bCs/>
              </w:rPr>
              <w:t>jo</w:t>
            </w:r>
            <w:r w:rsidR="00C1299C" w:rsidRPr="005937B0">
              <w:rPr>
                <w:bCs/>
              </w:rPr>
              <w:t xml:space="preserve"> saugos sertifikato paskirtis – įrodyti, kad, siekdamas kontroliuoti riziką, teikti saugias keleivių, bagažo ir (ar) krovinių vežimo vietiniais ir (ar) tarptautiniais maršrutais paslaugas geležinkelių tinkle ar jo dalyje ir (ar) saugiai naudotis geležinkelių infrastruktūra manevruodamas</w:t>
            </w:r>
            <w:r w:rsidR="000858CB" w:rsidRPr="005937B0">
              <w:t xml:space="preserve"> </w:t>
            </w:r>
            <w:r w:rsidR="000858CB" w:rsidRPr="005937B0">
              <w:rPr>
                <w:bCs/>
              </w:rPr>
              <w:t>ir (ar) važiuodamas į geležinkelių infrastruktūros objektų statybos, remonto ir (ar) techninės priežiūros darbų atlikimo vietą</w:t>
            </w:r>
            <w:r w:rsidR="00217334">
              <w:rPr>
                <w:bCs/>
              </w:rPr>
              <w:t xml:space="preserve"> ar iš jos</w:t>
            </w:r>
            <w:r w:rsidR="00C1299C" w:rsidRPr="005937B0">
              <w:rPr>
                <w:bCs/>
              </w:rPr>
              <w:t xml:space="preserve">, geležinkelio įmonė (vežėjas) ar kita įmonė, kuri </w:t>
            </w:r>
            <w:r w:rsidR="000858CB" w:rsidRPr="005937B0">
              <w:rPr>
                <w:bCs/>
              </w:rPr>
              <w:t>pageidauja manevruoti ir (ar) važiuoti į geležinkelių infrastruktūros objektų statybos, remonto ir (ar) techninės priežiūros darbų atlikimo vietą</w:t>
            </w:r>
            <w:r w:rsidR="00471BD5" w:rsidRPr="005937B0">
              <w:rPr>
                <w:bCs/>
              </w:rPr>
              <w:t xml:space="preserve"> (toliau – kitos įmonės)</w:t>
            </w:r>
            <w:r w:rsidR="00C1299C" w:rsidRPr="005937B0">
              <w:rPr>
                <w:bCs/>
              </w:rPr>
              <w:t>, parengė savo eismo saugos valdymo sistemą ir geba laikytis TSS, kituose Europos Sąjungos teisės aktuose ir nacionalinėse taisyklėse nustatytų reikalavimų. Taip pat ir infrastruktūros valdytojui išduodamas saugos leidimas  patvirtina, kad jis turi reikalavimus atitinkančią eismo saugos valdymo sistemą ir yra patvirtinęs priemones, kurios užtikrina saugų geležinkelių infrastruktūros projektavimą, valdymą, priežiūrą ir naudojimą bei traukinių eismo valdymą ir organizavimą (GTES</w:t>
            </w:r>
            <w:r w:rsidR="00E330AD" w:rsidRPr="005937B0">
              <w:rPr>
                <w:bCs/>
              </w:rPr>
              <w:t>Į projekto</w:t>
            </w:r>
            <w:r w:rsidR="00AE79D5" w:rsidRPr="005937B0">
              <w:rPr>
                <w:bCs/>
              </w:rPr>
              <w:t xml:space="preserve"> </w:t>
            </w:r>
            <w:r w:rsidR="00920C7C" w:rsidRPr="005937B0">
              <w:rPr>
                <w:bCs/>
              </w:rPr>
              <w:t xml:space="preserve">9 </w:t>
            </w:r>
            <w:r w:rsidR="00E330AD" w:rsidRPr="005937B0">
              <w:rPr>
                <w:bCs/>
              </w:rPr>
              <w:t>str</w:t>
            </w:r>
            <w:r w:rsidRPr="005937B0">
              <w:rPr>
                <w:bCs/>
              </w:rPr>
              <w:t>aipsnio</w:t>
            </w:r>
            <w:r w:rsidR="00E330AD" w:rsidRPr="005937B0">
              <w:rPr>
                <w:bCs/>
              </w:rPr>
              <w:t xml:space="preserve"> 3 d</w:t>
            </w:r>
            <w:r w:rsidRPr="005937B0">
              <w:rPr>
                <w:bCs/>
              </w:rPr>
              <w:t>alis</w:t>
            </w:r>
            <w:r w:rsidR="00E330AD" w:rsidRPr="005937B0">
              <w:rPr>
                <w:bCs/>
              </w:rPr>
              <w:t>)</w:t>
            </w:r>
            <w:r w:rsidR="00C1299C" w:rsidRPr="005937B0">
              <w:rPr>
                <w:bCs/>
              </w:rPr>
              <w:t xml:space="preserve">. Nurodytų </w:t>
            </w:r>
            <w:r w:rsidR="00197FA5" w:rsidRPr="005937B0">
              <w:rPr>
                <w:bCs/>
              </w:rPr>
              <w:t xml:space="preserve">asmenų </w:t>
            </w:r>
            <w:r w:rsidR="00C1299C" w:rsidRPr="005937B0">
              <w:rPr>
                <w:bCs/>
              </w:rPr>
              <w:t>atitiktis šiems reikalavimams</w:t>
            </w:r>
            <w:r w:rsidR="0074528A" w:rsidRPr="005937B0">
              <w:rPr>
                <w:bCs/>
              </w:rPr>
              <w:t xml:space="preserve"> yra itin svarbus visuomenės interesas, kadangi tiesiogiai susijęs su geležinkelių transporto eismo sauga. </w:t>
            </w:r>
            <w:r w:rsidR="006E3293" w:rsidRPr="005937B0">
              <w:rPr>
                <w:lang w:eastAsia="lt-LT"/>
              </w:rPr>
              <w:t>Prašymas išduoti bendrą</w:t>
            </w:r>
            <w:r w:rsidR="002508DA">
              <w:rPr>
                <w:lang w:eastAsia="lt-LT"/>
              </w:rPr>
              <w:t>jį</w:t>
            </w:r>
            <w:r w:rsidR="0074528A" w:rsidRPr="005937B0">
              <w:rPr>
                <w:lang w:eastAsia="lt-LT"/>
              </w:rPr>
              <w:t xml:space="preserve"> saugos sertifikatą bus </w:t>
            </w:r>
            <w:r w:rsidR="006E3293" w:rsidRPr="005937B0">
              <w:rPr>
                <w:lang w:eastAsia="lt-LT"/>
              </w:rPr>
              <w:t>teikiamas</w:t>
            </w:r>
            <w:r w:rsidR="0074528A" w:rsidRPr="005937B0">
              <w:rPr>
                <w:lang w:eastAsia="lt-LT"/>
              </w:rPr>
              <w:t xml:space="preserve"> </w:t>
            </w:r>
            <w:r w:rsidR="00197FA5" w:rsidRPr="005937B0">
              <w:rPr>
                <w:lang w:eastAsia="lt-LT"/>
              </w:rPr>
              <w:t xml:space="preserve"> Europos geležinkelių agentūros</w:t>
            </w:r>
            <w:r w:rsidR="008957A2" w:rsidRPr="005937B0">
              <w:rPr>
                <w:lang w:eastAsia="lt-LT"/>
              </w:rPr>
              <w:t xml:space="preserve"> (toliau – Agentūra)</w:t>
            </w:r>
            <w:r w:rsidR="00197FA5" w:rsidRPr="005937B0">
              <w:rPr>
                <w:lang w:eastAsia="lt-LT"/>
              </w:rPr>
              <w:t xml:space="preserve"> pagal 2016 m. gegužės 11 d. Europos Parlamento ir </w:t>
            </w:r>
            <w:r w:rsidR="00197FA5" w:rsidRPr="005937B0">
              <w:rPr>
                <w:lang w:eastAsia="lt-LT"/>
              </w:rPr>
              <w:lastRenderedPageBreak/>
              <w:t xml:space="preserve">Tarybos reglamento (ES) 2016/796 dėl Europos Sąjungos geležinkelių agentūros ir kuriuo panaikinamas Reglamentas (EB) </w:t>
            </w:r>
          </w:p>
          <w:p w14:paraId="06AB7164" w14:textId="42600899" w:rsidR="0074528A" w:rsidRPr="005937B0" w:rsidRDefault="00197FA5" w:rsidP="00197FA5">
            <w:pPr>
              <w:jc w:val="both"/>
              <w:rPr>
                <w:bCs/>
              </w:rPr>
            </w:pPr>
            <w:r w:rsidRPr="005937B0">
              <w:rPr>
                <w:lang w:eastAsia="lt-LT"/>
              </w:rPr>
              <w:t xml:space="preserve">Nr. 881/2004 </w:t>
            </w:r>
            <w:r w:rsidR="006E3293" w:rsidRPr="005937B0">
              <w:rPr>
                <w:lang w:eastAsia="lt-LT"/>
              </w:rPr>
              <w:t xml:space="preserve">(OL 2007 L 305, p. 30) </w:t>
            </w:r>
            <w:r w:rsidRPr="005937B0">
              <w:rPr>
                <w:lang w:eastAsia="lt-LT"/>
              </w:rPr>
              <w:t>12 straipsnį sukurtoje vieno langelio sistemoje</w:t>
            </w:r>
            <w:r w:rsidR="00B225CA" w:rsidRPr="005937B0">
              <w:rPr>
                <w:lang w:eastAsia="lt-LT"/>
              </w:rPr>
              <w:t xml:space="preserve"> (toliau – vieno langelio sistema)</w:t>
            </w:r>
            <w:r w:rsidRPr="005937B0">
              <w:rPr>
                <w:lang w:eastAsia="lt-LT"/>
              </w:rPr>
              <w:t xml:space="preserve"> </w:t>
            </w:r>
            <w:r w:rsidR="0074528A" w:rsidRPr="005937B0">
              <w:rPr>
                <w:lang w:eastAsia="lt-LT"/>
              </w:rPr>
              <w:t>(iki numatyto</w:t>
            </w:r>
            <w:r w:rsidR="001D1A75" w:rsidRPr="005937B0">
              <w:rPr>
                <w:lang w:eastAsia="lt-LT"/>
              </w:rPr>
              <w:t xml:space="preserve"> </w:t>
            </w:r>
            <w:r w:rsidR="0074528A" w:rsidRPr="005937B0">
              <w:rPr>
                <w:lang w:eastAsia="lt-LT"/>
              </w:rPr>
              <w:t xml:space="preserve">GTESĮ projekto įsigaliojimo – tiesiogiai Lietuvos Respublikos eismo saugos institucijai), taigi </w:t>
            </w:r>
            <w:r w:rsidR="006E3293" w:rsidRPr="005937B0">
              <w:rPr>
                <w:lang w:eastAsia="lt-LT"/>
              </w:rPr>
              <w:t>prašymo pateikimo procedūra</w:t>
            </w:r>
            <w:r w:rsidR="0074528A" w:rsidRPr="005937B0">
              <w:rPr>
                <w:lang w:eastAsia="lt-LT"/>
              </w:rPr>
              <w:t xml:space="preserve"> sudėtingėja, galimos klaidos ir vėlavimai, tačiau dėl bendro</w:t>
            </w:r>
            <w:r w:rsidR="002508DA">
              <w:rPr>
                <w:lang w:eastAsia="lt-LT"/>
              </w:rPr>
              <w:t>jo</w:t>
            </w:r>
            <w:r w:rsidR="0074528A" w:rsidRPr="005937B0">
              <w:rPr>
                <w:lang w:eastAsia="lt-LT"/>
              </w:rPr>
              <w:t xml:space="preserve"> saugos sertifikato išdavimo būtinas </w:t>
            </w:r>
            <w:r w:rsidR="0074528A" w:rsidRPr="005937B0">
              <w:rPr>
                <w:u w:val="single"/>
                <w:lang w:eastAsia="lt-LT"/>
              </w:rPr>
              <w:t>aiškus sprendimas</w:t>
            </w:r>
            <w:r w:rsidR="0074528A" w:rsidRPr="005937B0">
              <w:rPr>
                <w:lang w:eastAsia="lt-LT"/>
              </w:rPr>
              <w:t>.</w:t>
            </w:r>
          </w:p>
          <w:p w14:paraId="7A29BA67" w14:textId="77777777" w:rsidR="0074528A" w:rsidRPr="005937B0" w:rsidRDefault="0074528A" w:rsidP="004D03CC">
            <w:pPr>
              <w:jc w:val="both"/>
              <w:rPr>
                <w:lang w:eastAsia="lt-LT"/>
              </w:rPr>
            </w:pPr>
          </w:p>
        </w:tc>
      </w:tr>
      <w:tr w:rsidR="0074528A" w:rsidRPr="005937B0" w14:paraId="6CFD8228" w14:textId="77777777" w:rsidTr="004D03CC">
        <w:trPr>
          <w:trHeight w:val="1015"/>
        </w:trPr>
        <w:tc>
          <w:tcPr>
            <w:tcW w:w="2268" w:type="dxa"/>
          </w:tcPr>
          <w:p w14:paraId="2BE2A444" w14:textId="77777777" w:rsidR="0074528A" w:rsidRPr="005937B0" w:rsidRDefault="0074528A" w:rsidP="004D03CC">
            <w:r w:rsidRPr="005937B0">
              <w:lastRenderedPageBreak/>
              <w:t>Lietuvos Respublikos ekonomikos ir inovacijų ministerijos 2019-12-23 raštas Nr. (15.27-43E)-3-4724</w:t>
            </w:r>
          </w:p>
        </w:tc>
        <w:tc>
          <w:tcPr>
            <w:tcW w:w="4820" w:type="dxa"/>
            <w:tcBorders>
              <w:top w:val="single" w:sz="4" w:space="0" w:color="auto"/>
              <w:bottom w:val="single" w:sz="4" w:space="0" w:color="auto"/>
            </w:tcBorders>
          </w:tcPr>
          <w:p w14:paraId="30C494E1" w14:textId="77777777" w:rsidR="0074528A" w:rsidRPr="005937B0" w:rsidRDefault="0074528A" w:rsidP="004D03CC">
            <w:pPr>
              <w:pStyle w:val="Pagrindinistekstas"/>
              <w:ind w:firstLine="0"/>
              <w:rPr>
                <w:rFonts w:cs="Times New Roman"/>
              </w:rPr>
            </w:pPr>
            <w:r w:rsidRPr="005937B0">
              <w:rPr>
                <w:rFonts w:cs="Times New Roman"/>
              </w:rPr>
              <w:t>,,9) Remiantis Aprašo 20.1 ir 20.7 papunkčiais, nuostatos dėl dokumentų pateikimo būdų ir pranešimas ūkio subjektui apie gautus jo dokumentus ir (arba) informaciją turi būti įtvirtintos licencijavimo taisyklėse, todėl siūlome tikslinti GTESĮ projekto 8 straipsnio 7 dalį, 9 straipsnio 5 dalį, 18 straipsnio 4 dalį, 20 straipsnio 6 dalį, 21 straipsnio 5 dalį, 24 straipsnio 3 dalį, 25 straipsnio 4 dalį, 26 straipsnio 3 dalį, 27 straipsnio 3 dalį, 30 straipsnio 4 dalį ir atsisakyti perteklinių nuostatų.“</w:t>
            </w:r>
          </w:p>
        </w:tc>
        <w:tc>
          <w:tcPr>
            <w:tcW w:w="7479" w:type="dxa"/>
            <w:tcBorders>
              <w:top w:val="single" w:sz="4" w:space="0" w:color="auto"/>
              <w:bottom w:val="single" w:sz="4" w:space="0" w:color="auto"/>
            </w:tcBorders>
            <w:shd w:val="clear" w:color="auto" w:fill="auto"/>
          </w:tcPr>
          <w:p w14:paraId="00903CDB" w14:textId="77777777" w:rsidR="0074528A" w:rsidRPr="005937B0" w:rsidRDefault="0074528A" w:rsidP="004D03CC">
            <w:pPr>
              <w:jc w:val="both"/>
              <w:rPr>
                <w:b/>
              </w:rPr>
            </w:pPr>
            <w:r w:rsidRPr="005937B0">
              <w:rPr>
                <w:b/>
              </w:rPr>
              <w:t xml:space="preserve">Neatsižvelgta. </w:t>
            </w:r>
          </w:p>
          <w:p w14:paraId="387B4B1E" w14:textId="666585A8" w:rsidR="0074528A" w:rsidRPr="005937B0" w:rsidRDefault="008957A2" w:rsidP="004D03CC">
            <w:pPr>
              <w:jc w:val="both"/>
              <w:rPr>
                <w:b/>
              </w:rPr>
            </w:pPr>
            <w:r w:rsidRPr="005937B0">
              <w:rPr>
                <w:spacing w:val="-2"/>
              </w:rPr>
              <w:t>2016 m. gegužės 11 d. Europos Parlamento ir Tarybos direktyvos (ES) 2016/798 dėl geležinkelių saugos (OL 2016 L 138, p. 102)</w:t>
            </w:r>
            <w:r w:rsidRPr="005937B0" w:rsidDel="008957A2">
              <w:rPr>
                <w:bCs/>
              </w:rPr>
              <w:t xml:space="preserve"> </w:t>
            </w:r>
            <w:r w:rsidR="005C7678" w:rsidRPr="005937B0">
              <w:rPr>
                <w:bCs/>
              </w:rPr>
              <w:t xml:space="preserve">(toliau – Saugos direktyva) </w:t>
            </w:r>
            <w:r w:rsidR="0074528A" w:rsidRPr="005937B0">
              <w:rPr>
                <w:bCs/>
              </w:rPr>
              <w:t>10 str</w:t>
            </w:r>
            <w:r w:rsidR="001D1A75" w:rsidRPr="005937B0">
              <w:rPr>
                <w:bCs/>
              </w:rPr>
              <w:t>aipsnio</w:t>
            </w:r>
            <w:r w:rsidR="0074528A" w:rsidRPr="005937B0">
              <w:rPr>
                <w:bCs/>
              </w:rPr>
              <w:t xml:space="preserve"> 1 d</w:t>
            </w:r>
            <w:r w:rsidR="001D1A75" w:rsidRPr="005937B0">
              <w:rPr>
                <w:bCs/>
              </w:rPr>
              <w:t xml:space="preserve">alyje, </w:t>
            </w:r>
            <w:r w:rsidRPr="005937B0">
              <w:rPr>
                <w:bCs/>
                <w:lang w:eastAsia="lt-LT"/>
              </w:rPr>
              <w:t xml:space="preserve">2016 m. gegužės 11 d. </w:t>
            </w:r>
            <w:bookmarkStart w:id="0" w:name="_Hlk26862353"/>
            <w:r w:rsidRPr="005937B0">
              <w:rPr>
                <w:bCs/>
                <w:lang w:eastAsia="lt-LT"/>
              </w:rPr>
              <w:t xml:space="preserve">Europos Parlamento ir Tarybos direktyvos (ES) 2016/797 dėl geležinkelių sistemos sąveikos Europos Sąjungoje </w:t>
            </w:r>
            <w:bookmarkEnd w:id="0"/>
            <w:r w:rsidRPr="005937B0">
              <w:rPr>
                <w:spacing w:val="-2"/>
              </w:rPr>
              <w:t>(OL 2016 L 138, p. 44)</w:t>
            </w:r>
            <w:r w:rsidRPr="005937B0" w:rsidDel="008957A2">
              <w:rPr>
                <w:bCs/>
              </w:rPr>
              <w:t xml:space="preserve"> </w:t>
            </w:r>
            <w:r w:rsidR="0074528A" w:rsidRPr="005937B0">
              <w:rPr>
                <w:bCs/>
              </w:rPr>
              <w:t>(toliau – Sąveikos direktyva) 19 str</w:t>
            </w:r>
            <w:r w:rsidR="001D1A75" w:rsidRPr="005937B0">
              <w:rPr>
                <w:bCs/>
              </w:rPr>
              <w:t xml:space="preserve">aipsnio </w:t>
            </w:r>
            <w:r w:rsidR="0074528A" w:rsidRPr="005937B0">
              <w:rPr>
                <w:bCs/>
              </w:rPr>
              <w:t>3 d</w:t>
            </w:r>
            <w:r w:rsidR="001D1A75" w:rsidRPr="005937B0">
              <w:rPr>
                <w:bCs/>
              </w:rPr>
              <w:t>alyje</w:t>
            </w:r>
            <w:r w:rsidRPr="005937B0">
              <w:rPr>
                <w:bCs/>
              </w:rPr>
              <w:t xml:space="preserve"> ir</w:t>
            </w:r>
            <w:r w:rsidR="0074528A" w:rsidRPr="005937B0">
              <w:rPr>
                <w:bCs/>
              </w:rPr>
              <w:t xml:space="preserve"> 21 str</w:t>
            </w:r>
            <w:r w:rsidR="001D1A75" w:rsidRPr="005937B0">
              <w:rPr>
                <w:bCs/>
              </w:rPr>
              <w:t xml:space="preserve">aipsnio </w:t>
            </w:r>
            <w:r w:rsidR="0074528A" w:rsidRPr="005937B0">
              <w:rPr>
                <w:bCs/>
              </w:rPr>
              <w:t>3 d</w:t>
            </w:r>
            <w:r w:rsidR="001D1A75" w:rsidRPr="005937B0">
              <w:rPr>
                <w:bCs/>
              </w:rPr>
              <w:t xml:space="preserve">alyje </w:t>
            </w:r>
            <w:r w:rsidR="0074528A" w:rsidRPr="005937B0">
              <w:rPr>
                <w:bCs/>
              </w:rPr>
              <w:t xml:space="preserve">numatyta, kad paraiškos dėl </w:t>
            </w:r>
            <w:r w:rsidR="00C353F5" w:rsidRPr="005937B0">
              <w:rPr>
                <w:bCs/>
              </w:rPr>
              <w:t xml:space="preserve">bendrų </w:t>
            </w:r>
            <w:r w:rsidR="0074528A" w:rsidRPr="005937B0">
              <w:rPr>
                <w:bCs/>
              </w:rPr>
              <w:t>saugos sertifikatų, leidimų geležinkelių riedmenims</w:t>
            </w:r>
            <w:r w:rsidR="00B225CA" w:rsidRPr="005937B0">
              <w:rPr>
                <w:bCs/>
              </w:rPr>
              <w:t xml:space="preserve"> išdavimo</w:t>
            </w:r>
            <w:r w:rsidR="0074528A" w:rsidRPr="005937B0">
              <w:rPr>
                <w:bCs/>
              </w:rPr>
              <w:t xml:space="preserve"> ir</w:t>
            </w:r>
            <w:r w:rsidR="00B225CA" w:rsidRPr="005937B0">
              <w:rPr>
                <w:bCs/>
              </w:rPr>
              <w:t xml:space="preserve"> prašymai, kad Agentūra patvirtintų sprendimus dėl numatytų techninių sprendimų, skirtų Europos geležinkelių eismo valdymo sistemos (toliau – ERTMS) kelio įrangos projektams, </w:t>
            </w:r>
            <w:r w:rsidR="0074528A" w:rsidRPr="005937B0">
              <w:rPr>
                <w:bCs/>
              </w:rPr>
              <w:t xml:space="preserve">turi būti </w:t>
            </w:r>
            <w:r w:rsidR="00B225CA" w:rsidRPr="005937B0">
              <w:rPr>
                <w:bCs/>
              </w:rPr>
              <w:t>teikiami vieno langelio sistemoje</w:t>
            </w:r>
            <w:r w:rsidR="0074528A" w:rsidRPr="005937B0">
              <w:rPr>
                <w:bCs/>
              </w:rPr>
              <w:t>, nesvarbu, ar paraišką nagrinės Agentūra, ar eismo saugos institucija. Tai yra Licencijavimo pagrindų apraše, patvirtintame Lietuvos Respublikos Vyriausybės 2012 m. liepos 18 d. nutarimu Nr. 973 „Dėl Licencijavimo pagrindų aprašo patvirtinimo“ 20.1 p</w:t>
            </w:r>
            <w:r w:rsidR="001D1A75" w:rsidRPr="005937B0">
              <w:rPr>
                <w:bCs/>
              </w:rPr>
              <w:t>apunktyje</w:t>
            </w:r>
            <w:r w:rsidR="0074528A" w:rsidRPr="005937B0">
              <w:rPr>
                <w:bCs/>
              </w:rPr>
              <w:t xml:space="preserve"> nenumatytas atvejis. Terminas, per kurį </w:t>
            </w:r>
            <w:r w:rsidR="00B225CA" w:rsidRPr="005937B0">
              <w:rPr>
                <w:bCs/>
              </w:rPr>
              <w:t xml:space="preserve">eismo saugos </w:t>
            </w:r>
            <w:r w:rsidR="0074528A" w:rsidRPr="005937B0">
              <w:rPr>
                <w:bCs/>
              </w:rPr>
              <w:t xml:space="preserve">institucija turi pranešti apie gautus dokumentus ir įvertinti jų tinkamumą, yra svarbus ūkio subjektui, kadangi nuo šio termino pabaigos pradedamas skaičiuoti 4 mėn. terminas, per kurį eismo saugos institucija privalo išduoti atitinkamai </w:t>
            </w:r>
            <w:r w:rsidR="00B225CA" w:rsidRPr="005937B0">
              <w:rPr>
                <w:bCs/>
              </w:rPr>
              <w:t>bendrą</w:t>
            </w:r>
            <w:r w:rsidR="002508DA">
              <w:rPr>
                <w:bCs/>
              </w:rPr>
              <w:t>jį</w:t>
            </w:r>
            <w:r w:rsidR="00B225CA" w:rsidRPr="005937B0">
              <w:rPr>
                <w:bCs/>
              </w:rPr>
              <w:t xml:space="preserve"> saugos </w:t>
            </w:r>
            <w:r w:rsidR="0074528A" w:rsidRPr="005937B0">
              <w:rPr>
                <w:bCs/>
              </w:rPr>
              <w:t xml:space="preserve">sertifikatą ar </w:t>
            </w:r>
            <w:r w:rsidR="00B225CA" w:rsidRPr="005937B0">
              <w:rPr>
                <w:bCs/>
              </w:rPr>
              <w:t xml:space="preserve">saugos </w:t>
            </w:r>
            <w:r w:rsidR="0074528A" w:rsidRPr="005937B0">
              <w:rPr>
                <w:bCs/>
              </w:rPr>
              <w:t>leidimą</w:t>
            </w:r>
            <w:r w:rsidR="00C353F5" w:rsidRPr="005937B0">
              <w:rPr>
                <w:bCs/>
              </w:rPr>
              <w:t xml:space="preserve"> (GTESĮ </w:t>
            </w:r>
            <w:r w:rsidR="001D1A75" w:rsidRPr="005937B0">
              <w:rPr>
                <w:bCs/>
              </w:rPr>
              <w:t>projekto 8</w:t>
            </w:r>
            <w:r w:rsidR="00C353F5" w:rsidRPr="005937B0">
              <w:rPr>
                <w:bCs/>
              </w:rPr>
              <w:t xml:space="preserve"> str</w:t>
            </w:r>
            <w:r w:rsidR="001D1A75" w:rsidRPr="005937B0">
              <w:rPr>
                <w:bCs/>
              </w:rPr>
              <w:t xml:space="preserve">aipsnio </w:t>
            </w:r>
            <w:r w:rsidR="00C353F5" w:rsidRPr="005937B0">
              <w:rPr>
                <w:bCs/>
              </w:rPr>
              <w:t>6 d</w:t>
            </w:r>
            <w:r w:rsidR="001D1A75" w:rsidRPr="005937B0">
              <w:rPr>
                <w:bCs/>
              </w:rPr>
              <w:t>alis</w:t>
            </w:r>
            <w:r w:rsidR="00C353F5" w:rsidRPr="005937B0">
              <w:rPr>
                <w:bCs/>
              </w:rPr>
              <w:t xml:space="preserve">, </w:t>
            </w:r>
            <w:r w:rsidR="002508DA" w:rsidRPr="005937B0">
              <w:rPr>
                <w:bCs/>
              </w:rPr>
              <w:t>1</w:t>
            </w:r>
            <w:r w:rsidR="002508DA">
              <w:rPr>
                <w:bCs/>
              </w:rPr>
              <w:t>1</w:t>
            </w:r>
            <w:r w:rsidR="002508DA" w:rsidRPr="005937B0">
              <w:rPr>
                <w:bCs/>
              </w:rPr>
              <w:t xml:space="preserve"> </w:t>
            </w:r>
            <w:r w:rsidR="00C353F5" w:rsidRPr="005937B0">
              <w:rPr>
                <w:bCs/>
              </w:rPr>
              <w:t>str</w:t>
            </w:r>
            <w:r w:rsidR="001D1A75" w:rsidRPr="005937B0">
              <w:rPr>
                <w:bCs/>
              </w:rPr>
              <w:t>aipsnio</w:t>
            </w:r>
            <w:r w:rsidR="00C353F5" w:rsidRPr="005937B0">
              <w:rPr>
                <w:bCs/>
              </w:rPr>
              <w:t xml:space="preserve"> </w:t>
            </w:r>
            <w:r w:rsidR="00EF353F">
              <w:rPr>
                <w:bCs/>
              </w:rPr>
              <w:t>7</w:t>
            </w:r>
            <w:r w:rsidR="00EF353F" w:rsidRPr="005937B0">
              <w:rPr>
                <w:bCs/>
              </w:rPr>
              <w:t xml:space="preserve"> </w:t>
            </w:r>
            <w:r w:rsidR="00C353F5" w:rsidRPr="005937B0">
              <w:rPr>
                <w:bCs/>
              </w:rPr>
              <w:t>d</w:t>
            </w:r>
            <w:r w:rsidR="001D1A75" w:rsidRPr="005937B0">
              <w:rPr>
                <w:bCs/>
              </w:rPr>
              <w:t>alis</w:t>
            </w:r>
            <w:r w:rsidR="00C353F5" w:rsidRPr="005937B0">
              <w:rPr>
                <w:bCs/>
              </w:rPr>
              <w:t>)</w:t>
            </w:r>
            <w:r w:rsidR="0074528A" w:rsidRPr="005937B0">
              <w:rPr>
                <w:bCs/>
              </w:rPr>
              <w:t xml:space="preserve">. Terminas, per kurį eismo saugos institucija pateikia pareiškėjui patvirtinimą apie prašymo ir dokumentų gavimą yra labai svarbus pareiškėjui visais atvejais, nes nuo šio termino atsiranda pareiga institucijai priimti atitinkamą sprendimą, o </w:t>
            </w:r>
            <w:r w:rsidR="00C353F5" w:rsidRPr="005937B0">
              <w:rPr>
                <w:bCs/>
              </w:rPr>
              <w:t>prašymą pateikusiam asmeniui</w:t>
            </w:r>
            <w:r w:rsidR="0074528A" w:rsidRPr="005937B0">
              <w:rPr>
                <w:bCs/>
              </w:rPr>
              <w:t xml:space="preserve"> teisė reikalauti</w:t>
            </w:r>
            <w:r w:rsidR="00C353F5" w:rsidRPr="005937B0">
              <w:rPr>
                <w:bCs/>
              </w:rPr>
              <w:t xml:space="preserve"> sprendimo</w:t>
            </w:r>
            <w:r w:rsidR="0074528A" w:rsidRPr="005937B0">
              <w:rPr>
                <w:bCs/>
              </w:rPr>
              <w:t xml:space="preserve">. </w:t>
            </w:r>
            <w:r w:rsidR="00C353F5" w:rsidRPr="005937B0">
              <w:rPr>
                <w:bCs/>
              </w:rPr>
              <w:t>Taigi š</w:t>
            </w:r>
            <w:r w:rsidR="0074528A" w:rsidRPr="005937B0">
              <w:rPr>
                <w:bCs/>
              </w:rPr>
              <w:t xml:space="preserve">ios nuostatos yra reikšmingos ūkio subjektams, jų teisių įgyvendinimui, todėl reikalinga jas įtvirtinti įstatyme. </w:t>
            </w:r>
            <w:r w:rsidR="00C353F5" w:rsidRPr="005937B0">
              <w:rPr>
                <w:bCs/>
              </w:rPr>
              <w:lastRenderedPageBreak/>
              <w:t>Be to</w:t>
            </w:r>
            <w:r w:rsidR="0074528A" w:rsidRPr="005937B0">
              <w:rPr>
                <w:bCs/>
              </w:rPr>
              <w:t xml:space="preserve">, </w:t>
            </w:r>
            <w:r w:rsidR="00C353F5" w:rsidRPr="005937B0">
              <w:rPr>
                <w:bCs/>
              </w:rPr>
              <w:t>kadangi</w:t>
            </w:r>
            <w:r w:rsidR="0074528A" w:rsidRPr="005937B0">
              <w:rPr>
                <w:bCs/>
              </w:rPr>
              <w:t xml:space="preserve"> kai kuriais atvejais Europos Sąjungos tiesiogiai taikomi teisės aktai itin detaliai nustato procedūras, nėra poreikio tvirtinti nacionalines procedūrines taisykles</w:t>
            </w:r>
            <w:r w:rsidR="00C353F5" w:rsidRPr="005937B0">
              <w:rPr>
                <w:bCs/>
              </w:rPr>
              <w:t>,</w:t>
            </w:r>
            <w:r w:rsidR="0074528A" w:rsidRPr="005937B0">
              <w:rPr>
                <w:bCs/>
              </w:rPr>
              <w:t xml:space="preserve"> </w:t>
            </w:r>
            <w:r w:rsidR="00C353F5" w:rsidRPr="005937B0">
              <w:rPr>
                <w:bCs/>
              </w:rPr>
              <w:t>tačiau</w:t>
            </w:r>
            <w:r w:rsidR="0074528A" w:rsidRPr="005937B0">
              <w:rPr>
                <w:bCs/>
              </w:rPr>
              <w:t xml:space="preserve"> atsisakius atitinkamų nuostatų įstatyme, reikėtų priimti naujus teisės aktus</w:t>
            </w:r>
            <w:r w:rsidR="00C353F5" w:rsidRPr="005937B0">
              <w:rPr>
                <w:bCs/>
              </w:rPr>
              <w:t>.</w:t>
            </w:r>
            <w:r w:rsidR="0074528A" w:rsidRPr="005937B0">
              <w:rPr>
                <w:bCs/>
              </w:rPr>
              <w:t xml:space="preserve"> </w:t>
            </w:r>
            <w:r w:rsidR="00C353F5" w:rsidRPr="005937B0">
              <w:rPr>
                <w:bCs/>
              </w:rPr>
              <w:t>T</w:t>
            </w:r>
            <w:r w:rsidR="0074528A" w:rsidRPr="005937B0">
              <w:rPr>
                <w:bCs/>
              </w:rPr>
              <w:t xml:space="preserve">ai galimai neatitiktų teisėkūros efektyvumo, ekonomiškumo siekių. </w:t>
            </w:r>
          </w:p>
        </w:tc>
      </w:tr>
      <w:tr w:rsidR="0074528A" w:rsidRPr="005937B0" w14:paraId="256DBD53" w14:textId="77777777" w:rsidTr="004D03CC">
        <w:trPr>
          <w:trHeight w:val="1015"/>
        </w:trPr>
        <w:tc>
          <w:tcPr>
            <w:tcW w:w="2268" w:type="dxa"/>
          </w:tcPr>
          <w:p w14:paraId="5477300A" w14:textId="77777777" w:rsidR="0074528A" w:rsidRPr="005937B0" w:rsidRDefault="0074528A" w:rsidP="004D03CC">
            <w:r w:rsidRPr="005937B0">
              <w:lastRenderedPageBreak/>
              <w:t>Lietuvos Respublikos ekonomikos ir inovacijų ministerijos 2019-12-23 raštas Nr. (15.27-43E)-3-4724</w:t>
            </w:r>
          </w:p>
        </w:tc>
        <w:tc>
          <w:tcPr>
            <w:tcW w:w="4820" w:type="dxa"/>
            <w:tcBorders>
              <w:top w:val="single" w:sz="4" w:space="0" w:color="auto"/>
              <w:bottom w:val="single" w:sz="4" w:space="0" w:color="auto"/>
            </w:tcBorders>
          </w:tcPr>
          <w:p w14:paraId="7B7AE50B" w14:textId="77777777" w:rsidR="0074528A" w:rsidRPr="005937B0" w:rsidRDefault="0074528A" w:rsidP="004D03CC">
            <w:pPr>
              <w:pStyle w:val="Pagrindinistekstas"/>
              <w:ind w:firstLine="0"/>
              <w:rPr>
                <w:rFonts w:cs="Times New Roman"/>
              </w:rPr>
            </w:pPr>
            <w:r w:rsidRPr="005937B0">
              <w:rPr>
                <w:rFonts w:cs="Times New Roman"/>
              </w:rPr>
              <w:t>,,Atkreipiame Jūsų dėmesį ir primename, kad Lietuvos Respublikos Vyriausybės 2019 m. sausio 9 d. posėdžio protokolo Nr. 1 (toliau – Protokolas) 15 klausimo 3 punkte ministerijoms pagal kompetenciją buvo pavesta iki 2019 m. gegužės 1 d. pateikti Vyriausybei teisės aktų, kuriuose naikinami atvejai, kai privaloma išduoti licencijų, leidimų, reikalingų tam tikrai ūkinei veiklai pradėti ar vykdyti, dublikatus, popierinės formos licencijas ir (ar) jas privaloma turėti, jeigu toks reikalavimas nėra nustatytas Europos Sąjungos teisės aktuose arba Lietuvos Respublikos tarptautinėse sutartyse, pakeitimo projektus. Atsižvelgdami į minėto Vyriausybės posėdžio protokolo pavedimą, prašom GTESĮ projekte išbraukti nuostatas, susijusias su traukinio mašinisto pažymėjimų dublikatų išdavimu.“</w:t>
            </w:r>
          </w:p>
        </w:tc>
        <w:tc>
          <w:tcPr>
            <w:tcW w:w="7479" w:type="dxa"/>
            <w:tcBorders>
              <w:top w:val="single" w:sz="4" w:space="0" w:color="auto"/>
              <w:bottom w:val="single" w:sz="4" w:space="0" w:color="auto"/>
            </w:tcBorders>
            <w:shd w:val="clear" w:color="auto" w:fill="auto"/>
          </w:tcPr>
          <w:p w14:paraId="34B1C90A" w14:textId="77777777" w:rsidR="0074528A" w:rsidRPr="005937B0" w:rsidRDefault="0074528A" w:rsidP="004D03CC">
            <w:pPr>
              <w:jc w:val="both"/>
              <w:rPr>
                <w:b/>
              </w:rPr>
            </w:pPr>
            <w:r w:rsidRPr="005937B0">
              <w:rPr>
                <w:b/>
              </w:rPr>
              <w:t>Neatsižvelgta.</w:t>
            </w:r>
          </w:p>
          <w:p w14:paraId="237A49CB" w14:textId="3A869809" w:rsidR="0074528A" w:rsidRPr="005937B0" w:rsidRDefault="0074528A" w:rsidP="004D03CC">
            <w:pPr>
              <w:jc w:val="both"/>
              <w:rPr>
                <w:bCs/>
              </w:rPr>
            </w:pPr>
            <w:r w:rsidRPr="005937B0">
              <w:rPr>
                <w:bCs/>
              </w:rPr>
              <w:t xml:space="preserve">Valstybės narės pareigą sudaryti galimybę gauti traukinio mašinisto pažymėjimo dublikatą </w:t>
            </w:r>
            <w:r w:rsidR="001D1A75" w:rsidRPr="005937B0">
              <w:rPr>
                <w:bCs/>
              </w:rPr>
              <w:t xml:space="preserve">yra </w:t>
            </w:r>
            <w:r w:rsidRPr="005937B0">
              <w:rPr>
                <w:bCs/>
              </w:rPr>
              <w:t>numat</w:t>
            </w:r>
            <w:r w:rsidR="001D1A75" w:rsidRPr="005937B0">
              <w:rPr>
                <w:bCs/>
              </w:rPr>
              <w:t>yta</w:t>
            </w:r>
            <w:r w:rsidRPr="005937B0">
              <w:rPr>
                <w:bCs/>
              </w:rPr>
              <w:t xml:space="preserve"> 2007 m. spalio 23 d. Europos parlamento ir Tarybos direktyvos 2007/59/EB dėl traukinio mašinistų, valdančių lokomotyvus ir traukinius geležinkelių sistemoje Bendrijos teritorijoje, sertifikavimo </w:t>
            </w:r>
            <w:r w:rsidR="00B225CA" w:rsidRPr="005937B0">
              <w:rPr>
                <w:bCs/>
              </w:rPr>
              <w:t xml:space="preserve">(OL 2007 L 315, p. 51) </w:t>
            </w:r>
            <w:r w:rsidRPr="005937B0">
              <w:rPr>
                <w:bCs/>
              </w:rPr>
              <w:t>14 str</w:t>
            </w:r>
            <w:r w:rsidR="001D1A75" w:rsidRPr="005937B0">
              <w:rPr>
                <w:bCs/>
              </w:rPr>
              <w:t>aipsnio</w:t>
            </w:r>
            <w:r w:rsidRPr="005937B0">
              <w:rPr>
                <w:bCs/>
              </w:rPr>
              <w:t xml:space="preserve"> 3 d</w:t>
            </w:r>
            <w:r w:rsidR="001D1A75" w:rsidRPr="005937B0">
              <w:rPr>
                <w:bCs/>
              </w:rPr>
              <w:t>alyje</w:t>
            </w:r>
            <w:r w:rsidR="002E4A24">
              <w:rPr>
                <w:bCs/>
              </w:rPr>
              <w:t>.</w:t>
            </w:r>
          </w:p>
        </w:tc>
      </w:tr>
      <w:tr w:rsidR="0074528A" w:rsidRPr="005937B0" w14:paraId="5E06676E" w14:textId="77777777" w:rsidTr="004D03CC">
        <w:trPr>
          <w:trHeight w:val="1015"/>
        </w:trPr>
        <w:tc>
          <w:tcPr>
            <w:tcW w:w="2268" w:type="dxa"/>
          </w:tcPr>
          <w:p w14:paraId="7E04E50D" w14:textId="77777777" w:rsidR="0074528A" w:rsidRPr="005937B0" w:rsidRDefault="0074528A" w:rsidP="004D03CC">
            <w:r w:rsidRPr="005937B0">
              <w:t>Lietuvos Respublikos ekonomikos ir inovacijų ministerijos 2019-12-23 raštas Nr. (15.27-43E)-3-4724</w:t>
            </w:r>
          </w:p>
        </w:tc>
        <w:tc>
          <w:tcPr>
            <w:tcW w:w="4820" w:type="dxa"/>
            <w:tcBorders>
              <w:top w:val="single" w:sz="4" w:space="0" w:color="auto"/>
              <w:bottom w:val="single" w:sz="4" w:space="0" w:color="auto"/>
            </w:tcBorders>
          </w:tcPr>
          <w:p w14:paraId="1CD42401" w14:textId="77777777" w:rsidR="0074528A" w:rsidRPr="005937B0" w:rsidRDefault="0074528A" w:rsidP="004D03CC">
            <w:pPr>
              <w:pStyle w:val="Pagrindinistekstas"/>
              <w:ind w:firstLine="0"/>
              <w:rPr>
                <w:rFonts w:cs="Times New Roman"/>
              </w:rPr>
            </w:pPr>
            <w:r w:rsidRPr="005937B0">
              <w:rPr>
                <w:rFonts w:cs="Times New Roman"/>
              </w:rPr>
              <w:t>,,Pagal GTESĮ projekto 12 straipsnio 5 dalį laikoma, kad geležinkelių sistemos sąveikaujančios dalys atitinka esminius reikalavimus, jeigu yra parengta EB atitikties arba tinkamumo naudoti deklaracija ir išduotas EB atitikties arba tinkamumo naudoti sertifikatas. Atsižvelgiant į Direktyvos 13 straipsnio nuostatas, manytina, kad atitiktį esminiams reikalavimams turėtų patvirtinti ir išduotas Lietuvos Respublikos patikros sertifikatas.“</w:t>
            </w:r>
          </w:p>
        </w:tc>
        <w:tc>
          <w:tcPr>
            <w:tcW w:w="7479" w:type="dxa"/>
            <w:tcBorders>
              <w:top w:val="single" w:sz="4" w:space="0" w:color="auto"/>
              <w:bottom w:val="single" w:sz="4" w:space="0" w:color="auto"/>
            </w:tcBorders>
            <w:shd w:val="clear" w:color="auto" w:fill="auto"/>
          </w:tcPr>
          <w:p w14:paraId="1175ECA5" w14:textId="77777777" w:rsidR="0074528A" w:rsidRPr="005937B0" w:rsidRDefault="0074528A" w:rsidP="004D03CC">
            <w:pPr>
              <w:jc w:val="both"/>
              <w:rPr>
                <w:b/>
              </w:rPr>
            </w:pPr>
            <w:r w:rsidRPr="005937B0">
              <w:rPr>
                <w:b/>
              </w:rPr>
              <w:t>Neatsižvelgta.</w:t>
            </w:r>
          </w:p>
          <w:p w14:paraId="740424D8" w14:textId="508FE969" w:rsidR="0074528A" w:rsidRPr="005937B0" w:rsidRDefault="0074528A" w:rsidP="004D03CC">
            <w:pPr>
              <w:jc w:val="both"/>
              <w:rPr>
                <w:bCs/>
              </w:rPr>
            </w:pPr>
            <w:r w:rsidRPr="005937B0">
              <w:rPr>
                <w:bCs/>
              </w:rPr>
              <w:t>Sąveikos direktyvoje nėra numatyta, kad sąveikaujančios dalies atitiktį esminiams reikalavimams patvirtina patikros deklaracija, išduota paskirtosios įstaigos, kaip tai numatyta Sąveikos direktyvos 13 str</w:t>
            </w:r>
            <w:r w:rsidR="001D1A75" w:rsidRPr="005937B0">
              <w:rPr>
                <w:bCs/>
              </w:rPr>
              <w:t>aipsnio</w:t>
            </w:r>
            <w:r w:rsidRPr="005937B0">
              <w:rPr>
                <w:bCs/>
              </w:rPr>
              <w:t xml:space="preserve"> 1 d</w:t>
            </w:r>
            <w:r w:rsidR="001D1A75" w:rsidRPr="005937B0">
              <w:rPr>
                <w:bCs/>
              </w:rPr>
              <w:t xml:space="preserve">alyje </w:t>
            </w:r>
            <w:r w:rsidRPr="005937B0">
              <w:rPr>
                <w:bCs/>
              </w:rPr>
              <w:t xml:space="preserve">struktūrinių posistemių atžvilgiu. </w:t>
            </w:r>
            <w:r w:rsidR="00C27A45" w:rsidRPr="005937B0">
              <w:rPr>
                <w:bCs/>
              </w:rPr>
              <w:t xml:space="preserve">Sąveikos direktyvos 15 </w:t>
            </w:r>
            <w:r w:rsidR="001D1A75" w:rsidRPr="005937B0">
              <w:rPr>
                <w:bCs/>
              </w:rPr>
              <w:t>straipsnio</w:t>
            </w:r>
            <w:r w:rsidR="00C27A45" w:rsidRPr="005937B0">
              <w:rPr>
                <w:bCs/>
              </w:rPr>
              <w:t xml:space="preserve"> 8 d</w:t>
            </w:r>
            <w:r w:rsidR="001D1A75" w:rsidRPr="005937B0">
              <w:rPr>
                <w:bCs/>
              </w:rPr>
              <w:t>alyje</w:t>
            </w:r>
            <w:r w:rsidR="00C27A45" w:rsidRPr="005937B0">
              <w:rPr>
                <w:bCs/>
              </w:rPr>
              <w:t xml:space="preserve"> nustatyta, kad paskirtosios įstaigos  yra atsakingos už patikros procedūrų atlikimą, kai taikomos nacionalinės taisyklės, nes gali būti reikalaujama, kad struktūrinis posistemis atitiktų ne tik TSS, bet ir nacionalines taisykles (</w:t>
            </w:r>
            <w:r w:rsidR="001D1A75" w:rsidRPr="005937B0">
              <w:rPr>
                <w:bCs/>
              </w:rPr>
              <w:t>pavyzdžiui</w:t>
            </w:r>
            <w:r w:rsidR="00C27A45" w:rsidRPr="005937B0">
              <w:rPr>
                <w:bCs/>
              </w:rPr>
              <w:t xml:space="preserve">, kai TSS neapima tam tikrų aspektų, susijusių su esminiais reikalavimais), tuo tarpu sąveikaujančios dalys privalo atitikti tik TSS arba Europos specifikacijas, kad būtų laikomos atitinkančiomis esminius reikalavimus. </w:t>
            </w:r>
            <w:r w:rsidRPr="005937B0">
              <w:rPr>
                <w:bCs/>
              </w:rPr>
              <w:t xml:space="preserve">Sąveikaujančių dalių atitikties ir tinkamumo naudoti patikrinimas yra atliekamas ne visais atvejais, bet </w:t>
            </w:r>
            <w:r w:rsidRPr="005937B0">
              <w:rPr>
                <w:bCs/>
              </w:rPr>
              <w:lastRenderedPageBreak/>
              <w:t xml:space="preserve">tuomet, kai tokią sąlyga yra </w:t>
            </w:r>
            <w:r w:rsidR="00C27A45" w:rsidRPr="005937B0">
              <w:rPr>
                <w:bCs/>
              </w:rPr>
              <w:t xml:space="preserve">nustatyta </w:t>
            </w:r>
            <w:r w:rsidR="0005598E" w:rsidRPr="005937B0">
              <w:rPr>
                <w:bCs/>
              </w:rPr>
              <w:t xml:space="preserve">geležinkelių </w:t>
            </w:r>
            <w:r w:rsidRPr="005937B0">
              <w:rPr>
                <w:bCs/>
              </w:rPr>
              <w:t>technin</w:t>
            </w:r>
            <w:r w:rsidR="0005598E" w:rsidRPr="005937B0">
              <w:rPr>
                <w:bCs/>
              </w:rPr>
              <w:t>io</w:t>
            </w:r>
            <w:r w:rsidRPr="005937B0">
              <w:rPr>
                <w:bCs/>
              </w:rPr>
              <w:t xml:space="preserve"> sąveik</w:t>
            </w:r>
            <w:r w:rsidR="0005598E" w:rsidRPr="005937B0">
              <w:rPr>
                <w:bCs/>
              </w:rPr>
              <w:t>umo</w:t>
            </w:r>
            <w:r w:rsidRPr="005937B0">
              <w:rPr>
                <w:bCs/>
              </w:rPr>
              <w:t xml:space="preserve"> specifikacijoje (toliau – TSS)</w:t>
            </w:r>
            <w:r w:rsidR="0005598E" w:rsidRPr="005937B0">
              <w:rPr>
                <w:bCs/>
              </w:rPr>
              <w:t xml:space="preserve"> (Sąveikos direktyvos </w:t>
            </w:r>
            <w:r w:rsidR="00C27A45" w:rsidRPr="005937B0">
              <w:rPr>
                <w:bCs/>
              </w:rPr>
              <w:t>9 str</w:t>
            </w:r>
            <w:r w:rsidR="001D1A75" w:rsidRPr="005937B0">
              <w:rPr>
                <w:bCs/>
              </w:rPr>
              <w:t>aipsnio</w:t>
            </w:r>
            <w:r w:rsidR="00C27A45" w:rsidRPr="005937B0">
              <w:rPr>
                <w:bCs/>
              </w:rPr>
              <w:t xml:space="preserve"> 2 d</w:t>
            </w:r>
            <w:r w:rsidR="001D1A75" w:rsidRPr="005937B0">
              <w:rPr>
                <w:bCs/>
              </w:rPr>
              <w:t>alis</w:t>
            </w:r>
            <w:r w:rsidR="00C27A45" w:rsidRPr="005937B0">
              <w:rPr>
                <w:bCs/>
              </w:rPr>
              <w:t>)</w:t>
            </w:r>
            <w:r w:rsidRPr="005937B0">
              <w:rPr>
                <w:bCs/>
              </w:rPr>
              <w:t>. Jeigu TSS numato patikrinimą, jį privalo atlikti notifikuotoji įstaiga (Sąveikos direktyvos 10 str</w:t>
            </w:r>
            <w:r w:rsidR="001D1A75" w:rsidRPr="005937B0">
              <w:rPr>
                <w:bCs/>
              </w:rPr>
              <w:t>aipsnio</w:t>
            </w:r>
            <w:r w:rsidRPr="005937B0">
              <w:rPr>
                <w:bCs/>
              </w:rPr>
              <w:t xml:space="preserve"> 2 d</w:t>
            </w:r>
            <w:r w:rsidR="001D1A75" w:rsidRPr="005937B0">
              <w:rPr>
                <w:bCs/>
              </w:rPr>
              <w:t xml:space="preserve">alis). </w:t>
            </w:r>
          </w:p>
        </w:tc>
      </w:tr>
      <w:tr w:rsidR="0074528A" w:rsidRPr="005937B0" w14:paraId="5D2811A4" w14:textId="77777777" w:rsidTr="00A317C4">
        <w:trPr>
          <w:trHeight w:val="279"/>
        </w:trPr>
        <w:tc>
          <w:tcPr>
            <w:tcW w:w="2268" w:type="dxa"/>
          </w:tcPr>
          <w:p w14:paraId="36BAD5A2" w14:textId="77777777" w:rsidR="0074528A" w:rsidRPr="005937B0" w:rsidRDefault="0074528A" w:rsidP="004D03CC">
            <w:r w:rsidRPr="005937B0">
              <w:lastRenderedPageBreak/>
              <w:t>Lietuvos Respublikos ekonomikos ir inovacijų ministerijos 2019-12-23 raštas Nr. (15.27-43E)-3-4724</w:t>
            </w:r>
          </w:p>
        </w:tc>
        <w:tc>
          <w:tcPr>
            <w:tcW w:w="4820" w:type="dxa"/>
            <w:tcBorders>
              <w:top w:val="single" w:sz="4" w:space="0" w:color="auto"/>
              <w:bottom w:val="single" w:sz="4" w:space="0" w:color="auto"/>
            </w:tcBorders>
          </w:tcPr>
          <w:p w14:paraId="38A26631" w14:textId="77777777" w:rsidR="0074528A" w:rsidRPr="005937B0" w:rsidRDefault="0074528A" w:rsidP="004D03CC">
            <w:pPr>
              <w:pStyle w:val="Pagrindinistekstas"/>
              <w:ind w:firstLine="0"/>
              <w:rPr>
                <w:rFonts w:cs="Times New Roman"/>
              </w:rPr>
            </w:pPr>
            <w:r w:rsidRPr="005937B0">
              <w:rPr>
                <w:rFonts w:cs="Times New Roman"/>
              </w:rPr>
              <w:t>,,Atkreiptinas dėmesys, kad visi Europos Sąjungos teisės aktai, kuriuose yra reguliuojama atitikties vertinimo veikla bei notifikuotųjų įstaigų funkcijos, yra parengti vadovaujantis Reglamento (EB) Nr. 765/2008  ir Sprendimo Nr. 768/2008/EB  nuostatomis. Šie teisės aktai, kiek jie nėra taikomi tiesiogiai, yra įgyvendinti Bandymų laboratorijų, sertifikacijos ir kontrolės įstaigų paskyrimo ir paskelbimo taisyklėmis, patvirtintomis Lietuvos Respublikos Vyriausybės 2006 m. liepos 4 d. nutarimu Nr. 674 „Dėl Bandymų laboratorijų, sertifikacijos ir kontrolės įstaigų paskyrimo ir paskelbimo taisyklių patvirtinimo“ (toliau – Įstaigų paskyrimo ir paskelbimo taisyklės). Atsižvelgdami į tai ir siekdami išvengti teisės normų dubliavimo, rekomenduojame GTESĮ projekte neperrašyti nuostatų, kurios yra įtvirtintos minėtuose teisės aktuose, pvz., GTESĮ projekto 29 straipsnio 1 dalies antras sakinys ir pan. Prireikus šias teisės normas nurodyti dėl jų specifiškumo, pvz., nurodyti, kokiose konkrečiose koordinavimo grupėse dalyvauja notifikuotosios įstaigos, ir įvertinus, kad įstatymuose turėtų būti reguliuojami esminiai visuomeniniai santykiai, svarstytina, ar tai neturėtų būti daroma įstatymo įgyvendinamuosiuose teisės aktuose.“</w:t>
            </w:r>
          </w:p>
        </w:tc>
        <w:tc>
          <w:tcPr>
            <w:tcW w:w="7479" w:type="dxa"/>
            <w:tcBorders>
              <w:top w:val="single" w:sz="4" w:space="0" w:color="auto"/>
              <w:bottom w:val="single" w:sz="4" w:space="0" w:color="auto"/>
            </w:tcBorders>
            <w:shd w:val="clear" w:color="auto" w:fill="auto"/>
          </w:tcPr>
          <w:p w14:paraId="4937446F" w14:textId="77777777" w:rsidR="0074528A" w:rsidRPr="005937B0" w:rsidRDefault="0074528A" w:rsidP="004D03CC">
            <w:pPr>
              <w:jc w:val="both"/>
              <w:rPr>
                <w:b/>
              </w:rPr>
            </w:pPr>
            <w:r w:rsidRPr="005937B0">
              <w:rPr>
                <w:b/>
              </w:rPr>
              <w:t>Atsižvelgta iš dalies.</w:t>
            </w:r>
          </w:p>
          <w:p w14:paraId="68493FF9" w14:textId="142912C8" w:rsidR="0074528A" w:rsidRPr="005937B0" w:rsidRDefault="00A672EC" w:rsidP="004D03CC">
            <w:pPr>
              <w:jc w:val="both"/>
              <w:rPr>
                <w:bCs/>
              </w:rPr>
            </w:pPr>
            <w:r w:rsidRPr="005937B0">
              <w:rPr>
                <w:bCs/>
              </w:rPr>
              <w:t xml:space="preserve">Atitinkamos </w:t>
            </w:r>
            <w:r w:rsidR="0074528A" w:rsidRPr="005937B0">
              <w:rPr>
                <w:bCs/>
              </w:rPr>
              <w:t>GATESĮ projekto nuostatos yra patikslintos, atsižvelgiant į 2019 m. gruodžio 23 d. Ekonomikos ir inovacijų ministerijos rašte Nr. (15.27-43E)-3-4724 (toliau – Raštas)</w:t>
            </w:r>
            <w:r w:rsidRPr="005937B0">
              <w:rPr>
                <w:bCs/>
              </w:rPr>
              <w:t xml:space="preserve"> pateiktą</w:t>
            </w:r>
            <w:r w:rsidR="0074528A" w:rsidRPr="005937B0">
              <w:rPr>
                <w:bCs/>
              </w:rPr>
              <w:t xml:space="preserve"> pastabą, išskyrus pastebėjimą, kad: ,,Prireikus šias teisės normas nurodyti dėl jų specifiškumo, pvz., nurodyti, kokiose konkrečiose koordinavimo grupėse dalyvauja notifikuotosios įstaigos, ir įvertinus, kad įstatymuose turėtų būti reguliuojami esminiai visuomeniniai santykiai, svarstytina, ar tai neturėtų būti daroma įstatymo įgyvendinamuosiuose teisės aktuose.“</w:t>
            </w:r>
            <w:r w:rsidR="001D1A75" w:rsidRPr="005937B0">
              <w:rPr>
                <w:bCs/>
              </w:rPr>
              <w:t xml:space="preserve"> </w:t>
            </w:r>
            <w:r w:rsidRPr="005937B0">
              <w:rPr>
                <w:bCs/>
              </w:rPr>
              <w:t xml:space="preserve">Notifikuotųjų įstaigų dalyvavimas koordinavimo </w:t>
            </w:r>
            <w:r w:rsidR="0074528A" w:rsidRPr="005937B0">
              <w:rPr>
                <w:bCs/>
              </w:rPr>
              <w:t>grupėse yra būtina teisėtos veiklos vykdymo sąlyga</w:t>
            </w:r>
            <w:r w:rsidR="00C40049" w:rsidRPr="005937B0">
              <w:rPr>
                <w:bCs/>
              </w:rPr>
              <w:t>.</w:t>
            </w:r>
            <w:r w:rsidR="0074528A" w:rsidRPr="005937B0">
              <w:rPr>
                <w:bCs/>
              </w:rPr>
              <w:t xml:space="preserve"> </w:t>
            </w:r>
          </w:p>
        </w:tc>
      </w:tr>
      <w:tr w:rsidR="0074528A" w:rsidRPr="005937B0" w14:paraId="420CFCAE" w14:textId="77777777" w:rsidTr="004D03CC">
        <w:trPr>
          <w:trHeight w:val="1015"/>
        </w:trPr>
        <w:tc>
          <w:tcPr>
            <w:tcW w:w="2268" w:type="dxa"/>
          </w:tcPr>
          <w:p w14:paraId="6539A6C7" w14:textId="77777777" w:rsidR="0074528A" w:rsidRPr="005937B0" w:rsidRDefault="0074528A" w:rsidP="004D03CC">
            <w:r w:rsidRPr="005937B0">
              <w:t xml:space="preserve">Lietuvos Respublikos ekonomikos ir inovacijų </w:t>
            </w:r>
            <w:r w:rsidRPr="005937B0">
              <w:lastRenderedPageBreak/>
              <w:t>ministerijos 2019-12-23 raštas Nr. (15.27-43E)-3-4724</w:t>
            </w:r>
          </w:p>
        </w:tc>
        <w:tc>
          <w:tcPr>
            <w:tcW w:w="4820" w:type="dxa"/>
            <w:tcBorders>
              <w:top w:val="single" w:sz="4" w:space="0" w:color="auto"/>
              <w:bottom w:val="single" w:sz="4" w:space="0" w:color="auto"/>
            </w:tcBorders>
          </w:tcPr>
          <w:p w14:paraId="6FC01734" w14:textId="77777777" w:rsidR="0074528A" w:rsidRPr="005937B0" w:rsidRDefault="0074528A" w:rsidP="004D03CC">
            <w:pPr>
              <w:pStyle w:val="Pagrindinistekstas"/>
              <w:ind w:firstLine="0"/>
              <w:rPr>
                <w:rFonts w:cs="Times New Roman"/>
              </w:rPr>
            </w:pPr>
            <w:r w:rsidRPr="005937B0">
              <w:rPr>
                <w:rFonts w:cs="Times New Roman"/>
              </w:rPr>
              <w:lastRenderedPageBreak/>
              <w:t xml:space="preserve">,,Ekonomikos ir inovacijų ministerijos nuomone, notifikuotųjų įstaigų veiklai taikomi reikalavimai, nurodyti Direktyvos 41 straipsnyje, turėtų būti perkelti ne įstatymo </w:t>
            </w:r>
            <w:r w:rsidRPr="005937B0">
              <w:rPr>
                <w:rFonts w:cs="Times New Roman"/>
              </w:rPr>
              <w:lastRenderedPageBreak/>
              <w:t>įgyvendinamojo teisės akto – susisiekimo ministro tvirtinamų Leidimų pradėti naudoti Lietuvos Respublikoje geležinkelių sistemos struktūrinius posistemius ir geležinkelių riedmenis išdavimo taisyklių, – o įstatymo lygmeniu.“</w:t>
            </w:r>
          </w:p>
        </w:tc>
        <w:tc>
          <w:tcPr>
            <w:tcW w:w="7479" w:type="dxa"/>
            <w:tcBorders>
              <w:top w:val="single" w:sz="4" w:space="0" w:color="auto"/>
              <w:bottom w:val="single" w:sz="4" w:space="0" w:color="auto"/>
            </w:tcBorders>
            <w:shd w:val="clear" w:color="auto" w:fill="auto"/>
          </w:tcPr>
          <w:p w14:paraId="374709D9" w14:textId="5352A2F9" w:rsidR="0074528A" w:rsidRPr="005937B0" w:rsidRDefault="0074528A" w:rsidP="004D03CC">
            <w:pPr>
              <w:jc w:val="both"/>
              <w:rPr>
                <w:b/>
              </w:rPr>
            </w:pPr>
            <w:r w:rsidRPr="005937B0">
              <w:rPr>
                <w:b/>
              </w:rPr>
              <w:lastRenderedPageBreak/>
              <w:t>Neatsižvelgta.</w:t>
            </w:r>
          </w:p>
          <w:p w14:paraId="3B51894C" w14:textId="361B7163" w:rsidR="0074528A" w:rsidRPr="005937B0" w:rsidRDefault="0074528A" w:rsidP="004D03CC">
            <w:pPr>
              <w:jc w:val="both"/>
              <w:rPr>
                <w:bCs/>
              </w:rPr>
            </w:pPr>
            <w:r w:rsidRPr="005937B0">
              <w:rPr>
                <w:bCs/>
              </w:rPr>
              <w:t>Sąveikos direktyvos 41 str</w:t>
            </w:r>
            <w:r w:rsidR="001D1A75" w:rsidRPr="005937B0">
              <w:rPr>
                <w:bCs/>
              </w:rPr>
              <w:t xml:space="preserve">aipsnyje yra </w:t>
            </w:r>
            <w:r w:rsidR="00665422" w:rsidRPr="005937B0">
              <w:rPr>
                <w:bCs/>
              </w:rPr>
              <w:t xml:space="preserve">įtvirtintos nuostatos, kuriomis privalu vadovautis, išduodant Europos Bendrijų patikros sertifikatus. </w:t>
            </w:r>
            <w:r w:rsidR="001D1A75" w:rsidRPr="005937B0">
              <w:rPr>
                <w:bCs/>
              </w:rPr>
              <w:t>Pagal</w:t>
            </w:r>
            <w:r w:rsidR="00665422" w:rsidRPr="005937B0">
              <w:rPr>
                <w:bCs/>
              </w:rPr>
              <w:t xml:space="preserve"> GTESĮ projekto </w:t>
            </w:r>
            <w:r w:rsidR="004A5FAC" w:rsidRPr="005937B0">
              <w:rPr>
                <w:bCs/>
              </w:rPr>
              <w:t>11 straipsnio</w:t>
            </w:r>
            <w:r w:rsidR="00665422" w:rsidRPr="005937B0">
              <w:rPr>
                <w:bCs/>
              </w:rPr>
              <w:t xml:space="preserve"> 3 d</w:t>
            </w:r>
            <w:r w:rsidR="001D1A75" w:rsidRPr="005937B0">
              <w:rPr>
                <w:bCs/>
              </w:rPr>
              <w:t>alį</w:t>
            </w:r>
            <w:r w:rsidR="00665422" w:rsidRPr="005937B0">
              <w:rPr>
                <w:bCs/>
              </w:rPr>
              <w:t xml:space="preserve"> ir 5</w:t>
            </w:r>
            <w:r w:rsidR="00EF353F">
              <w:rPr>
                <w:bCs/>
              </w:rPr>
              <w:t>-6</w:t>
            </w:r>
            <w:r w:rsidR="00665422" w:rsidRPr="005937B0">
              <w:rPr>
                <w:bCs/>
              </w:rPr>
              <w:t xml:space="preserve"> </w:t>
            </w:r>
            <w:r w:rsidR="00EF353F" w:rsidRPr="005937B0">
              <w:rPr>
                <w:bCs/>
              </w:rPr>
              <w:t>dal</w:t>
            </w:r>
            <w:r w:rsidR="00EF353F">
              <w:rPr>
                <w:bCs/>
              </w:rPr>
              <w:t>is</w:t>
            </w:r>
            <w:r w:rsidR="0097028A" w:rsidRPr="005937B0">
              <w:rPr>
                <w:bCs/>
              </w:rPr>
              <w:t>,</w:t>
            </w:r>
            <w:r w:rsidR="00665422" w:rsidRPr="005937B0">
              <w:rPr>
                <w:bCs/>
              </w:rPr>
              <w:t xml:space="preserve"> šie sertifikatai yra būtini, siekiant </w:t>
            </w:r>
            <w:r w:rsidR="00665422" w:rsidRPr="005937B0">
              <w:rPr>
                <w:bCs/>
              </w:rPr>
              <w:lastRenderedPageBreak/>
              <w:t>gauti leidimus</w:t>
            </w:r>
            <w:r w:rsidRPr="005937B0">
              <w:rPr>
                <w:bCs/>
              </w:rPr>
              <w:t xml:space="preserve"> pradėti naudoti geležinkelių sistemos struktūrinius posistemius ir  leidimų pateikti rinkai geležinkelių riedmenis. </w:t>
            </w:r>
            <w:r w:rsidR="00911C48" w:rsidRPr="005937B0">
              <w:rPr>
                <w:bCs/>
              </w:rPr>
              <w:t>Taigi</w:t>
            </w:r>
            <w:r w:rsidR="004A5FAC" w:rsidRPr="005937B0">
              <w:rPr>
                <w:bCs/>
              </w:rPr>
              <w:t xml:space="preserve"> </w:t>
            </w:r>
            <w:r w:rsidR="00911C48" w:rsidRPr="005937B0">
              <w:rPr>
                <w:bCs/>
              </w:rPr>
              <w:t xml:space="preserve">notifikuotosios įstaigos atliekamas sertifikavimas yra minėtųjų leidimų išdavimo proceso dalis. </w:t>
            </w:r>
            <w:r w:rsidRPr="005937B0">
              <w:rPr>
                <w:bCs/>
              </w:rPr>
              <w:t>Nuspręsta, kad šie aspektai bus reglamentuojami</w:t>
            </w:r>
            <w:r w:rsidR="00A317C4" w:rsidRPr="005937B0">
              <w:rPr>
                <w:bCs/>
              </w:rPr>
              <w:t xml:space="preserve"> Lietuvos Respublikos</w:t>
            </w:r>
            <w:r w:rsidRPr="005937B0">
              <w:rPr>
                <w:bCs/>
              </w:rPr>
              <w:t xml:space="preserve"> susisiekimo ministro nustatyta tvarka, kadangi leidimai pradėti naudoti geležinkelių sistemos struktūrinius posistemius ir pateikti rinkai geležinkelių riedmenis yra techninės atitikties tinkamumo naudoti patvirtinimas, bet ne leidimai pradėti vykdyti ūkinę veiklą.</w:t>
            </w:r>
          </w:p>
        </w:tc>
      </w:tr>
      <w:tr w:rsidR="0074528A" w:rsidRPr="005937B0" w14:paraId="279B8DAD" w14:textId="77777777" w:rsidTr="00FC31E2">
        <w:trPr>
          <w:trHeight w:val="847"/>
        </w:trPr>
        <w:tc>
          <w:tcPr>
            <w:tcW w:w="2268" w:type="dxa"/>
          </w:tcPr>
          <w:p w14:paraId="07467169" w14:textId="77777777" w:rsidR="0074528A" w:rsidRPr="005937B0" w:rsidRDefault="0074528A" w:rsidP="004D03CC">
            <w:r w:rsidRPr="005937B0">
              <w:lastRenderedPageBreak/>
              <w:t>Lietuvos Respublikos ekonomikos ir inovacijų ministerijos 2019-12-23 raštas Nr. (15.27-43E)-3-4724</w:t>
            </w:r>
          </w:p>
        </w:tc>
        <w:tc>
          <w:tcPr>
            <w:tcW w:w="4820" w:type="dxa"/>
            <w:tcBorders>
              <w:top w:val="single" w:sz="4" w:space="0" w:color="auto"/>
              <w:bottom w:val="single" w:sz="4" w:space="0" w:color="auto"/>
            </w:tcBorders>
          </w:tcPr>
          <w:p w14:paraId="34798696" w14:textId="3CA1435B" w:rsidR="0074528A" w:rsidRPr="005937B0" w:rsidRDefault="0074528A" w:rsidP="004D03CC">
            <w:pPr>
              <w:pStyle w:val="Pagrindinistekstas"/>
              <w:ind w:firstLine="0"/>
              <w:rPr>
                <w:rFonts w:cs="Times New Roman"/>
              </w:rPr>
            </w:pPr>
            <w:r w:rsidRPr="005937B0">
              <w:rPr>
                <w:rFonts w:cs="Times New Roman"/>
              </w:rPr>
              <w:t xml:space="preserve">,,26) Kartu su GTESĮ projektu teikiamame aiškinamajame rašte teigiama, kad ūkio subjektams, ketinantiems vykdyti geležinkelių transporto veiklą daugiau nei vienoje valstybėje narėje, bus išduodamas vienas bendras leidimas pateikti geležinkelių riedmenis rinkai, nereikės gauti tokių leidimų keliose valstybėse narėse ir taip ūkio subjektams sumažės administracinė našta. Taip pat GTESĮ projekto 10 straipsnio 4 dalyje nustatomas reikalavimas geležinkelio įmonėms (vežėjams) ir įmonėms, kurios naudojasi geležinkelių infrastruktūra, informuoti eismo saugos instituciją apie naują geležinkelių transporto veiklą, pateikti informaciją apie personalo, kuris įgyvendina eismo saugos valdymo sistemose nustatytas priemones, paskirstymą pagal kategorijas ir geležinkelių riedmenų paskirstymą pagal tipus. Atsižvelgdami į tai, prašom, remiantis Administracinės naštos ūkio subjektams nustatymo metodika, patvirtinta Lietuvos Respublikos Vyriausybės 2012 m. sausio 11 d. nutarimu Nr. 4 „Dėl Administracinės naštos ūkio subjektams nustatymo metodikos patvirtinimo“, įvertinti GTESĮ projektu keičiamų, naikinamų ir naujai nustatomų informacinių įpareigojimų sukeliamą administracinės naštos pokytį ūkio subjektams ir </w:t>
            </w:r>
            <w:r w:rsidRPr="005937B0">
              <w:rPr>
                <w:rFonts w:cs="Times New Roman"/>
              </w:rPr>
              <w:lastRenderedPageBreak/>
              <w:t>užpildytą Administracinės naštos ūkio subjektams apskaičiavimo ataskaitą pateikti Ekonomikos ir inovacijų ministerijai išvadoms gauti.“</w:t>
            </w:r>
          </w:p>
        </w:tc>
        <w:tc>
          <w:tcPr>
            <w:tcW w:w="7479" w:type="dxa"/>
            <w:tcBorders>
              <w:top w:val="single" w:sz="4" w:space="0" w:color="auto"/>
              <w:bottom w:val="single" w:sz="4" w:space="0" w:color="auto"/>
            </w:tcBorders>
            <w:shd w:val="clear" w:color="auto" w:fill="auto"/>
          </w:tcPr>
          <w:p w14:paraId="352D003C" w14:textId="77777777" w:rsidR="0074528A" w:rsidRPr="005937B0" w:rsidRDefault="0074528A" w:rsidP="004D03CC">
            <w:pPr>
              <w:jc w:val="both"/>
              <w:rPr>
                <w:b/>
              </w:rPr>
            </w:pPr>
            <w:r w:rsidRPr="005937B0">
              <w:rPr>
                <w:b/>
              </w:rPr>
              <w:lastRenderedPageBreak/>
              <w:t>Neatsižvelgta.</w:t>
            </w:r>
          </w:p>
          <w:p w14:paraId="1A6ECC2D" w14:textId="62CB2AB3" w:rsidR="0074528A" w:rsidRPr="005937B0" w:rsidRDefault="0074528A" w:rsidP="004D03CC">
            <w:pPr>
              <w:jc w:val="both"/>
              <w:rPr>
                <w:bCs/>
              </w:rPr>
            </w:pPr>
            <w:r w:rsidRPr="005937B0">
              <w:rPr>
                <w:bCs/>
              </w:rPr>
              <w:t>Lietuvos</w:t>
            </w:r>
            <w:r w:rsidR="00471BD5" w:rsidRPr="005937B0">
              <w:rPr>
                <w:bCs/>
              </w:rPr>
              <w:t xml:space="preserve"> Respublikos</w:t>
            </w:r>
            <w:r w:rsidRPr="005937B0">
              <w:rPr>
                <w:bCs/>
              </w:rPr>
              <w:t xml:space="preserve"> ūkio subjektai veiklą vykdo tik Lietuvos Respublikoje. Tad, </w:t>
            </w:r>
            <w:r w:rsidRPr="005937B0">
              <w:rPr>
                <w:bCs/>
                <w:i/>
                <w:iCs/>
              </w:rPr>
              <w:t>de facto</w:t>
            </w:r>
            <w:r w:rsidRPr="005937B0">
              <w:rPr>
                <w:bCs/>
              </w:rPr>
              <w:t xml:space="preserve"> jiems administracinė našta nedidės. Jeigu ateityje tokios įmonės nuspręstų išplėsti veiklą į kitas Europos Sąjungos valstybes nares, administracinė našta joms netgi būtų mažesnė nei šiuo metu potencialiai galinti kilti, kadangi Saugos direktyva priimta, siekiant supaprastinti saugos sertifikatų, galiojančių daugiau nei vienoje Europos Sąjungos valstybėje narėje, išdavimą. GTESĮ projekto</w:t>
            </w:r>
            <w:r w:rsidR="004A5FAC" w:rsidRPr="005937B0">
              <w:rPr>
                <w:bCs/>
              </w:rPr>
              <w:t xml:space="preserve"> 8 straipsnio</w:t>
            </w:r>
            <w:r w:rsidR="00A317C4" w:rsidRPr="005937B0">
              <w:rPr>
                <w:bCs/>
              </w:rPr>
              <w:t xml:space="preserve"> </w:t>
            </w:r>
            <w:r w:rsidR="002508DA">
              <w:rPr>
                <w:bCs/>
                <w:lang w:val="en-US"/>
              </w:rPr>
              <w:t>21</w:t>
            </w:r>
            <w:r w:rsidR="002508DA" w:rsidRPr="005937B0">
              <w:rPr>
                <w:bCs/>
              </w:rPr>
              <w:t xml:space="preserve"> </w:t>
            </w:r>
            <w:r w:rsidR="00CA0DC5" w:rsidRPr="005937B0">
              <w:rPr>
                <w:bCs/>
              </w:rPr>
              <w:t>dalies</w:t>
            </w:r>
            <w:r w:rsidR="00A317C4" w:rsidRPr="005937B0">
              <w:rPr>
                <w:bCs/>
              </w:rPr>
              <w:t xml:space="preserve"> 5 p</w:t>
            </w:r>
            <w:r w:rsidR="00CA0DC5" w:rsidRPr="005937B0">
              <w:rPr>
                <w:bCs/>
              </w:rPr>
              <w:t xml:space="preserve">unkte </w:t>
            </w:r>
            <w:r w:rsidR="00A317C4" w:rsidRPr="005937B0">
              <w:rPr>
                <w:bCs/>
              </w:rPr>
              <w:t>nurodytas</w:t>
            </w:r>
            <w:r w:rsidRPr="005937B0">
              <w:rPr>
                <w:bCs/>
              </w:rPr>
              <w:t xml:space="preserve"> reikalavimas geležinkelio įmonėms (vežėjams) ir kitoms įmonėms,</w:t>
            </w:r>
            <w:r w:rsidRPr="005937B0">
              <w:t xml:space="preserve"> </w:t>
            </w:r>
            <w:r w:rsidRPr="005937B0">
              <w:rPr>
                <w:bCs/>
              </w:rPr>
              <w:t xml:space="preserve">informuoti eismo saugos instituciją apie naują geležinkelių transporto veiklą, </w:t>
            </w:r>
            <w:r w:rsidR="00AA5B62">
              <w:rPr>
                <w:bCs/>
              </w:rPr>
              <w:t xml:space="preserve">pateikiant </w:t>
            </w:r>
            <w:r w:rsidR="00AA5B62" w:rsidRPr="00AA5B62">
              <w:rPr>
                <w:bCs/>
              </w:rPr>
              <w:t>informaciją apie užduočių paskirstymą geležinkelių transporto darbuotojams, kurie įgyvendina eismo saugos valdymo sistemose nustatytas priemones, ir geležinkelių riedmenų paskirstymą pagal tipus</w:t>
            </w:r>
            <w:r w:rsidR="00A317C4" w:rsidRPr="00AA5B62">
              <w:rPr>
                <w:bCs/>
              </w:rPr>
              <w:t>.</w:t>
            </w:r>
            <w:r w:rsidRPr="005937B0">
              <w:rPr>
                <w:bCs/>
              </w:rPr>
              <w:t xml:space="preserve"> </w:t>
            </w:r>
            <w:r w:rsidR="00A317C4" w:rsidRPr="005937B0">
              <w:rPr>
                <w:bCs/>
              </w:rPr>
              <w:t>T</w:t>
            </w:r>
            <w:r w:rsidRPr="005937B0">
              <w:rPr>
                <w:bCs/>
              </w:rPr>
              <w:t>ad</w:t>
            </w:r>
            <w:r w:rsidR="00A317C4" w:rsidRPr="005937B0">
              <w:rPr>
                <w:bCs/>
              </w:rPr>
              <w:t>,</w:t>
            </w:r>
            <w:r w:rsidRPr="005937B0">
              <w:rPr>
                <w:bCs/>
              </w:rPr>
              <w:t xml:space="preserve"> nėra žinoma, kiek ūkio subjektų šis reikalavimas bus taikomas, kaip dažnai vienas ūkio subjektas turės vykdyti šį įpareigojimą ir pan. Kiti informaciniai įpareigojimai nėra nauji – šiuo metu jie yra įtvirtinti poįstatyminiuose aktuose, taigi juos įtvirtinus įstatyme administracinė našta ūkio subjektams nesikeis. Atsižvelgiant į nurodytas aplinkybes, manytina, jog nėra tikslinga rengti ir teikti Administracinės naštos ūkio subjektams apskaičiavimo ataskaitą.</w:t>
            </w:r>
          </w:p>
        </w:tc>
      </w:tr>
      <w:tr w:rsidR="0074528A" w:rsidRPr="005937B0" w14:paraId="2C22AF88" w14:textId="77777777" w:rsidTr="004D03CC">
        <w:trPr>
          <w:trHeight w:val="1015"/>
        </w:trPr>
        <w:tc>
          <w:tcPr>
            <w:tcW w:w="2268" w:type="dxa"/>
          </w:tcPr>
          <w:p w14:paraId="1596E996" w14:textId="77777777" w:rsidR="0074528A" w:rsidRPr="005937B0" w:rsidRDefault="0074528A" w:rsidP="004D03CC">
            <w:r w:rsidRPr="005937B0">
              <w:t>Lietuvos Respublikos ekonomikos ir inovacijų ministerijos 2019-12-23 raštas Nr. (15.27-43E)-3-4724</w:t>
            </w:r>
          </w:p>
        </w:tc>
        <w:tc>
          <w:tcPr>
            <w:tcW w:w="4820" w:type="dxa"/>
            <w:tcBorders>
              <w:top w:val="single" w:sz="4" w:space="0" w:color="auto"/>
              <w:bottom w:val="single" w:sz="4" w:space="0" w:color="auto"/>
            </w:tcBorders>
          </w:tcPr>
          <w:p w14:paraId="598BDAC2" w14:textId="77777777" w:rsidR="0074528A" w:rsidRPr="005937B0" w:rsidRDefault="0074528A" w:rsidP="004D03CC">
            <w:pPr>
              <w:pStyle w:val="Pagrindinistekstas"/>
              <w:ind w:firstLine="0"/>
              <w:rPr>
                <w:rFonts w:cs="Times New Roman"/>
              </w:rPr>
            </w:pPr>
            <w:r w:rsidRPr="005937B0">
              <w:rPr>
                <w:rFonts w:cs="Times New Roman"/>
              </w:rPr>
              <w:t>,,Atkreipiame dėmesį, kad Lietuvos Respublikos Vyriausybė 2019 m. gruodžio 4 d. pritarė Atitikties įvertinimo įstatymo Nr. VIII-870 pakeitimo įstatymo projektui, kuriuo šiame įstatyme yra atsisakoma nuostatų, susijusių su notifikuotosiomis įstaigomis. Projekto rengėjų nuomone, siekiant teisinio aiškumo, visas teisinis reguliavimas, nuo sprendimų priėmimo įgalioti įstaigą atlikti notifikuotosios įstaigos funkcijas iki sprendimų tokį įgaliojimą atšaukti, turėtų būti aptartas viename teisės akte.“</w:t>
            </w:r>
          </w:p>
        </w:tc>
        <w:tc>
          <w:tcPr>
            <w:tcW w:w="7479" w:type="dxa"/>
            <w:tcBorders>
              <w:top w:val="single" w:sz="4" w:space="0" w:color="auto"/>
              <w:bottom w:val="single" w:sz="4" w:space="0" w:color="auto"/>
            </w:tcBorders>
            <w:shd w:val="clear" w:color="auto" w:fill="auto"/>
          </w:tcPr>
          <w:p w14:paraId="65543850" w14:textId="77777777" w:rsidR="0074528A" w:rsidRPr="005937B0" w:rsidRDefault="0074528A" w:rsidP="004D03CC">
            <w:pPr>
              <w:jc w:val="both"/>
              <w:rPr>
                <w:b/>
              </w:rPr>
            </w:pPr>
            <w:r w:rsidRPr="005937B0">
              <w:rPr>
                <w:b/>
              </w:rPr>
              <w:t>Neatsižvelgta.</w:t>
            </w:r>
          </w:p>
          <w:p w14:paraId="6B014E38" w14:textId="2104F86C" w:rsidR="0074528A" w:rsidRPr="005937B0" w:rsidRDefault="0074528A" w:rsidP="004D03CC">
            <w:pPr>
              <w:jc w:val="both"/>
              <w:rPr>
                <w:bCs/>
              </w:rPr>
            </w:pPr>
            <w:r w:rsidRPr="005937B0">
              <w:rPr>
                <w:bCs/>
              </w:rPr>
              <w:t xml:space="preserve">GTESĮ projektas tikslintinas </w:t>
            </w:r>
            <w:r w:rsidR="009B600B" w:rsidRPr="005937B0">
              <w:rPr>
                <w:bCs/>
              </w:rPr>
              <w:t xml:space="preserve">Lietuvos Respublikos Seimui </w:t>
            </w:r>
            <w:r w:rsidRPr="005937B0">
              <w:rPr>
                <w:bCs/>
              </w:rPr>
              <w:t>pritarus Rašte minimam</w:t>
            </w:r>
            <w:r w:rsidR="009B600B" w:rsidRPr="005937B0">
              <w:rPr>
                <w:bCs/>
              </w:rPr>
              <w:t xml:space="preserve"> Lietuvos Respublikos</w:t>
            </w:r>
            <w:r w:rsidRPr="005937B0">
              <w:rPr>
                <w:bCs/>
              </w:rPr>
              <w:t xml:space="preserve"> </w:t>
            </w:r>
            <w:r w:rsidR="009B600B" w:rsidRPr="005937B0">
              <w:rPr>
                <w:bCs/>
              </w:rPr>
              <w:t xml:space="preserve">atitikties </w:t>
            </w:r>
            <w:r w:rsidRPr="005937B0">
              <w:rPr>
                <w:bCs/>
              </w:rPr>
              <w:t xml:space="preserve">įvertinimo įstatymo Nr. VIII-870 pakeitimo įstatymo projektui. Priešingu atveju iškyla rizika, kad GTESĮ projekto nuostatos bus nesuderintos su Lietuvos Respublikos atitikties vertinimo įstatymu.  </w:t>
            </w:r>
          </w:p>
        </w:tc>
      </w:tr>
      <w:tr w:rsidR="003013F1" w:rsidRPr="005937B0" w14:paraId="68F6E3DE" w14:textId="77777777" w:rsidTr="004D03CC">
        <w:trPr>
          <w:trHeight w:val="1015"/>
        </w:trPr>
        <w:tc>
          <w:tcPr>
            <w:tcW w:w="2268" w:type="dxa"/>
          </w:tcPr>
          <w:p w14:paraId="1C135ED8" w14:textId="6B6FC666" w:rsidR="003013F1" w:rsidRPr="005937B0" w:rsidRDefault="003013F1" w:rsidP="004D03CC">
            <w:r w:rsidRPr="005937B0">
              <w:t xml:space="preserve">Lietuvos Respublikos teisingumo ministerijos </w:t>
            </w:r>
            <w:r w:rsidR="007E6955" w:rsidRPr="005937B0">
              <w:t>2020-01-09</w:t>
            </w:r>
            <w:r w:rsidRPr="005937B0">
              <w:t xml:space="preserve"> raštas Nr. </w:t>
            </w:r>
            <w:r w:rsidR="007E6955" w:rsidRPr="005937B0">
              <w:t>(1.6E)2T-20</w:t>
            </w:r>
          </w:p>
        </w:tc>
        <w:tc>
          <w:tcPr>
            <w:tcW w:w="4820" w:type="dxa"/>
            <w:tcBorders>
              <w:top w:val="single" w:sz="4" w:space="0" w:color="auto"/>
              <w:bottom w:val="single" w:sz="4" w:space="0" w:color="auto"/>
            </w:tcBorders>
          </w:tcPr>
          <w:p w14:paraId="08A99315" w14:textId="69C9CD95" w:rsidR="003013F1" w:rsidRPr="005937B0" w:rsidRDefault="003013F1" w:rsidP="003013F1">
            <w:pPr>
              <w:pStyle w:val="Pagrindinistekstas"/>
              <w:ind w:firstLine="0"/>
              <w:rPr>
                <w:rFonts w:cs="Times New Roman"/>
              </w:rPr>
            </w:pPr>
            <w:r w:rsidRPr="005937B0">
              <w:rPr>
                <w:rFonts w:cs="Times New Roman"/>
              </w:rPr>
              <w:t xml:space="preserve">,,Vadovaujantis Lietuvos Respublikos Konstitucinio Teismo jurisprudencija, su asmens teisių ir laisvių įgyvendinimu susijęs reguliavimas, įskaitant ir tam tikros ūkinės veiklos esmines sąlygas, draudimus ir ribojimus, darančius esminį poveikį ūkinei veiklai, gali būti nustatomas tik įstatymu.  Atsižvelgiant į tai manytina, kad Direktyvoje (ES) 2016/797  įtvirtintos ūkio subjektų teisės (pavyzdžiui, nustatytos Direktyvos (ES) 2016/797 26 straipsnio 4 ir 5 dalyse), jų apribojimai (pavyzdžiui, nustatyti Direktyvos (ES) 2016/797 11 straipsnyje, 26 straipsnio 8 dalyje), pareigos (pavyzdžiui, nustatytos Direktyvos (ES) 2016/797 23 straipsnio 1 dalies b punkte), leidimų išdavimo terminai (pavyzdžiui, nustatyti Direktyvos (ES) 2016/797 21 straipsnio 4 dalyje) turėtų būti įtvirtinti įstatyme. </w:t>
            </w:r>
          </w:p>
          <w:p w14:paraId="2E2A3C11" w14:textId="54DA72FD" w:rsidR="003013F1" w:rsidRPr="005937B0" w:rsidRDefault="003013F1" w:rsidP="003013F1">
            <w:pPr>
              <w:pStyle w:val="Pagrindinistekstas"/>
              <w:ind w:firstLine="0"/>
              <w:rPr>
                <w:rFonts w:cs="Times New Roman"/>
              </w:rPr>
            </w:pPr>
            <w:r w:rsidRPr="005937B0">
              <w:rPr>
                <w:rFonts w:cs="Times New Roman"/>
              </w:rPr>
              <w:t xml:space="preserve">Taip pat, atsižvelgiant į anksčiau nurodytus argumentus, siūlome įvertinti ir Įstatymo projektu nauja redakcija dėstomo Lietuvos </w:t>
            </w:r>
            <w:r w:rsidRPr="005937B0">
              <w:rPr>
                <w:rFonts w:cs="Times New Roman"/>
              </w:rPr>
              <w:lastRenderedPageBreak/>
              <w:t>Respublikos geležinkelių transporto eismo saugos įstatymo (toliau – GTESĮ projektas) 1 straipsnio 3 dalies nuostatas bei atitinkamų santykių reglamentavimo susisiekimo ministro įsakymo lygmeniu tinkamumą.“</w:t>
            </w:r>
          </w:p>
        </w:tc>
        <w:tc>
          <w:tcPr>
            <w:tcW w:w="7479" w:type="dxa"/>
            <w:tcBorders>
              <w:top w:val="single" w:sz="4" w:space="0" w:color="auto"/>
              <w:bottom w:val="single" w:sz="4" w:space="0" w:color="auto"/>
            </w:tcBorders>
            <w:shd w:val="clear" w:color="auto" w:fill="auto"/>
          </w:tcPr>
          <w:p w14:paraId="45512669" w14:textId="77777777" w:rsidR="003013F1" w:rsidRPr="005937B0" w:rsidRDefault="003013F1" w:rsidP="004D03CC">
            <w:pPr>
              <w:jc w:val="both"/>
              <w:rPr>
                <w:b/>
              </w:rPr>
            </w:pPr>
            <w:r w:rsidRPr="005937B0">
              <w:rPr>
                <w:b/>
              </w:rPr>
              <w:lastRenderedPageBreak/>
              <w:t>Atsižvelgta iš dalies.</w:t>
            </w:r>
          </w:p>
          <w:p w14:paraId="254F297A" w14:textId="07E8C83D" w:rsidR="003013F1" w:rsidRPr="00EF353F" w:rsidRDefault="003013F1" w:rsidP="00AC7950">
            <w:pPr>
              <w:suppressAutoHyphens w:val="0"/>
              <w:jc w:val="both"/>
              <w:rPr>
                <w:lang w:eastAsia="lt-LT"/>
              </w:rPr>
            </w:pPr>
            <w:r w:rsidRPr="00AC7950">
              <w:rPr>
                <w:bCs/>
              </w:rPr>
              <w:t>Teisingumo ministerijos rašte nurodytos Sąveikos direktyvos nuostatos nustato valstybių narių ir Agentūros pareigas, nustačius, kad geležinkelių posistemiai, geležinkelių sistemos sąveikaujančios</w:t>
            </w:r>
            <w:r w:rsidR="00212D7F" w:rsidRPr="00AC7950">
              <w:rPr>
                <w:bCs/>
              </w:rPr>
              <w:t xml:space="preserve"> </w:t>
            </w:r>
            <w:r w:rsidRPr="00AC7950">
              <w:rPr>
                <w:bCs/>
              </w:rPr>
              <w:t xml:space="preserve"> ir jų sąsajos</w:t>
            </w:r>
            <w:r w:rsidR="00212D7F" w:rsidRPr="00AC7950">
              <w:rPr>
                <w:bCs/>
              </w:rPr>
              <w:t xml:space="preserve"> neatitinka esminių reikalavimų</w:t>
            </w:r>
            <w:r w:rsidRPr="00AC7950">
              <w:rPr>
                <w:bCs/>
              </w:rPr>
              <w:t>, ir draudimą ūkio subjektams naudoti tokius posistemius, geležinkelių sistemos sąveikaujanči</w:t>
            </w:r>
            <w:r w:rsidR="00212D7F" w:rsidRPr="00AC7950">
              <w:rPr>
                <w:bCs/>
              </w:rPr>
              <w:t>a</w:t>
            </w:r>
            <w:r w:rsidRPr="00AC7950">
              <w:rPr>
                <w:bCs/>
              </w:rPr>
              <w:t>s dalis ir jų sąsajas. Atitinkamas draudimas yra nustatytas GTESĮ projekto</w:t>
            </w:r>
            <w:r w:rsidR="00212D7F" w:rsidRPr="00AC7950">
              <w:rPr>
                <w:bCs/>
              </w:rPr>
              <w:t xml:space="preserve"> </w:t>
            </w:r>
            <w:r w:rsidR="00920C7C" w:rsidRPr="00AC7950">
              <w:rPr>
                <w:bCs/>
              </w:rPr>
              <w:t xml:space="preserve">11 </w:t>
            </w:r>
            <w:r w:rsidR="00212D7F" w:rsidRPr="00AC7950">
              <w:rPr>
                <w:bCs/>
              </w:rPr>
              <w:t>str</w:t>
            </w:r>
            <w:r w:rsidR="009B600B" w:rsidRPr="00AC7950">
              <w:rPr>
                <w:bCs/>
              </w:rPr>
              <w:t>aipsnio</w:t>
            </w:r>
            <w:r w:rsidR="00212D7F" w:rsidRPr="00AC7950">
              <w:rPr>
                <w:bCs/>
              </w:rPr>
              <w:t xml:space="preserve"> 4 d</w:t>
            </w:r>
            <w:r w:rsidR="009B600B" w:rsidRPr="00AC7950">
              <w:rPr>
                <w:bCs/>
              </w:rPr>
              <w:t xml:space="preserve">alyje </w:t>
            </w:r>
            <w:r w:rsidRPr="00AC7950">
              <w:rPr>
                <w:bCs/>
              </w:rPr>
              <w:t>,,</w:t>
            </w:r>
            <w:r w:rsidR="00AA5B62">
              <w:t xml:space="preserve"> </w:t>
            </w:r>
            <w:r w:rsidR="00AA5B62" w:rsidRPr="00AC7950">
              <w:rPr>
                <w:bCs/>
              </w:rPr>
              <w:t>4. Leidžiama pradėti naudoti tik tas geležinkelių sistemos sąveikaujančias dalis, kurios atitinka šio straipsnio 3 dalies 1 ir 3 punktuose nustatytus reikalavimus“ (</w:t>
            </w:r>
            <w:r w:rsidRPr="00AC7950">
              <w:rPr>
                <w:bCs/>
              </w:rPr>
              <w:t>užtikrina geležinkelių sistemos sąveikumą ir atitinka esminius reikalavimus</w:t>
            </w:r>
            <w:r w:rsidR="00AA5B62" w:rsidRPr="00AC7950">
              <w:rPr>
                <w:bCs/>
              </w:rPr>
              <w:t xml:space="preserve">), </w:t>
            </w:r>
            <w:r w:rsidR="00920C7C" w:rsidRPr="00AC7950">
              <w:rPr>
                <w:bCs/>
              </w:rPr>
              <w:t xml:space="preserve">11 </w:t>
            </w:r>
            <w:r w:rsidR="009B600B" w:rsidRPr="00AC7950">
              <w:rPr>
                <w:bCs/>
              </w:rPr>
              <w:t>straipsnio</w:t>
            </w:r>
            <w:r w:rsidR="00212D7F" w:rsidRPr="00AC7950">
              <w:rPr>
                <w:bCs/>
              </w:rPr>
              <w:t xml:space="preserve"> 5 d</w:t>
            </w:r>
            <w:r w:rsidR="009B600B" w:rsidRPr="00AC7950">
              <w:rPr>
                <w:bCs/>
              </w:rPr>
              <w:t xml:space="preserve">alyje  </w:t>
            </w:r>
            <w:r w:rsidRPr="00AC7950">
              <w:rPr>
                <w:bCs/>
              </w:rPr>
              <w:t>,,</w:t>
            </w:r>
            <w:r w:rsidR="00EF353F">
              <w:t xml:space="preserve"> </w:t>
            </w:r>
            <w:r w:rsidR="00EF353F" w:rsidRPr="00AC7950">
              <w:rPr>
                <w:bCs/>
              </w:rPr>
              <w:t>Leidžiama pradėti naudoti tik tuos stacionariuosius struktūrinius geležinkelių posistemius, kurie atitinka šio straipsnio 3 dalies 1 ir 2 punktuose nustatytus reikalavimus ir turi  ir turi išduotus išduotą leidimus – leidimą pradėti naudoti stacionariuosius geležinkelių posistemius.“</w:t>
            </w:r>
            <w:r w:rsidR="003D1405" w:rsidRPr="00AC7950">
              <w:rPr>
                <w:bCs/>
              </w:rPr>
              <w:t>,</w:t>
            </w:r>
            <w:r w:rsidR="00EF353F">
              <w:t xml:space="preserve"> </w:t>
            </w:r>
            <w:r w:rsidR="00EF353F" w:rsidRPr="00AC7950">
              <w:rPr>
                <w:bCs/>
              </w:rPr>
              <w:t>11 straipsnio 6 dalyje ,,</w:t>
            </w:r>
            <w:r w:rsidR="00EF353F" w:rsidRPr="00904BF8">
              <w:rPr>
                <w:lang w:eastAsia="lt-LT"/>
              </w:rPr>
              <w:t xml:space="preserve">Leidžiama pateikti rinkai tik tuos mobiliuosius geležinkelių posistemius, kurie atitinka šio straipsnio 3 dalies 1 ir 2 punktuose nustatytus reikalavimus. Geležinkelių riedmenys, kuriuos sudaro vienas ar keli mobilieji geležinkelių posistemiai, atitinkantys šio straipsnio 3 dalies 1 ir 2 punktuose nustatytus reikalavimus, gali būti pateikti rinkai tik gavus </w:t>
            </w:r>
            <w:bookmarkStart w:id="1" w:name="_Hlk41382494"/>
            <w:r w:rsidR="00EF353F" w:rsidRPr="003310F4">
              <w:rPr>
                <w:lang w:eastAsia="lt-LT"/>
              </w:rPr>
              <w:t xml:space="preserve"> leidimą pateikti rinkai geležinkelių riedmenis (geležinkelių riedmenų seriją) ar leidimą pateikti rinkai patvirtintą </w:t>
            </w:r>
            <w:r w:rsidR="00EF353F" w:rsidRPr="003310F4">
              <w:rPr>
                <w:lang w:eastAsia="lt-LT"/>
              </w:rPr>
              <w:lastRenderedPageBreak/>
              <w:t>geležinkelių riedmenų tipą atitinkančius geležinkelių riedmenis (geležinkelių riedmenų seriją).</w:t>
            </w:r>
            <w:bookmarkEnd w:id="1"/>
            <w:r w:rsidR="00EF353F">
              <w:rPr>
                <w:lang w:eastAsia="lt-LT"/>
              </w:rPr>
              <w:t xml:space="preserve">“, </w:t>
            </w:r>
            <w:r w:rsidR="00212D7F" w:rsidRPr="00AC7950">
              <w:rPr>
                <w:bCs/>
              </w:rPr>
              <w:t xml:space="preserve">taip pat GTESĮ projekto </w:t>
            </w:r>
            <w:r w:rsidR="00920C7C" w:rsidRPr="00AC7950">
              <w:rPr>
                <w:bCs/>
              </w:rPr>
              <w:t xml:space="preserve">11 </w:t>
            </w:r>
            <w:r w:rsidR="009B600B" w:rsidRPr="00AC7950">
              <w:rPr>
                <w:bCs/>
              </w:rPr>
              <w:t>straipsnio</w:t>
            </w:r>
            <w:r w:rsidR="00212D7F" w:rsidRPr="00AC7950">
              <w:rPr>
                <w:bCs/>
              </w:rPr>
              <w:t xml:space="preserve"> 7 d</w:t>
            </w:r>
            <w:r w:rsidR="009B600B" w:rsidRPr="00AC7950">
              <w:rPr>
                <w:bCs/>
              </w:rPr>
              <w:t xml:space="preserve">alyje  </w:t>
            </w:r>
            <w:r w:rsidR="00212D7F" w:rsidRPr="00AC7950">
              <w:rPr>
                <w:bCs/>
              </w:rPr>
              <w:t xml:space="preserve">nustatyta, kad </w:t>
            </w:r>
            <w:r w:rsidRPr="00AC7950">
              <w:rPr>
                <w:bCs/>
              </w:rPr>
              <w:t>,,</w:t>
            </w:r>
            <w:r w:rsidR="002508DA">
              <w:t xml:space="preserve"> </w:t>
            </w:r>
            <w:r w:rsidR="002508DA" w:rsidRPr="00AC7950">
              <w:rPr>
                <w:bCs/>
              </w:rPr>
              <w:t xml:space="preserve">Visą stacionariųjų geležinkelių posistemių naudojimo laiką, stacionarieji geležinkelių posistemiai ir geležinkelių riedmenys turi atitikti leidimo išdavimo metu galiojančias TSS ir geležinkelių posistemių technines taisykles.“ </w:t>
            </w:r>
            <w:r w:rsidR="00212D7F" w:rsidRPr="00AC7950">
              <w:rPr>
                <w:bCs/>
              </w:rPr>
              <w:t xml:space="preserve"> Taip pat </w:t>
            </w:r>
            <w:r w:rsidRPr="00AC7950">
              <w:rPr>
                <w:bCs/>
              </w:rPr>
              <w:t>GTESĮ projektas</w:t>
            </w:r>
            <w:r w:rsidR="00212D7F" w:rsidRPr="00AC7950">
              <w:rPr>
                <w:bCs/>
              </w:rPr>
              <w:t xml:space="preserve"> </w:t>
            </w:r>
            <w:r w:rsidRPr="00AC7950">
              <w:rPr>
                <w:bCs/>
              </w:rPr>
              <w:t xml:space="preserve">buvo papildytas nuostata, kad ,,Draudžiama naudoti ir pateikti rinkai geležinkelių riedmenis, kurių leidimo pateikti rinkai </w:t>
            </w:r>
            <w:r w:rsidR="003D1405" w:rsidRPr="00AC7950">
              <w:rPr>
                <w:bCs/>
              </w:rPr>
              <w:t xml:space="preserve">geležinkelių riedmenis (geležinkelių riedmenų seriją) </w:t>
            </w:r>
            <w:r w:rsidRPr="00AC7950">
              <w:rPr>
                <w:bCs/>
              </w:rPr>
              <w:t xml:space="preserve">arba leidimo </w:t>
            </w:r>
            <w:r w:rsidR="00321591" w:rsidRPr="00AC7950">
              <w:rPr>
                <w:bCs/>
              </w:rPr>
              <w:t>pateikti rinkai patvirtintą geležinkelių riedmenų tipą atitinkančius geležinkelių riedmenis</w:t>
            </w:r>
            <w:r w:rsidR="00321591" w:rsidRPr="00AC7950" w:rsidDel="00321591">
              <w:rPr>
                <w:bCs/>
              </w:rPr>
              <w:t xml:space="preserve"> </w:t>
            </w:r>
            <w:r w:rsidR="003D1405" w:rsidRPr="00AC7950">
              <w:rPr>
                <w:bCs/>
              </w:rPr>
              <w:t xml:space="preserve">(geležinkelių riedmenų seriją) </w:t>
            </w:r>
            <w:r w:rsidRPr="00AC7950">
              <w:rPr>
                <w:bCs/>
              </w:rPr>
              <w:t xml:space="preserve">galiojimas yra </w:t>
            </w:r>
            <w:r w:rsidR="00911C48" w:rsidRPr="00AC7950">
              <w:rPr>
                <w:bCs/>
              </w:rPr>
              <w:t xml:space="preserve">sustabdytas ar </w:t>
            </w:r>
            <w:r w:rsidRPr="00AC7950">
              <w:rPr>
                <w:bCs/>
              </w:rPr>
              <w:t>panaikintas.“</w:t>
            </w:r>
            <w:r w:rsidR="002508DA" w:rsidRPr="00AC7950">
              <w:rPr>
                <w:bCs/>
              </w:rPr>
              <w:t>,</w:t>
            </w:r>
            <w:r w:rsidR="00212D7F" w:rsidRPr="005937B0">
              <w:t xml:space="preserve"> </w:t>
            </w:r>
            <w:r w:rsidR="00212D7F" w:rsidRPr="00AC7950">
              <w:rPr>
                <w:bCs/>
              </w:rPr>
              <w:t xml:space="preserve">GTESĮ projekto </w:t>
            </w:r>
            <w:r w:rsidR="00920C7C" w:rsidRPr="00AC7950">
              <w:rPr>
                <w:bCs/>
              </w:rPr>
              <w:t xml:space="preserve">11 </w:t>
            </w:r>
            <w:r w:rsidR="009B600B" w:rsidRPr="00AC7950">
              <w:rPr>
                <w:bCs/>
              </w:rPr>
              <w:t>straipsnio</w:t>
            </w:r>
            <w:r w:rsidR="00212D7F" w:rsidRPr="00AC7950">
              <w:rPr>
                <w:bCs/>
              </w:rPr>
              <w:t xml:space="preserve"> </w:t>
            </w:r>
            <w:r w:rsidR="00EF353F" w:rsidRPr="00AC7950">
              <w:rPr>
                <w:bCs/>
                <w:lang w:val="en-US"/>
              </w:rPr>
              <w:t>7</w:t>
            </w:r>
            <w:r w:rsidR="00EF353F" w:rsidRPr="00AC7950">
              <w:rPr>
                <w:bCs/>
              </w:rPr>
              <w:t xml:space="preserve"> </w:t>
            </w:r>
            <w:r w:rsidR="009B600B" w:rsidRPr="00AC7950">
              <w:rPr>
                <w:bCs/>
              </w:rPr>
              <w:t xml:space="preserve">dalyje, </w:t>
            </w:r>
            <w:r w:rsidRPr="00AC7950">
              <w:rPr>
                <w:bCs/>
              </w:rPr>
              <w:t>,,</w:t>
            </w:r>
            <w:r w:rsidR="00EF353F" w:rsidRPr="00AC7950">
              <w:rPr>
                <w:bCs/>
              </w:rPr>
              <w:t xml:space="preserve">Per 4 mėnesius nuo dienos, kai pareiškėjas buvo informuotas, kad gautas tinkamai įformintas prašymas ir visi reikalingi dokumentai eismo saugos institucija priima motyvuotą sprendimą išduoti šio straipsnio 5  dalyje nurodytą leidimą arba atsisakyti išduoti leidimą, jeigu įvertinusi pareiškėjo pateiktus dokumentus nustato, kad stacionarusis geležinkelių posistemis neatitinka šio straipsnio 3 dalies 1 ir 2 punktuose nustatytų reikalavimų. Per 4 mėnesius nuo dienos, kai pareiškėjas buvo informuotas, kad gautas tinkamai įformintas prašymas ir visi reikalingi dokumentai eismo saugos institucija priima motyvuotą sprendimą išduoti šio straipsnio 6  dalyje nurodytą leidimą arba atsisakyti išduoti leidimą, jeigu įvertinusi pareiškėjo pateiktus dokumentus nustato, kad bent vienas mobilusis geležinkelių posistemis, iš kurio sudaryti geležinkelių riedmenys, neatitinka šio straipsnio 3 dalies 1 ir 2 punktuose nustatytų reikalavimų.“ </w:t>
            </w:r>
            <w:bookmarkStart w:id="2" w:name="_Hlk38198622"/>
            <w:r w:rsidR="00892F80" w:rsidRPr="00AC7950">
              <w:rPr>
                <w:bCs/>
              </w:rPr>
              <w:t xml:space="preserve">Nuspręsta, kad detaliai leidimų </w:t>
            </w:r>
            <w:r w:rsidR="003D1405" w:rsidRPr="00AC7950">
              <w:rPr>
                <w:bCs/>
              </w:rPr>
              <w:t xml:space="preserve">leidimo pradėti naudoti stacionariuosius geležinkelių posistemius, leidimo pateikti rinkai geležinkelių riedmenis (geležinkelių riedmenų seriją) leidimo pateikti rinkai patvirtintą geležinkelių riedmenų tipą atitinkančius geležinkelių riedmenis (geležinkelių riedmenų seriją) </w:t>
            </w:r>
            <w:r w:rsidR="00892F80" w:rsidRPr="00AC7950">
              <w:rPr>
                <w:bCs/>
              </w:rPr>
              <w:t xml:space="preserve">išdavimas bus reglamentuotas </w:t>
            </w:r>
            <w:r w:rsidR="00CF3326" w:rsidRPr="00AC7950">
              <w:rPr>
                <w:bCs/>
              </w:rPr>
              <w:t xml:space="preserve">Lietuvos Respublikos </w:t>
            </w:r>
            <w:r w:rsidR="00892F80" w:rsidRPr="00AC7950">
              <w:rPr>
                <w:bCs/>
              </w:rPr>
              <w:t>susisiekimo ministro nustatyta tvarka, kadangi atitinkami leidimai yra techninės atitikties tinkamumo naudoti patvirtinimas, bet ne leidimai pradėti vykdyti ūkinę veiklą.</w:t>
            </w:r>
            <w:bookmarkEnd w:id="2"/>
          </w:p>
        </w:tc>
      </w:tr>
      <w:tr w:rsidR="00DD3E2F" w:rsidRPr="005937B0" w14:paraId="39D72561" w14:textId="77777777" w:rsidTr="00AB08E2">
        <w:trPr>
          <w:trHeight w:val="705"/>
        </w:trPr>
        <w:tc>
          <w:tcPr>
            <w:tcW w:w="2268" w:type="dxa"/>
          </w:tcPr>
          <w:p w14:paraId="0FFD486B" w14:textId="09BC0E15" w:rsidR="00DD3E2F" w:rsidRPr="005937B0" w:rsidRDefault="007E6955" w:rsidP="004D03CC">
            <w:r w:rsidRPr="005937B0">
              <w:lastRenderedPageBreak/>
              <w:t>Lietuvos Respublikos teisingumo ministerijos 2020-</w:t>
            </w:r>
            <w:r w:rsidRPr="005937B0">
              <w:lastRenderedPageBreak/>
              <w:t>01-09 raštas Nr. (1.6E)2T-20</w:t>
            </w:r>
          </w:p>
        </w:tc>
        <w:tc>
          <w:tcPr>
            <w:tcW w:w="4820" w:type="dxa"/>
            <w:tcBorders>
              <w:top w:val="single" w:sz="4" w:space="0" w:color="auto"/>
              <w:bottom w:val="single" w:sz="4" w:space="0" w:color="auto"/>
            </w:tcBorders>
          </w:tcPr>
          <w:p w14:paraId="02CFDDC2" w14:textId="18F0AAAA" w:rsidR="00DD3E2F" w:rsidRPr="005937B0" w:rsidRDefault="00DD3E2F" w:rsidP="00D37609">
            <w:pPr>
              <w:tabs>
                <w:tab w:val="left" w:pos="993"/>
              </w:tabs>
              <w:jc w:val="both"/>
            </w:pPr>
            <w:r w:rsidRPr="005937B0">
              <w:lastRenderedPageBreak/>
              <w:t xml:space="preserve">GTESĮ projekto 2 straipsnio 24 dalyje, atsižvelgiant į vartojamas sąvokas, sakinyje „Geležinkelių transporto eismo sauga (toliau – eismo sauga) – visuma geležinkelių transporto </w:t>
            </w:r>
            <w:r w:rsidRPr="005937B0">
              <w:lastRenderedPageBreak/>
              <w:t>techninių ir organizacinių priemonių, skirtų užtikrinti, kad keleiviai, kiti geležinkelių transporto eismo dalyviai ir kiti asmenys, taip pat geležinkelių infrastruktūra, geležinkelių riedmenys ir vežami kroviniai bei bagažas būtų apsaugoti nuo geležinkelių transporto katastrofų, eismo įvykių, riktų ir jų padarinių“ žodžius „geležinkelių transporto katastrofų, eismo įvykių, riktų“ reikėtų keisti žodžiais „sunkių avarijų, avarijų, incidentų“.</w:t>
            </w:r>
          </w:p>
        </w:tc>
        <w:tc>
          <w:tcPr>
            <w:tcW w:w="7479" w:type="dxa"/>
            <w:tcBorders>
              <w:top w:val="single" w:sz="4" w:space="0" w:color="auto"/>
              <w:bottom w:val="single" w:sz="4" w:space="0" w:color="auto"/>
            </w:tcBorders>
            <w:shd w:val="clear" w:color="auto" w:fill="auto"/>
          </w:tcPr>
          <w:p w14:paraId="1C4A5A6D" w14:textId="134E69CF" w:rsidR="00DD3E2F" w:rsidRPr="005937B0" w:rsidRDefault="00DD3E2F" w:rsidP="004D03CC">
            <w:pPr>
              <w:jc w:val="both"/>
              <w:rPr>
                <w:b/>
              </w:rPr>
            </w:pPr>
            <w:r w:rsidRPr="005937B0">
              <w:rPr>
                <w:b/>
              </w:rPr>
              <w:lastRenderedPageBreak/>
              <w:t>Neatsižvelgta.</w:t>
            </w:r>
          </w:p>
          <w:p w14:paraId="7B7B0762" w14:textId="4ACF4A38" w:rsidR="00DD3E2F" w:rsidRPr="005937B0" w:rsidRDefault="006238FF" w:rsidP="004D03CC">
            <w:pPr>
              <w:jc w:val="both"/>
              <w:rPr>
                <w:bCs/>
              </w:rPr>
            </w:pPr>
            <w:bookmarkStart w:id="3" w:name="_Hlk32224394"/>
            <w:r w:rsidRPr="005937B0">
              <w:rPr>
                <w:bCs/>
              </w:rPr>
              <w:t xml:space="preserve">2020 m. sausio 24 d. </w:t>
            </w:r>
            <w:r w:rsidR="00CF3326" w:rsidRPr="005937B0">
              <w:rPr>
                <w:bCs/>
              </w:rPr>
              <w:t>Lietuvos Respublikos s</w:t>
            </w:r>
            <w:r w:rsidRPr="005937B0">
              <w:rPr>
                <w:bCs/>
              </w:rPr>
              <w:t xml:space="preserve">usisiekimo ministerijoje įvyko suinteresuotųjų šalių posėdis nuostatoms, susijusioms geležinkelių transporto katastrofų, eismo įvykių, riktų tyrimais aptarti (GTESĮ VI </w:t>
            </w:r>
            <w:r w:rsidRPr="005937B0">
              <w:rPr>
                <w:bCs/>
              </w:rPr>
              <w:lastRenderedPageBreak/>
              <w:t xml:space="preserve">skyrius). </w:t>
            </w:r>
            <w:bookmarkEnd w:id="3"/>
            <w:r w:rsidRPr="005937B0">
              <w:rPr>
                <w:bCs/>
              </w:rPr>
              <w:t xml:space="preserve">Posėdžio metu buvo išsakytos skirtingos nuomonės dėl šių įvykių įvardijimo GTESĮ – Teisingumo ministerijos atstovai išreiškė poziciją, kad </w:t>
            </w:r>
            <w:r w:rsidR="003B568C" w:rsidRPr="005937B0">
              <w:rPr>
                <w:bCs/>
              </w:rPr>
              <w:t>šie įvykiai turėtų būti įvardijami kaip sunkios avarijos, avarijos ir riktai, tačiau Lietuvos Respublikos susisiekimo ministerijos, AB ,,Lietuvos geležinkeliai“ ir Lietuvos transporto saugos administracijos atstovų nuomone, tikslingiau nekeisti šių sąvokų ir toliau įvykius įvardinti kaip katastrofas, eismo įvykius ir riktus (GTESĮ 2 str</w:t>
            </w:r>
            <w:r w:rsidR="005937B0" w:rsidRPr="005937B0">
              <w:rPr>
                <w:bCs/>
              </w:rPr>
              <w:t>aipsnio</w:t>
            </w:r>
            <w:r w:rsidR="003B568C" w:rsidRPr="005937B0">
              <w:rPr>
                <w:bCs/>
              </w:rPr>
              <w:t xml:space="preserve"> 19 d</w:t>
            </w:r>
            <w:r w:rsidR="005937B0" w:rsidRPr="005937B0">
              <w:rPr>
                <w:bCs/>
              </w:rPr>
              <w:t>alis</w:t>
            </w:r>
            <w:r w:rsidR="003B568C" w:rsidRPr="005937B0">
              <w:rPr>
                <w:bCs/>
              </w:rPr>
              <w:t>, 22 d</w:t>
            </w:r>
            <w:r w:rsidR="005937B0" w:rsidRPr="005937B0">
              <w:rPr>
                <w:bCs/>
              </w:rPr>
              <w:t>alis</w:t>
            </w:r>
            <w:r w:rsidR="003B568C" w:rsidRPr="005937B0">
              <w:rPr>
                <w:bCs/>
              </w:rPr>
              <w:t>, 24 d</w:t>
            </w:r>
            <w:r w:rsidR="005937B0" w:rsidRPr="005937B0">
              <w:rPr>
                <w:bCs/>
              </w:rPr>
              <w:t>alis</w:t>
            </w:r>
            <w:r w:rsidR="003B568C" w:rsidRPr="005937B0">
              <w:rPr>
                <w:bCs/>
              </w:rPr>
              <w:t xml:space="preserve">). </w:t>
            </w:r>
            <w:r w:rsidR="00DD3E2F" w:rsidRPr="005937B0">
              <w:rPr>
                <w:bCs/>
              </w:rPr>
              <w:t>Nuspręsta GATESĮ projektą koreguoti, nurodant šiuo metu GTESĮ vartojamas katastrofos</w:t>
            </w:r>
            <w:r w:rsidR="003B568C" w:rsidRPr="005937B0">
              <w:rPr>
                <w:bCs/>
              </w:rPr>
              <w:t>, eismo įvykio</w:t>
            </w:r>
            <w:r w:rsidR="00DD3E2F" w:rsidRPr="005937B0">
              <w:rPr>
                <w:bCs/>
              </w:rPr>
              <w:t xml:space="preserve"> ir rikto sąvokos, kadangi: 1) šios sąvokos yra įprastos rinkos dalyviams, </w:t>
            </w:r>
            <w:r w:rsidR="003B568C" w:rsidRPr="005937B0">
              <w:rPr>
                <w:bCs/>
              </w:rPr>
              <w:t>2</w:t>
            </w:r>
            <w:r w:rsidR="00DD3E2F" w:rsidRPr="005937B0">
              <w:rPr>
                <w:bCs/>
              </w:rPr>
              <w:t xml:space="preserve">) </w:t>
            </w:r>
            <w:r w:rsidR="00005FF7" w:rsidRPr="005937B0">
              <w:rPr>
                <w:bCs/>
              </w:rPr>
              <w:t>,,sunki avarija“ yra taip pat ,,avarija“, todėl GATESĮ</w:t>
            </w:r>
            <w:r w:rsidR="00C171F7" w:rsidRPr="005937B0">
              <w:rPr>
                <w:bCs/>
              </w:rPr>
              <w:t xml:space="preserve"> projekto</w:t>
            </w:r>
            <w:r w:rsidR="00005FF7" w:rsidRPr="005937B0">
              <w:rPr>
                <w:bCs/>
              </w:rPr>
              <w:t xml:space="preserve"> nuostatos praranda aiškumą</w:t>
            </w:r>
            <w:r w:rsidR="00107AC0" w:rsidRPr="005937B0">
              <w:rPr>
                <w:bCs/>
              </w:rPr>
              <w:t>, atsiranda painiavos</w:t>
            </w:r>
            <w:r w:rsidR="003B568C" w:rsidRPr="005937B0">
              <w:rPr>
                <w:bCs/>
              </w:rPr>
              <w:t xml:space="preserve">, 3) pakeitus šias sąvokas, reikėtų pakeisti ne tik Lietuvos Respublikos teisės aktus, tačiau ir daug Europos Sąjungos teisės aktų vertimų į lietuvių kalbą, įskaitant techninius dokumentus (geležinkelių techninio sąveikumo specifikacijas ir kt.), taip pat ūkio subjektai turėtų pakeisti savo patvirtintus dokumentus, taigi būtų sukurta didelė našta.  </w:t>
            </w:r>
          </w:p>
        </w:tc>
      </w:tr>
      <w:tr w:rsidR="00107AC0" w:rsidRPr="005937B0" w14:paraId="31071467" w14:textId="77777777" w:rsidTr="004D03CC">
        <w:trPr>
          <w:trHeight w:val="1015"/>
        </w:trPr>
        <w:tc>
          <w:tcPr>
            <w:tcW w:w="2268" w:type="dxa"/>
          </w:tcPr>
          <w:p w14:paraId="3241A067" w14:textId="2F0C37DD" w:rsidR="00107AC0" w:rsidRPr="005937B0" w:rsidRDefault="007E6955" w:rsidP="004D03CC">
            <w:r w:rsidRPr="005937B0">
              <w:lastRenderedPageBreak/>
              <w:t>Lietuvos Respublikos teisingumo ministerijos 2020-01-09 raštas Nr. (1.6E)2T-20</w:t>
            </w:r>
          </w:p>
        </w:tc>
        <w:tc>
          <w:tcPr>
            <w:tcW w:w="4820" w:type="dxa"/>
            <w:tcBorders>
              <w:top w:val="single" w:sz="4" w:space="0" w:color="auto"/>
              <w:bottom w:val="single" w:sz="4" w:space="0" w:color="auto"/>
            </w:tcBorders>
          </w:tcPr>
          <w:p w14:paraId="1AB36FA1" w14:textId="4BD3EE69" w:rsidR="00107AC0" w:rsidRPr="005937B0" w:rsidRDefault="00C66ECF" w:rsidP="00DD3E2F">
            <w:pPr>
              <w:tabs>
                <w:tab w:val="left" w:pos="993"/>
              </w:tabs>
              <w:jc w:val="both"/>
            </w:pPr>
            <w:r w:rsidRPr="005937B0">
              <w:t>,,GTESĮ projekto 7 straipsnio 2 dalies 12 punkto antras sakinys dėstytinas GTESĮ projekto 6 straipsnio 3 dalyje.“</w:t>
            </w:r>
          </w:p>
        </w:tc>
        <w:tc>
          <w:tcPr>
            <w:tcW w:w="7479" w:type="dxa"/>
            <w:tcBorders>
              <w:top w:val="single" w:sz="4" w:space="0" w:color="auto"/>
              <w:bottom w:val="single" w:sz="4" w:space="0" w:color="auto"/>
            </w:tcBorders>
            <w:shd w:val="clear" w:color="auto" w:fill="auto"/>
          </w:tcPr>
          <w:p w14:paraId="77353A8B" w14:textId="77777777" w:rsidR="00107AC0" w:rsidRPr="005937B0" w:rsidRDefault="00C66ECF" w:rsidP="004D03CC">
            <w:pPr>
              <w:jc w:val="both"/>
              <w:rPr>
                <w:b/>
              </w:rPr>
            </w:pPr>
            <w:r w:rsidRPr="005937B0">
              <w:rPr>
                <w:b/>
              </w:rPr>
              <w:t>Neatsižvelgta.</w:t>
            </w:r>
          </w:p>
          <w:p w14:paraId="70CE2FA7" w14:textId="19AFEB34" w:rsidR="00C66ECF" w:rsidRPr="005937B0" w:rsidRDefault="00FD04F3" w:rsidP="004D03CC">
            <w:pPr>
              <w:jc w:val="both"/>
              <w:rPr>
                <w:bCs/>
              </w:rPr>
            </w:pPr>
            <w:r w:rsidRPr="005937B0">
              <w:rPr>
                <w:bCs/>
              </w:rPr>
              <w:t xml:space="preserve">GTESĮ projekto straipsnio dalies, kurią siūloma papildyti, atsisakyta, kadangi dalis šioje dalyje nurodytų funkcijų yra vienkartinio pobūdžio veiksmai (patvirtinti tvarkas, paskirti asmenis), o ne nuolatinė veikla – funkcija. </w:t>
            </w:r>
            <w:r w:rsidR="00CF3326" w:rsidRPr="005937B0">
              <w:rPr>
                <w:bCs/>
              </w:rPr>
              <w:t xml:space="preserve">Lietuvos Respublikos susisiekimo </w:t>
            </w:r>
            <w:r w:rsidRPr="005937B0">
              <w:rPr>
                <w:bCs/>
              </w:rPr>
              <w:t>ministro tvirtinamos tvarkos nurodytos aktualiuose straipsniuose.</w:t>
            </w:r>
          </w:p>
        </w:tc>
      </w:tr>
      <w:tr w:rsidR="00FD04F3" w:rsidRPr="005937B0" w14:paraId="33A04BC1" w14:textId="77777777" w:rsidTr="008C2FB7">
        <w:trPr>
          <w:trHeight w:val="435"/>
        </w:trPr>
        <w:tc>
          <w:tcPr>
            <w:tcW w:w="2268" w:type="dxa"/>
          </w:tcPr>
          <w:p w14:paraId="5913CE1E" w14:textId="3BC1009F" w:rsidR="00FD04F3" w:rsidRPr="005937B0" w:rsidRDefault="007E6955" w:rsidP="004D03CC">
            <w:r w:rsidRPr="005937B0">
              <w:t>Lietuvos Respublikos teisingumo ministerijos 2020-01-09 raštas Nr. (1.6E)2T-20</w:t>
            </w:r>
          </w:p>
        </w:tc>
        <w:tc>
          <w:tcPr>
            <w:tcW w:w="4820" w:type="dxa"/>
            <w:tcBorders>
              <w:top w:val="single" w:sz="4" w:space="0" w:color="auto"/>
              <w:bottom w:val="single" w:sz="4" w:space="0" w:color="auto"/>
            </w:tcBorders>
          </w:tcPr>
          <w:p w14:paraId="67D73075" w14:textId="3BE31FDC" w:rsidR="00FD04F3" w:rsidRPr="005937B0" w:rsidRDefault="000021CF" w:rsidP="00DD3E2F">
            <w:pPr>
              <w:tabs>
                <w:tab w:val="left" w:pos="993"/>
              </w:tabs>
              <w:jc w:val="both"/>
            </w:pPr>
            <w:r w:rsidRPr="005937B0">
              <w:t>,,Direktyvos (ES) 2016/798 10 straipsnis reglamentuoja bendrojo saugos sertifikato keitimą ir atnaujinimą ne tik tais atvejais, kai jis išduodamas nacionalinės saugos institucijos, bet ir Agentūros. Atsižvelgiant į tai ir siekiant užtikrinti ūkio subjektams teisinį aiškumą, GTESĮ projekto 8 straipsnyje turėtų būti aptariamas ir paraiškų pateikimas Agentūrai tiek, kiek tai nereglamentuojama tiesiogiai taikomuose reglamentuose.“</w:t>
            </w:r>
          </w:p>
        </w:tc>
        <w:tc>
          <w:tcPr>
            <w:tcW w:w="7479" w:type="dxa"/>
            <w:tcBorders>
              <w:top w:val="single" w:sz="4" w:space="0" w:color="auto"/>
              <w:bottom w:val="single" w:sz="4" w:space="0" w:color="auto"/>
            </w:tcBorders>
            <w:shd w:val="clear" w:color="auto" w:fill="auto"/>
          </w:tcPr>
          <w:p w14:paraId="3EC0401C" w14:textId="77777777" w:rsidR="00FD04F3" w:rsidRPr="005937B0" w:rsidRDefault="000021CF" w:rsidP="004D03CC">
            <w:pPr>
              <w:jc w:val="both"/>
              <w:rPr>
                <w:b/>
              </w:rPr>
            </w:pPr>
            <w:r w:rsidRPr="005937B0">
              <w:rPr>
                <w:b/>
              </w:rPr>
              <w:t>Neatsižvelgta.</w:t>
            </w:r>
          </w:p>
          <w:p w14:paraId="456AF75C" w14:textId="319FE289" w:rsidR="000021CF" w:rsidRPr="005937B0" w:rsidRDefault="003B568C" w:rsidP="004D03CC">
            <w:pPr>
              <w:jc w:val="both"/>
              <w:rPr>
                <w:bCs/>
              </w:rPr>
            </w:pPr>
            <w:r w:rsidRPr="005937B0">
              <w:rPr>
                <w:bCs/>
              </w:rPr>
              <w:t>2018 m. balandžio 9 d. Komisijos įgyvendinimo reglamente (ES) 2018/763, kuriuo pagal Europos Parlamento ir Tarybos direktyvą (ES) 2016/798 nustatomos bendrų saugos sertifikatų išdavimo geležinkelio įmonėms praktinės taisyklės ir panaikinamas Komisijos reglamentas (EB) Nr. 653/2007 (OL 2016 L 129, p. 49) (toliau – Reglamentas (ES)</w:t>
            </w:r>
            <w:r w:rsidRPr="005937B0">
              <w:t xml:space="preserve"> </w:t>
            </w:r>
            <w:r w:rsidRPr="005937B0">
              <w:rPr>
                <w:bCs/>
              </w:rPr>
              <w:t>2018/763</w:t>
            </w:r>
            <w:r w:rsidR="00124A11" w:rsidRPr="005937B0">
              <w:rPr>
                <w:bCs/>
              </w:rPr>
              <w:t>)</w:t>
            </w:r>
            <w:r w:rsidRPr="005937B0">
              <w:rPr>
                <w:bCs/>
              </w:rPr>
              <w:t xml:space="preserve"> </w:t>
            </w:r>
            <w:r w:rsidR="000021CF" w:rsidRPr="005937B0">
              <w:rPr>
                <w:bCs/>
              </w:rPr>
              <w:t>yra nustatytos detalios procedūrinės bendro</w:t>
            </w:r>
            <w:r w:rsidR="002508DA">
              <w:rPr>
                <w:bCs/>
              </w:rPr>
              <w:t>jo</w:t>
            </w:r>
            <w:r w:rsidR="000021CF" w:rsidRPr="005937B0">
              <w:rPr>
                <w:bCs/>
              </w:rPr>
              <w:t xml:space="preserve"> saugos sertifikato išdavimo (papildymo, pakeitimo), prašymų pateikimo, kai bendrą</w:t>
            </w:r>
            <w:r w:rsidR="002508DA">
              <w:rPr>
                <w:bCs/>
              </w:rPr>
              <w:t>jį</w:t>
            </w:r>
            <w:r w:rsidR="000021CF" w:rsidRPr="005937B0">
              <w:rPr>
                <w:bCs/>
              </w:rPr>
              <w:t xml:space="preserve"> saugos sertifikatą išduoda Agentūra, taisyklės (Reglamento (ES) 2018/763 4</w:t>
            </w:r>
            <w:r w:rsidR="00AB08E2" w:rsidRPr="005937B0">
              <w:rPr>
                <w:bCs/>
              </w:rPr>
              <w:t xml:space="preserve"> – </w:t>
            </w:r>
            <w:r w:rsidR="000021CF" w:rsidRPr="005937B0">
              <w:rPr>
                <w:bCs/>
              </w:rPr>
              <w:t>6 str</w:t>
            </w:r>
            <w:r w:rsidR="005937B0">
              <w:rPr>
                <w:bCs/>
              </w:rPr>
              <w:t>aipsniai</w:t>
            </w:r>
            <w:r w:rsidR="000021CF" w:rsidRPr="005937B0">
              <w:rPr>
                <w:bCs/>
              </w:rPr>
              <w:t xml:space="preserve">). Be to, </w:t>
            </w:r>
            <w:r w:rsidR="005937B0">
              <w:rPr>
                <w:bCs/>
              </w:rPr>
              <w:t>pagal</w:t>
            </w:r>
            <w:r w:rsidR="005937B0" w:rsidRPr="005937B0">
              <w:rPr>
                <w:bCs/>
              </w:rPr>
              <w:t xml:space="preserve"> </w:t>
            </w:r>
            <w:r w:rsidR="000021CF" w:rsidRPr="005937B0">
              <w:rPr>
                <w:bCs/>
              </w:rPr>
              <w:t>Reglamento (ES) 2018/763 3 str</w:t>
            </w:r>
            <w:r w:rsidR="005937B0">
              <w:rPr>
                <w:bCs/>
              </w:rPr>
              <w:t>aipsnio</w:t>
            </w:r>
            <w:r w:rsidR="000021CF" w:rsidRPr="005937B0">
              <w:rPr>
                <w:bCs/>
              </w:rPr>
              <w:t xml:space="preserve"> 7 d</w:t>
            </w:r>
            <w:r w:rsidR="005937B0">
              <w:rPr>
                <w:bCs/>
              </w:rPr>
              <w:t>alį</w:t>
            </w:r>
            <w:r w:rsidR="005937B0" w:rsidRPr="005937B0">
              <w:rPr>
                <w:bCs/>
              </w:rPr>
              <w:t xml:space="preserve">, </w:t>
            </w:r>
            <w:r w:rsidR="000021CF" w:rsidRPr="005937B0">
              <w:rPr>
                <w:bCs/>
              </w:rPr>
              <w:t>Agentūra nemokamai visomis oficialiomis Europos Sąjungos kalbomis skelbia ir nuolat atnaujina paraiškų teikimo vadovą, kuriame aprašomi ir prireikus paaiškinami šiame reglamente nustatyti reikalavimai. Paraiškų teikimo vadove taip pat pateikiami šablonai, Agentūros parengt</w:t>
            </w:r>
            <w:r w:rsidR="00CC3847" w:rsidRPr="005937B0">
              <w:rPr>
                <w:bCs/>
              </w:rPr>
              <w:t>i</w:t>
            </w:r>
            <w:r w:rsidR="000021CF" w:rsidRPr="005937B0">
              <w:rPr>
                <w:bCs/>
              </w:rPr>
              <w:t xml:space="preserve"> bendradarbiaujant </w:t>
            </w:r>
            <w:r w:rsidR="000021CF" w:rsidRPr="005937B0">
              <w:rPr>
                <w:bCs/>
              </w:rPr>
              <w:lastRenderedPageBreak/>
              <w:t>su nacionalinėmis saugos institucijomis</w:t>
            </w:r>
            <w:r w:rsidR="00CC3847" w:rsidRPr="005937B0">
              <w:rPr>
                <w:bCs/>
              </w:rPr>
              <w:t xml:space="preserve">. (Teikiant prašymą eismo saugos institucijai bus vadovaujamasi GTESĮ projekto nuostatomis, </w:t>
            </w:r>
            <w:r w:rsidR="00CF3326" w:rsidRPr="005937B0">
              <w:rPr>
                <w:bCs/>
              </w:rPr>
              <w:t xml:space="preserve">Lietuvos Respublikos </w:t>
            </w:r>
            <w:r w:rsidR="00CC3847" w:rsidRPr="005937B0">
              <w:rPr>
                <w:bCs/>
              </w:rPr>
              <w:t>susisiekimo ministro nustatyta tvarka ir jų pagrindu</w:t>
            </w:r>
            <w:r w:rsidR="00124A11" w:rsidRPr="005937B0">
              <w:rPr>
                <w:bCs/>
              </w:rPr>
              <w:t xml:space="preserve"> parengtu</w:t>
            </w:r>
            <w:r w:rsidR="00CC3847" w:rsidRPr="005937B0">
              <w:rPr>
                <w:bCs/>
              </w:rPr>
              <w:t xml:space="preserve"> eismo saugos institucijos parengtu vadovu).</w:t>
            </w:r>
            <w:r w:rsidR="000021CF" w:rsidRPr="005937B0">
              <w:rPr>
                <w:bCs/>
              </w:rPr>
              <w:t xml:space="preserve"> Tad, </w:t>
            </w:r>
            <w:r w:rsidR="005A6CF3" w:rsidRPr="005937B0">
              <w:rPr>
                <w:bCs/>
              </w:rPr>
              <w:t xml:space="preserve">GTESĮ projekte </w:t>
            </w:r>
            <w:r w:rsidR="000021CF" w:rsidRPr="005937B0">
              <w:rPr>
                <w:bCs/>
              </w:rPr>
              <w:t>reglamentavus prašymų pateikimą Agentūrai, bendro</w:t>
            </w:r>
            <w:r w:rsidR="002508DA">
              <w:rPr>
                <w:bCs/>
              </w:rPr>
              <w:t>jo</w:t>
            </w:r>
            <w:r w:rsidR="000021CF" w:rsidRPr="005937B0">
              <w:rPr>
                <w:bCs/>
              </w:rPr>
              <w:t xml:space="preserve"> saugos sertifikato išdavimą (papildymą, pakeitimą), kurį atlieka Agentūra</w:t>
            </w:r>
            <w:r w:rsidR="005A6CF3" w:rsidRPr="005937B0">
              <w:rPr>
                <w:bCs/>
              </w:rPr>
              <w:t>,</w:t>
            </w:r>
            <w:r w:rsidR="000021CF" w:rsidRPr="005937B0">
              <w:rPr>
                <w:bCs/>
              </w:rPr>
              <w:t xml:space="preserve"> iškyla didelė rizika, kad atitinkamos nuostatos prieštaraus Agentūros vadove pateikiamoms gairėms. Kadangi toks vadovas yra ne teisės aktas, jis gali būti keičiamas bet kada pagal poreikį</w:t>
            </w:r>
            <w:r w:rsidR="005A6CF3" w:rsidRPr="005937B0">
              <w:rPr>
                <w:bCs/>
              </w:rPr>
              <w:t>.</w:t>
            </w:r>
            <w:r w:rsidR="00CC3847" w:rsidRPr="005937B0">
              <w:rPr>
                <w:bCs/>
              </w:rPr>
              <w:t xml:space="preserve"> </w:t>
            </w:r>
          </w:p>
        </w:tc>
      </w:tr>
    </w:tbl>
    <w:p w14:paraId="49B4D18B" w14:textId="77777777" w:rsidR="0074528A" w:rsidRPr="005937B0" w:rsidRDefault="0074528A" w:rsidP="0074528A">
      <w:pPr>
        <w:jc w:val="center"/>
      </w:pPr>
      <w:r w:rsidRPr="005937B0">
        <w:lastRenderedPageBreak/>
        <w:t>________________________</w:t>
      </w:r>
    </w:p>
    <w:p w14:paraId="7EE85549" w14:textId="1CB6B0D4" w:rsidR="00A4339B" w:rsidRPr="005937B0" w:rsidRDefault="00A4339B"/>
    <w:sectPr w:rsidR="00A4339B" w:rsidRPr="005937B0" w:rsidSect="00D653C8">
      <w:headerReference w:type="default" r:id="rId8"/>
      <w:pgSz w:w="16838" w:h="11906" w:orient="landscape"/>
      <w:pgMar w:top="85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C2F23" w14:textId="77777777" w:rsidR="00E86162" w:rsidRDefault="00E86162" w:rsidP="0074528A">
      <w:r>
        <w:separator/>
      </w:r>
    </w:p>
  </w:endnote>
  <w:endnote w:type="continuationSeparator" w:id="0">
    <w:p w14:paraId="347B30B5" w14:textId="77777777" w:rsidR="00E86162" w:rsidRDefault="00E86162" w:rsidP="00745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ndale Sans UI">
    <w:altName w:val="Arial Unicode MS"/>
    <w:charset w:val="BA"/>
    <w:family w:val="swiss"/>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E9575" w14:textId="77777777" w:rsidR="00E86162" w:rsidRDefault="00E86162" w:rsidP="0074528A">
      <w:r>
        <w:separator/>
      </w:r>
    </w:p>
  </w:footnote>
  <w:footnote w:type="continuationSeparator" w:id="0">
    <w:p w14:paraId="30D8C10C" w14:textId="77777777" w:rsidR="00E86162" w:rsidRDefault="00E86162" w:rsidP="00745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10D5D" w14:textId="77777777" w:rsidR="006A624A" w:rsidRDefault="0029667F">
    <w:pPr>
      <w:pStyle w:val="Antrats"/>
      <w:jc w:val="center"/>
    </w:pPr>
    <w:r>
      <w:fldChar w:fldCharType="begin"/>
    </w:r>
    <w:r>
      <w:instrText xml:space="preserve"> PAGE   \* MERGEFORMAT </w:instrText>
    </w:r>
    <w:r>
      <w:fldChar w:fldCharType="separate"/>
    </w:r>
    <w:r w:rsidR="002B718E">
      <w:rPr>
        <w:noProof/>
      </w:rPr>
      <w:t>8</w:t>
    </w:r>
    <w:r>
      <w:rPr>
        <w:noProof/>
      </w:rPr>
      <w:fldChar w:fldCharType="end"/>
    </w:r>
  </w:p>
  <w:p w14:paraId="009AA937" w14:textId="77777777" w:rsidR="006A624A" w:rsidRDefault="00FE1F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B54D7D"/>
    <w:multiLevelType w:val="multilevel"/>
    <w:tmpl w:val="062050C0"/>
    <w:lvl w:ilvl="0">
      <w:start w:val="1"/>
      <w:numFmt w:val="decimal"/>
      <w:lvlText w:val="%1."/>
      <w:lvlJc w:val="left"/>
      <w:pPr>
        <w:ind w:left="1428" w:hanging="435"/>
      </w:pPr>
      <w:rPr>
        <w:rFonts w:hint="default"/>
        <w:b w:val="0"/>
      </w:rPr>
    </w:lvl>
    <w:lvl w:ilvl="1">
      <w:start w:val="1"/>
      <w:numFmt w:val="decimal"/>
      <w:lvlText w:val="%2)"/>
      <w:lvlJc w:val="left"/>
      <w:pPr>
        <w:ind w:left="1800" w:hanging="360"/>
      </w:pPr>
      <w:rPr>
        <w:rFonts w:ascii="Times New Roman" w:eastAsiaTheme="minorHAnsi" w:hAnsi="Times New Roman" w:cs="Times New Roman"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76ED4602"/>
    <w:multiLevelType w:val="hybridMultilevel"/>
    <w:tmpl w:val="C7BCEDF2"/>
    <w:lvl w:ilvl="0" w:tplc="6A944DF6">
      <w:start w:val="1"/>
      <w:numFmt w:val="decimal"/>
      <w:lvlText w:val="%1."/>
      <w:lvlJc w:val="left"/>
      <w:pPr>
        <w:ind w:left="4897"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41F"/>
    <w:rsid w:val="000021CF"/>
    <w:rsid w:val="00005FF7"/>
    <w:rsid w:val="00024913"/>
    <w:rsid w:val="0005598E"/>
    <w:rsid w:val="00083661"/>
    <w:rsid w:val="000858CB"/>
    <w:rsid w:val="00107AC0"/>
    <w:rsid w:val="00124A11"/>
    <w:rsid w:val="00197FA5"/>
    <w:rsid w:val="001C141F"/>
    <w:rsid w:val="001D1A75"/>
    <w:rsid w:val="002033D6"/>
    <w:rsid w:val="00212D7F"/>
    <w:rsid w:val="00217334"/>
    <w:rsid w:val="002508DA"/>
    <w:rsid w:val="002853F9"/>
    <w:rsid w:val="0029667F"/>
    <w:rsid w:val="002B1A8E"/>
    <w:rsid w:val="002B718E"/>
    <w:rsid w:val="002E4A24"/>
    <w:rsid w:val="003013F1"/>
    <w:rsid w:val="00302502"/>
    <w:rsid w:val="00321591"/>
    <w:rsid w:val="003646E9"/>
    <w:rsid w:val="003B568C"/>
    <w:rsid w:val="003D1405"/>
    <w:rsid w:val="003F6C41"/>
    <w:rsid w:val="00471BD5"/>
    <w:rsid w:val="00486E8F"/>
    <w:rsid w:val="004A5C7E"/>
    <w:rsid w:val="004A5FAC"/>
    <w:rsid w:val="004B1F5D"/>
    <w:rsid w:val="005008E6"/>
    <w:rsid w:val="005937B0"/>
    <w:rsid w:val="005A6CF3"/>
    <w:rsid w:val="005B5825"/>
    <w:rsid w:val="005C7678"/>
    <w:rsid w:val="005D2E90"/>
    <w:rsid w:val="005F468E"/>
    <w:rsid w:val="006238FF"/>
    <w:rsid w:val="006566E9"/>
    <w:rsid w:val="00665422"/>
    <w:rsid w:val="006E3293"/>
    <w:rsid w:val="00720A51"/>
    <w:rsid w:val="0074528A"/>
    <w:rsid w:val="007E3D09"/>
    <w:rsid w:val="007E6955"/>
    <w:rsid w:val="00875986"/>
    <w:rsid w:val="00892F80"/>
    <w:rsid w:val="008957A2"/>
    <w:rsid w:val="008C2FB7"/>
    <w:rsid w:val="008F733A"/>
    <w:rsid w:val="00906436"/>
    <w:rsid w:val="00907B18"/>
    <w:rsid w:val="00911C48"/>
    <w:rsid w:val="00920C7C"/>
    <w:rsid w:val="0097028A"/>
    <w:rsid w:val="009B600B"/>
    <w:rsid w:val="00A06A61"/>
    <w:rsid w:val="00A11B46"/>
    <w:rsid w:val="00A317C4"/>
    <w:rsid w:val="00A4339B"/>
    <w:rsid w:val="00A52434"/>
    <w:rsid w:val="00A672EC"/>
    <w:rsid w:val="00A941DE"/>
    <w:rsid w:val="00AA5B62"/>
    <w:rsid w:val="00AB08E2"/>
    <w:rsid w:val="00AC7950"/>
    <w:rsid w:val="00AD2770"/>
    <w:rsid w:val="00AE79D5"/>
    <w:rsid w:val="00AF5AC0"/>
    <w:rsid w:val="00B225CA"/>
    <w:rsid w:val="00B622D7"/>
    <w:rsid w:val="00B95614"/>
    <w:rsid w:val="00C1299C"/>
    <w:rsid w:val="00C171F7"/>
    <w:rsid w:val="00C27A45"/>
    <w:rsid w:val="00C353F5"/>
    <w:rsid w:val="00C40049"/>
    <w:rsid w:val="00C66ECF"/>
    <w:rsid w:val="00CA0DC5"/>
    <w:rsid w:val="00CC3847"/>
    <w:rsid w:val="00CF3326"/>
    <w:rsid w:val="00CF35FA"/>
    <w:rsid w:val="00D37609"/>
    <w:rsid w:val="00D72DB2"/>
    <w:rsid w:val="00D944FE"/>
    <w:rsid w:val="00DD1633"/>
    <w:rsid w:val="00DD3E2F"/>
    <w:rsid w:val="00DE6D42"/>
    <w:rsid w:val="00E23514"/>
    <w:rsid w:val="00E330AD"/>
    <w:rsid w:val="00E86162"/>
    <w:rsid w:val="00E86E60"/>
    <w:rsid w:val="00E92C2D"/>
    <w:rsid w:val="00EF353F"/>
    <w:rsid w:val="00F2183D"/>
    <w:rsid w:val="00F2386E"/>
    <w:rsid w:val="00FC31E2"/>
    <w:rsid w:val="00FC41B9"/>
    <w:rsid w:val="00FD04F3"/>
    <w:rsid w:val="00FE1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BEAF"/>
  <w15:chartTrackingRefBased/>
  <w15:docId w15:val="{EE9C1985-3C58-4C65-9576-1836DBFD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528A"/>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4528A"/>
    <w:pPr>
      <w:ind w:firstLine="567"/>
      <w:jc w:val="both"/>
    </w:pPr>
    <w:rPr>
      <w:rFonts w:eastAsia="Andale Sans UI" w:cs="Tahoma"/>
      <w:kern w:val="0"/>
      <w:lang w:eastAsia="en-US" w:bidi="en-US"/>
    </w:rPr>
  </w:style>
  <w:style w:type="character" w:customStyle="1" w:styleId="PagrindinistekstasDiagrama">
    <w:name w:val="Pagrindinis tekstas Diagrama"/>
    <w:basedOn w:val="Numatytasispastraiposriftas"/>
    <w:link w:val="Pagrindinistekstas"/>
    <w:rsid w:val="0074528A"/>
    <w:rPr>
      <w:rFonts w:ascii="Times New Roman" w:eastAsia="Andale Sans UI" w:hAnsi="Times New Roman" w:cs="Tahoma"/>
      <w:sz w:val="24"/>
      <w:szCs w:val="24"/>
      <w:lang w:val="lt-LT" w:bidi="en-US"/>
    </w:rPr>
  </w:style>
  <w:style w:type="paragraph" w:styleId="Antrats">
    <w:name w:val="header"/>
    <w:basedOn w:val="prastasis"/>
    <w:link w:val="AntratsDiagrama"/>
    <w:uiPriority w:val="99"/>
    <w:unhideWhenUsed/>
    <w:rsid w:val="0074528A"/>
    <w:pPr>
      <w:tabs>
        <w:tab w:val="center" w:pos="4819"/>
        <w:tab w:val="right" w:pos="9638"/>
      </w:tabs>
    </w:pPr>
  </w:style>
  <w:style w:type="character" w:customStyle="1" w:styleId="AntratsDiagrama">
    <w:name w:val="Antraštės Diagrama"/>
    <w:basedOn w:val="Numatytasispastraiposriftas"/>
    <w:link w:val="Antrats"/>
    <w:uiPriority w:val="99"/>
    <w:rsid w:val="0074528A"/>
    <w:rPr>
      <w:rFonts w:ascii="Times New Roman" w:eastAsia="Lucida Sans Unicode" w:hAnsi="Times New Roman" w:cs="Times New Roman"/>
      <w:kern w:val="1"/>
      <w:sz w:val="24"/>
      <w:szCs w:val="24"/>
      <w:lang w:val="lt-LT" w:eastAsia="ar-SA"/>
    </w:rPr>
  </w:style>
  <w:style w:type="paragraph" w:styleId="Betarp">
    <w:name w:val="No Spacing"/>
    <w:uiPriority w:val="1"/>
    <w:qFormat/>
    <w:rsid w:val="0074528A"/>
    <w:pPr>
      <w:spacing w:after="0" w:line="240" w:lineRule="auto"/>
    </w:pPr>
  </w:style>
  <w:style w:type="character" w:styleId="Puslapioinaosnuoroda">
    <w:name w:val="footnote reference"/>
    <w:uiPriority w:val="99"/>
    <w:semiHidden/>
    <w:unhideWhenUsed/>
    <w:rsid w:val="0074528A"/>
    <w:rPr>
      <w:vertAlign w:val="superscript"/>
    </w:rPr>
  </w:style>
  <w:style w:type="paragraph" w:styleId="Puslapioinaostekstas">
    <w:name w:val="footnote text"/>
    <w:basedOn w:val="prastasis"/>
    <w:link w:val="PuslapioinaostekstasDiagrama"/>
    <w:uiPriority w:val="99"/>
    <w:unhideWhenUsed/>
    <w:rsid w:val="0074528A"/>
    <w:pPr>
      <w:widowControl/>
      <w:suppressAutoHyphens w:val="0"/>
    </w:pPr>
    <w:rPr>
      <w:rFonts w:eastAsia="Times New Roman"/>
      <w:kern w:val="0"/>
      <w:sz w:val="20"/>
      <w:szCs w:val="20"/>
      <w:lang w:val="en-AU" w:eastAsia="lt-LT"/>
    </w:rPr>
  </w:style>
  <w:style w:type="character" w:customStyle="1" w:styleId="PuslapioinaostekstasDiagrama">
    <w:name w:val="Puslapio išnašos tekstas Diagrama"/>
    <w:basedOn w:val="Numatytasispastraiposriftas"/>
    <w:link w:val="Puslapioinaostekstas"/>
    <w:uiPriority w:val="99"/>
    <w:rsid w:val="0074528A"/>
    <w:rPr>
      <w:rFonts w:ascii="Times New Roman" w:eastAsia="Times New Roman" w:hAnsi="Times New Roman" w:cs="Times New Roman"/>
      <w:sz w:val="20"/>
      <w:szCs w:val="20"/>
      <w:lang w:val="en-AU" w:eastAsia="lt-LT"/>
    </w:rPr>
  </w:style>
  <w:style w:type="paragraph" w:styleId="Debesliotekstas">
    <w:name w:val="Balloon Text"/>
    <w:basedOn w:val="prastasis"/>
    <w:link w:val="DebesliotekstasDiagrama"/>
    <w:uiPriority w:val="99"/>
    <w:semiHidden/>
    <w:unhideWhenUsed/>
    <w:rsid w:val="005C767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7678"/>
    <w:rPr>
      <w:rFonts w:ascii="Segoe UI" w:eastAsia="Lucida Sans Unicode" w:hAnsi="Segoe UI" w:cs="Segoe UI"/>
      <w:kern w:val="1"/>
      <w:sz w:val="18"/>
      <w:szCs w:val="18"/>
      <w:lang w:val="lt-LT" w:eastAsia="ar-SA"/>
    </w:rPr>
  </w:style>
  <w:style w:type="paragraph" w:styleId="Sraopastraipa">
    <w:name w:val="List Paragraph"/>
    <w:basedOn w:val="prastasis"/>
    <w:uiPriority w:val="34"/>
    <w:qFormat/>
    <w:rsid w:val="00DD3E2F"/>
    <w:pPr>
      <w:widowControl/>
      <w:ind w:left="720"/>
      <w:contextualSpacing/>
    </w:pPr>
    <w:rPr>
      <w:rFonts w:eastAsia="Times New Roman"/>
      <w:kern w:val="0"/>
    </w:rPr>
  </w:style>
  <w:style w:type="character" w:styleId="Komentaronuoroda">
    <w:name w:val="annotation reference"/>
    <w:basedOn w:val="Numatytasispastraiposriftas"/>
    <w:uiPriority w:val="99"/>
    <w:semiHidden/>
    <w:unhideWhenUsed/>
    <w:rsid w:val="002033D6"/>
    <w:rPr>
      <w:sz w:val="16"/>
      <w:szCs w:val="16"/>
    </w:rPr>
  </w:style>
  <w:style w:type="paragraph" w:styleId="Komentarotekstas">
    <w:name w:val="annotation text"/>
    <w:basedOn w:val="prastasis"/>
    <w:link w:val="KomentarotekstasDiagrama"/>
    <w:uiPriority w:val="99"/>
    <w:semiHidden/>
    <w:unhideWhenUsed/>
    <w:rsid w:val="002033D6"/>
    <w:rPr>
      <w:sz w:val="20"/>
      <w:szCs w:val="20"/>
    </w:rPr>
  </w:style>
  <w:style w:type="character" w:customStyle="1" w:styleId="KomentarotekstasDiagrama">
    <w:name w:val="Komentaro tekstas Diagrama"/>
    <w:basedOn w:val="Numatytasispastraiposriftas"/>
    <w:link w:val="Komentarotekstas"/>
    <w:uiPriority w:val="99"/>
    <w:semiHidden/>
    <w:rsid w:val="002033D6"/>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2033D6"/>
    <w:rPr>
      <w:b/>
      <w:bCs/>
    </w:rPr>
  </w:style>
  <w:style w:type="character" w:customStyle="1" w:styleId="KomentarotemaDiagrama">
    <w:name w:val="Komentaro tema Diagrama"/>
    <w:basedOn w:val="KomentarotekstasDiagrama"/>
    <w:link w:val="Komentarotema"/>
    <w:uiPriority w:val="99"/>
    <w:semiHidden/>
    <w:rsid w:val="002033D6"/>
    <w:rPr>
      <w:rFonts w:ascii="Times New Roman" w:eastAsia="Lucida Sans Unicode" w:hAnsi="Times New Roman" w:cs="Times New Roman"/>
      <w:b/>
      <w:bCs/>
      <w:kern w:val="1"/>
      <w:sz w:val="20"/>
      <w:szCs w:val="20"/>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034CF-15D7-4A30-A725-3A4B603A2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4083</Words>
  <Characters>23275</Characters>
  <Application>Microsoft Office Word</Application>
  <DocSecurity>0</DocSecurity>
  <Lines>193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2020-06-04T13:10:00Z</dcterms:created>
  <dc:creator>Monika Žilinskaitė-Veželienė</dc:creator>
  <cp:lastModifiedBy>Monika Žilinskaitė-Veželienė</cp:lastModifiedBy>
  <dcterms:modified xsi:type="dcterms:W3CDTF">2020-06-09T06:22:00Z</dcterms:modified>
  <cp:revision>5</cp:revision>
</cp:coreProperties>
</file>