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35" w:rsidRPr="007500EA" w:rsidRDefault="00C76A35" w:rsidP="00C76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7500EA">
        <w:rPr>
          <w:rFonts w:ascii="Times New Roman" w:hAnsi="Times New Roman" w:cs="Times New Roman"/>
          <w:b/>
          <w:sz w:val="24"/>
          <w:szCs w:val="24"/>
        </w:rPr>
        <w:t xml:space="preserve">LIETUVOS RESPUBLIKOS ĮSTATYMO „DĖL UŽSIENIEČIŲ TEISINĖS PADĖTIES“ NR. IX-2206 PAKEITIMO ĮSTATYMO, LIETUVOS RESPUBLIKOS ADMINISTRACINIŲ NUSIŽENGIMŲ KODEKSO 542 STRAIPSNIO PAKEITIMO ĮSTATYMO, LIETUVOS RESPUBLIKOS </w:t>
      </w:r>
      <w:r w:rsidRPr="007500EA">
        <w:rPr>
          <w:rFonts w:ascii="Times New Roman" w:hAnsi="Times New Roman" w:cs="Times New Roman"/>
          <w:b/>
          <w:caps/>
          <w:sz w:val="24"/>
          <w:szCs w:val="24"/>
        </w:rPr>
        <w:t xml:space="preserve">CIVILINĖS BŪKLĖS AKTŲ REGISTRAVIMO ĮSTATYMo </w:t>
      </w:r>
      <w:r w:rsidRPr="007500EA">
        <w:rPr>
          <w:rFonts w:ascii="Times New Roman" w:hAnsi="Times New Roman" w:cs="Times New Roman"/>
          <w:b/>
          <w:bCs/>
          <w:sz w:val="24"/>
          <w:szCs w:val="24"/>
        </w:rPr>
        <w:t xml:space="preserve">NR. </w:t>
      </w:r>
      <w:r w:rsidRPr="007500EA">
        <w:rPr>
          <w:rFonts w:ascii="Times New Roman" w:hAnsi="Times New Roman" w:cs="Times New Roman"/>
          <w:b/>
          <w:sz w:val="24"/>
          <w:szCs w:val="24"/>
        </w:rPr>
        <w:t>XII-2111 15</w:t>
      </w:r>
      <w:r w:rsidRPr="007500EA">
        <w:rPr>
          <w:rFonts w:ascii="Times New Roman" w:hAnsi="Times New Roman" w:cs="Times New Roman"/>
          <w:sz w:val="24"/>
          <w:szCs w:val="24"/>
        </w:rPr>
        <w:t xml:space="preserve"> </w:t>
      </w:r>
      <w:r w:rsidRPr="007500EA">
        <w:rPr>
          <w:rFonts w:ascii="Times New Roman" w:hAnsi="Times New Roman" w:cs="Times New Roman"/>
          <w:b/>
          <w:sz w:val="24"/>
          <w:szCs w:val="24"/>
        </w:rPr>
        <w:t>STRAIPSNIO PAKEITIMO ĮSTATYMO, LIETUVOS RESPUBLIKOS UŽIMTUMO ĮSTATYMO NR. XII-2470 1, 56, 57, 58 STRAIPSNIŲ PAKEITIMO IR ĮSTATYMO PAPILDYMO 30</w:t>
      </w:r>
      <w:r w:rsidRPr="007500EA">
        <w:rPr>
          <w:rFonts w:ascii="Times New Roman" w:hAnsi="Times New Roman" w:cs="Times New Roman"/>
          <w:b/>
          <w:sz w:val="24"/>
          <w:szCs w:val="24"/>
          <w:vertAlign w:val="superscript"/>
        </w:rPr>
        <w:t>1</w:t>
      </w:r>
      <w:r w:rsidRPr="007500EA">
        <w:rPr>
          <w:rFonts w:ascii="Times New Roman" w:hAnsi="Times New Roman" w:cs="Times New Roman"/>
          <w:b/>
          <w:sz w:val="24"/>
          <w:szCs w:val="24"/>
        </w:rPr>
        <w:t xml:space="preserve"> STRAIPSNIU ĮSTATYMO, LIETUVOS RESPUBLIKOS IŠMOKŲ VAIKAMS ĮSTATYMO </w:t>
      </w:r>
      <w:bookmarkStart w:id="0" w:name="dok_nr"/>
      <w:bookmarkEnd w:id="0"/>
      <w:r w:rsidRPr="007500EA">
        <w:rPr>
          <w:rFonts w:ascii="Times New Roman" w:hAnsi="Times New Roman" w:cs="Times New Roman"/>
          <w:b/>
          <w:sz w:val="24"/>
          <w:szCs w:val="24"/>
        </w:rPr>
        <w:t>NR. I-621 1, 2, 5, 6, 7, 9 IR 10 STRAIPSNIŲ PAKEITIMO ĮSTATYMO, LIETUVOS RESPUBLIKOS NEĮGALIŲJŲ SOCIALINĖS INTEGRACIJOS ĮSTATYMO NR. I-2044 1 STRAIPSNIO PAKEITIMO ĮSTATYMO, LIETUVOS RESPUBLIKOS PARAMOS MIRTIES ATVEJU ĮSTATYMO NR. I-348 5 STRAIPSNIO PAKEITIMO ĮSTATYMO, LIETUVOS RESPUBLIKOS PINIGINĖS SOCIALINĖS PARAMOS NEPASITURINTIEMS GYVENTOJAMS ĮSTATYMO NR. IX-1675 1 IR 2 STRAIPSNIŲ PAKEITIMO ĮSTATYMO, LIETUVOS RESPUBLIKOS ŠALPOS PENSIJŲ ĮSTATYMO NR. I-675 1 STRAIPSNIO PAKEITIMO ĮSTATYMO IR LIETUVOS RESPUBLIKOS TIKSLINIŲ KOMPENSACIJŲ ĮSTATYMO NR. XII-2507 1 STRAIPSNIO PAKEITIMO ĮSTATYMO PROJEKT</w:t>
      </w:r>
      <w:r w:rsidR="00964D10" w:rsidRPr="007500EA">
        <w:rPr>
          <w:rFonts w:ascii="Times New Roman" w:hAnsi="Times New Roman" w:cs="Times New Roman"/>
          <w:b/>
          <w:sz w:val="24"/>
          <w:szCs w:val="24"/>
        </w:rPr>
        <w:t>Ų</w:t>
      </w:r>
    </w:p>
    <w:p w:rsidR="00C76A35" w:rsidRPr="007500EA" w:rsidRDefault="00C76A35" w:rsidP="00C76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7500EA">
        <w:rPr>
          <w:rFonts w:ascii="Times New Roman" w:hAnsi="Times New Roman" w:cs="Times New Roman"/>
          <w:b/>
          <w:sz w:val="24"/>
          <w:szCs w:val="24"/>
        </w:rPr>
        <w:t>DERINIMO PAŽYMA</w:t>
      </w:r>
    </w:p>
    <w:p w:rsidR="00617B9E" w:rsidRPr="007500EA" w:rsidRDefault="00617B9E" w:rsidP="001324CC">
      <w:pPr>
        <w:spacing w:after="0" w:line="240" w:lineRule="auto"/>
        <w:jc w:val="center"/>
        <w:rPr>
          <w:rFonts w:ascii="Times New Roman" w:hAnsi="Times New Roman" w:cs="Times New Roman"/>
          <w:b/>
          <w:sz w:val="24"/>
          <w:szCs w:val="24"/>
        </w:rPr>
      </w:pPr>
    </w:p>
    <w:p w:rsidR="001324CC" w:rsidRPr="007500EA" w:rsidRDefault="001324CC" w:rsidP="003447EE">
      <w:pPr>
        <w:spacing w:after="0" w:line="240" w:lineRule="auto"/>
        <w:rPr>
          <w:rFonts w:ascii="Times New Roman" w:hAnsi="Times New Roman" w:cs="Times New Roman"/>
          <w:b/>
          <w:sz w:val="24"/>
          <w:szCs w:val="24"/>
        </w:rPr>
      </w:pPr>
    </w:p>
    <w:tbl>
      <w:tblPr>
        <w:tblStyle w:val="Lentelstinklelis"/>
        <w:tblW w:w="14738" w:type="dxa"/>
        <w:tblLayout w:type="fixed"/>
        <w:tblLook w:val="04A0" w:firstRow="1" w:lastRow="0" w:firstColumn="1" w:lastColumn="0" w:noHBand="0" w:noVBand="1"/>
      </w:tblPr>
      <w:tblGrid>
        <w:gridCol w:w="1980"/>
        <w:gridCol w:w="6237"/>
        <w:gridCol w:w="6521"/>
      </w:tblGrid>
      <w:tr w:rsidR="00CA4BFF" w:rsidRPr="007500EA" w:rsidTr="00B44E4D">
        <w:tc>
          <w:tcPr>
            <w:tcW w:w="1980" w:type="dxa"/>
          </w:tcPr>
          <w:p w:rsidR="00CA4BFF" w:rsidRPr="007500EA" w:rsidRDefault="00F36955" w:rsidP="00AB06C5">
            <w:pPr>
              <w:jc w:val="center"/>
              <w:rPr>
                <w:rFonts w:ascii="Times New Roman" w:hAnsi="Times New Roman" w:cs="Times New Roman"/>
                <w:b/>
                <w:sz w:val="24"/>
                <w:szCs w:val="24"/>
              </w:rPr>
            </w:pPr>
            <w:r w:rsidRPr="007500EA">
              <w:rPr>
                <w:rFonts w:ascii="Times New Roman" w:hAnsi="Times New Roman" w:cs="Times New Roman"/>
                <w:b/>
                <w:sz w:val="24"/>
                <w:szCs w:val="24"/>
              </w:rPr>
              <w:t>Institucija</w:t>
            </w:r>
          </w:p>
        </w:tc>
        <w:tc>
          <w:tcPr>
            <w:tcW w:w="6237" w:type="dxa"/>
          </w:tcPr>
          <w:p w:rsidR="00CA4BFF" w:rsidRPr="007500EA" w:rsidRDefault="00F36955" w:rsidP="00AB06C5">
            <w:pPr>
              <w:jc w:val="center"/>
              <w:rPr>
                <w:rFonts w:ascii="Times New Roman" w:hAnsi="Times New Roman" w:cs="Times New Roman"/>
                <w:b/>
                <w:sz w:val="24"/>
                <w:szCs w:val="24"/>
              </w:rPr>
            </w:pPr>
            <w:r w:rsidRPr="007500EA">
              <w:rPr>
                <w:rFonts w:ascii="Times New Roman" w:hAnsi="Times New Roman" w:cs="Times New Roman"/>
                <w:b/>
                <w:sz w:val="24"/>
                <w:szCs w:val="24"/>
              </w:rPr>
              <w:t>Pastabos ir pasiūlymai</w:t>
            </w:r>
          </w:p>
        </w:tc>
        <w:tc>
          <w:tcPr>
            <w:tcW w:w="6521" w:type="dxa"/>
          </w:tcPr>
          <w:p w:rsidR="00CA4BFF" w:rsidRPr="007500EA" w:rsidRDefault="00F36955" w:rsidP="00AB06C5">
            <w:pPr>
              <w:jc w:val="center"/>
              <w:rPr>
                <w:rFonts w:ascii="Times New Roman" w:hAnsi="Times New Roman" w:cs="Times New Roman"/>
                <w:b/>
                <w:sz w:val="24"/>
                <w:szCs w:val="24"/>
              </w:rPr>
            </w:pPr>
            <w:r w:rsidRPr="007500EA">
              <w:rPr>
                <w:rFonts w:ascii="Times New Roman" w:hAnsi="Times New Roman" w:cs="Times New Roman"/>
                <w:b/>
                <w:sz w:val="24"/>
                <w:szCs w:val="24"/>
              </w:rPr>
              <w:t>Įvertinimas</w:t>
            </w:r>
          </w:p>
        </w:tc>
      </w:tr>
      <w:tr w:rsidR="00452140" w:rsidRPr="007500EA" w:rsidTr="000B374E">
        <w:tc>
          <w:tcPr>
            <w:tcW w:w="1980" w:type="dxa"/>
            <w:vMerge w:val="restart"/>
          </w:tcPr>
          <w:p w:rsidR="00452140" w:rsidRPr="007500EA" w:rsidRDefault="00452140" w:rsidP="00C76A35">
            <w:pPr>
              <w:rPr>
                <w:rFonts w:ascii="Times New Roman" w:hAnsi="Times New Roman" w:cs="Times New Roman"/>
                <w:sz w:val="24"/>
                <w:szCs w:val="24"/>
              </w:rPr>
            </w:pPr>
            <w:r w:rsidRPr="007500EA">
              <w:rPr>
                <w:rFonts w:ascii="Times New Roman" w:hAnsi="Times New Roman" w:cs="Times New Roman"/>
                <w:sz w:val="24"/>
                <w:szCs w:val="24"/>
              </w:rPr>
              <w:t>Lietuvos Respublikos Vyriausybės kanceliarijos 2019 m. kovo 24 d. išvada Nr. NV-833</w:t>
            </w:r>
          </w:p>
        </w:tc>
        <w:tc>
          <w:tcPr>
            <w:tcW w:w="6237" w:type="dxa"/>
          </w:tcPr>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r w:rsidRPr="007500EA">
              <w:rPr>
                <w:rFonts w:ascii="Times New Roman" w:hAnsi="Times New Roman" w:cs="Times New Roman"/>
                <w:color w:val="000000"/>
                <w:sz w:val="24"/>
                <w:szCs w:val="24"/>
              </w:rPr>
              <w:t>3. Siūlome tikslinti Projekto 18 straipsnį, kuriuo UTPĮ papildomas 57</w:t>
            </w:r>
            <w:r w:rsidRPr="007500EA">
              <w:rPr>
                <w:rFonts w:ascii="Times New Roman" w:hAnsi="Times New Roman" w:cs="Times New Roman"/>
                <w:color w:val="000000"/>
                <w:sz w:val="24"/>
                <w:szCs w:val="24"/>
                <w:vertAlign w:val="superscript"/>
              </w:rPr>
              <w:t>1</w:t>
            </w:r>
            <w:r w:rsidRPr="007500EA">
              <w:rPr>
                <w:rFonts w:ascii="Times New Roman" w:hAnsi="Times New Roman" w:cs="Times New Roman"/>
                <w:color w:val="000000"/>
                <w:sz w:val="24"/>
                <w:szCs w:val="24"/>
              </w:rPr>
              <w:t xml:space="preserve"> straipsniu, pakeičiant 57</w:t>
            </w:r>
            <w:r w:rsidRPr="007500EA">
              <w:rPr>
                <w:rFonts w:ascii="Times New Roman" w:hAnsi="Times New Roman" w:cs="Times New Roman"/>
                <w:color w:val="000000"/>
                <w:sz w:val="24"/>
                <w:szCs w:val="24"/>
                <w:vertAlign w:val="superscript"/>
              </w:rPr>
              <w:t>1</w:t>
            </w:r>
            <w:r w:rsidRPr="007500EA">
              <w:rPr>
                <w:rFonts w:ascii="Times New Roman" w:hAnsi="Times New Roman" w:cs="Times New Roman"/>
                <w:color w:val="000000"/>
                <w:sz w:val="24"/>
                <w:szCs w:val="24"/>
              </w:rPr>
              <w:t xml:space="preserve"> straipsnio 4 dalyje vartojamą išsireiškimą „Migracijos departamentas </w:t>
            </w:r>
            <w:r w:rsidRPr="007500EA">
              <w:rPr>
                <w:rFonts w:ascii="Times New Roman" w:hAnsi="Times New Roman" w:cs="Times New Roman"/>
                <w:i/>
                <w:iCs/>
                <w:color w:val="000000"/>
                <w:sz w:val="24"/>
                <w:szCs w:val="24"/>
              </w:rPr>
              <w:t>skaičiuoja kvotą</w:t>
            </w:r>
            <w:r w:rsidRPr="007500EA">
              <w:rPr>
                <w:rFonts w:ascii="Times New Roman" w:hAnsi="Times New Roman" w:cs="Times New Roman"/>
                <w:color w:val="000000"/>
                <w:sz w:val="24"/>
                <w:szCs w:val="24"/>
              </w:rPr>
              <w:t>“, nes kvota bus nustatyta ir jos niekas jau nebeskaičiuos, taip pat redaguojant 5 dalyje vartojamą išsireiškimą „išnaudoję kvotą &lt;...&gt; užsieniečiai“, nes akivaizdu, kad leidimą dirbti turės įsigyti kiti užsieniečiai, o ne tie, kurie išnaudojo kvotą.</w:t>
            </w:r>
          </w:p>
        </w:tc>
        <w:tc>
          <w:tcPr>
            <w:tcW w:w="6521" w:type="dxa"/>
          </w:tcPr>
          <w:p w:rsidR="00452140" w:rsidRPr="007500EA" w:rsidRDefault="00452140" w:rsidP="00AB06C5">
            <w:pPr>
              <w:ind w:firstLine="34"/>
              <w:jc w:val="both"/>
              <w:rPr>
                <w:rFonts w:ascii="Times New Roman" w:hAnsi="Times New Roman" w:cs="Times New Roman"/>
                <w:b/>
                <w:sz w:val="24"/>
                <w:szCs w:val="24"/>
              </w:rPr>
            </w:pPr>
            <w:bookmarkStart w:id="1" w:name="_GoBack"/>
            <w:bookmarkEnd w:id="1"/>
            <w:r w:rsidRPr="007500EA">
              <w:rPr>
                <w:rFonts w:ascii="Times New Roman" w:hAnsi="Times New Roman" w:cs="Times New Roman"/>
                <w:b/>
                <w:sz w:val="24"/>
                <w:szCs w:val="24"/>
              </w:rPr>
              <w:t xml:space="preserve">Atsižvelgta iš dalies. </w:t>
            </w:r>
            <w:r w:rsidR="00660346" w:rsidRPr="007500EA">
              <w:rPr>
                <w:rFonts w:ascii="Times New Roman" w:hAnsi="Times New Roman" w:cs="Times New Roman"/>
                <w:bCs/>
                <w:color w:val="000000"/>
                <w:sz w:val="24"/>
                <w:szCs w:val="24"/>
              </w:rPr>
              <w:t xml:space="preserve">Lietuvos Respublikos įstatymo „Dėl užsieniečių teisinės padėties“ Nr. IX-2206 </w:t>
            </w:r>
            <w:r w:rsidR="00660346" w:rsidRPr="007500EA">
              <w:rPr>
                <w:rFonts w:ascii="Times New Roman" w:hAnsi="Times New Roman" w:cs="Times New Roman"/>
                <w:sz w:val="24"/>
                <w:szCs w:val="24"/>
              </w:rPr>
              <w:t xml:space="preserve">pakeitimo įstatymo projekte (toliau – UTPĮ projektas) dėstomo </w:t>
            </w:r>
            <w:r w:rsidR="00660346" w:rsidRPr="007500EA">
              <w:rPr>
                <w:rFonts w:ascii="Times New Roman" w:hAnsi="Times New Roman" w:cs="Times New Roman"/>
                <w:color w:val="000000"/>
                <w:sz w:val="24"/>
                <w:szCs w:val="24"/>
              </w:rPr>
              <w:t>57</w:t>
            </w:r>
            <w:r w:rsidR="00660346" w:rsidRPr="007500EA">
              <w:rPr>
                <w:rFonts w:ascii="Times New Roman" w:hAnsi="Times New Roman" w:cs="Times New Roman"/>
                <w:color w:val="000000"/>
                <w:sz w:val="24"/>
                <w:szCs w:val="24"/>
                <w:vertAlign w:val="superscript"/>
              </w:rPr>
              <w:t>1</w:t>
            </w:r>
            <w:r w:rsidR="00660346" w:rsidRPr="007500EA">
              <w:rPr>
                <w:rFonts w:ascii="Times New Roman" w:hAnsi="Times New Roman" w:cs="Times New Roman"/>
                <w:color w:val="000000"/>
                <w:sz w:val="24"/>
                <w:szCs w:val="24"/>
              </w:rPr>
              <w:t xml:space="preserve"> straipsnio 4 dalis bus patikslinta nustatant, kad</w:t>
            </w:r>
            <w:r w:rsidR="00660346" w:rsidRPr="007500EA">
              <w:rPr>
                <w:rFonts w:ascii="Times New Roman" w:hAnsi="Times New Roman" w:cs="Times New Roman"/>
                <w:b/>
                <w:sz w:val="24"/>
                <w:szCs w:val="24"/>
              </w:rPr>
              <w:t xml:space="preserve"> </w:t>
            </w:r>
            <w:r w:rsidRPr="007500EA">
              <w:rPr>
                <w:rFonts w:ascii="Times New Roman" w:hAnsi="Times New Roman"/>
                <w:sz w:val="24"/>
                <w:szCs w:val="24"/>
                <w:lang w:eastAsia="lt-LT"/>
              </w:rPr>
              <w:t>Migracijos departamentas skaičiuoja kvot</w:t>
            </w:r>
            <w:r w:rsidR="00660346" w:rsidRPr="007500EA">
              <w:rPr>
                <w:rFonts w:ascii="Times New Roman" w:hAnsi="Times New Roman"/>
                <w:sz w:val="24"/>
                <w:szCs w:val="24"/>
                <w:lang w:eastAsia="lt-LT"/>
              </w:rPr>
              <w:t>os išnaudojimą</w:t>
            </w:r>
            <w:r w:rsidRPr="007500EA">
              <w:rPr>
                <w:rFonts w:ascii="Times New Roman" w:hAnsi="Times New Roman"/>
                <w:sz w:val="24"/>
                <w:szCs w:val="24"/>
                <w:lang w:eastAsia="lt-LT"/>
              </w:rPr>
              <w:t xml:space="preserve"> ir apie išnaudotą kvotą skelbia viešai.</w:t>
            </w:r>
            <w:r w:rsidR="00660346" w:rsidRPr="007500EA">
              <w:rPr>
                <w:rFonts w:ascii="Times New Roman" w:hAnsi="Times New Roman"/>
                <w:sz w:val="24"/>
                <w:szCs w:val="24"/>
                <w:lang w:eastAsia="lt-LT"/>
              </w:rPr>
              <w:t xml:space="preserve"> </w:t>
            </w:r>
            <w:r w:rsidR="00660346" w:rsidRPr="007500EA">
              <w:rPr>
                <w:rFonts w:ascii="Times New Roman" w:hAnsi="Times New Roman" w:cs="Times New Roman"/>
                <w:sz w:val="24"/>
                <w:szCs w:val="24"/>
              </w:rPr>
              <w:t xml:space="preserve">UTPĮ projekte dėstomo </w:t>
            </w:r>
            <w:r w:rsidR="00660346" w:rsidRPr="007500EA">
              <w:rPr>
                <w:rFonts w:ascii="Times New Roman" w:hAnsi="Times New Roman" w:cs="Times New Roman"/>
                <w:color w:val="000000"/>
                <w:sz w:val="24"/>
                <w:szCs w:val="24"/>
              </w:rPr>
              <w:t>57</w:t>
            </w:r>
            <w:r w:rsidR="00660346" w:rsidRPr="007500EA">
              <w:rPr>
                <w:rFonts w:ascii="Times New Roman" w:hAnsi="Times New Roman" w:cs="Times New Roman"/>
                <w:color w:val="000000"/>
                <w:sz w:val="24"/>
                <w:szCs w:val="24"/>
                <w:vertAlign w:val="superscript"/>
              </w:rPr>
              <w:t>1</w:t>
            </w:r>
            <w:r w:rsidR="00660346" w:rsidRPr="007500EA">
              <w:rPr>
                <w:rFonts w:ascii="Times New Roman" w:hAnsi="Times New Roman" w:cs="Times New Roman"/>
                <w:color w:val="000000"/>
                <w:sz w:val="24"/>
                <w:szCs w:val="24"/>
              </w:rPr>
              <w:t xml:space="preserve"> straipsnio 5 dalis bus patikslinta nustatant, kad</w:t>
            </w:r>
            <w:r w:rsidR="007500EA">
              <w:rPr>
                <w:rFonts w:ascii="Times New Roman" w:hAnsi="Times New Roman" w:cs="Times New Roman"/>
                <w:color w:val="000000"/>
                <w:sz w:val="24"/>
                <w:szCs w:val="24"/>
              </w:rPr>
              <w:t>,</w:t>
            </w:r>
            <w:r w:rsidR="00660346" w:rsidRPr="007500EA">
              <w:rPr>
                <w:rFonts w:ascii="Times New Roman" w:hAnsi="Times New Roman" w:cs="Times New Roman"/>
                <w:color w:val="000000"/>
                <w:sz w:val="24"/>
                <w:szCs w:val="24"/>
              </w:rPr>
              <w:t xml:space="preserve"> i</w:t>
            </w:r>
            <w:r w:rsidR="00660346" w:rsidRPr="007500EA">
              <w:rPr>
                <w:rFonts w:ascii="Times New Roman" w:hAnsi="Times New Roman"/>
                <w:sz w:val="24"/>
                <w:szCs w:val="24"/>
                <w:lang w:eastAsia="lt-LT"/>
              </w:rPr>
              <w:t>šnaudojus kvotą</w:t>
            </w:r>
            <w:r w:rsidR="007500EA">
              <w:rPr>
                <w:rFonts w:ascii="Times New Roman" w:hAnsi="Times New Roman"/>
                <w:sz w:val="24"/>
                <w:szCs w:val="24"/>
                <w:lang w:eastAsia="lt-LT"/>
              </w:rPr>
              <w:t>,</w:t>
            </w:r>
            <w:r w:rsidR="00660346" w:rsidRPr="007500EA">
              <w:rPr>
                <w:rFonts w:ascii="Times New Roman" w:hAnsi="Times New Roman"/>
                <w:sz w:val="24"/>
                <w:szCs w:val="24"/>
                <w:lang w:eastAsia="lt-LT"/>
              </w:rPr>
              <w:t xml:space="preserve"> šio straipsnio 1 dalyje nurodyti užsieniečiai, kurie ketina dirbti Lietuvos Respublikoje, privalo įsigyti leidimą dirbti.</w:t>
            </w:r>
          </w:p>
        </w:tc>
      </w:tr>
      <w:tr w:rsidR="00452140" w:rsidRPr="007500EA" w:rsidTr="000B374E">
        <w:tc>
          <w:tcPr>
            <w:tcW w:w="1980" w:type="dxa"/>
            <w:vMerge/>
          </w:tcPr>
          <w:p w:rsidR="00452140" w:rsidRPr="007500EA" w:rsidRDefault="00452140" w:rsidP="00C76A35">
            <w:pPr>
              <w:rPr>
                <w:rFonts w:ascii="Times New Roman" w:hAnsi="Times New Roman" w:cs="Times New Roman"/>
                <w:sz w:val="24"/>
                <w:szCs w:val="24"/>
              </w:rPr>
            </w:pPr>
          </w:p>
        </w:tc>
        <w:tc>
          <w:tcPr>
            <w:tcW w:w="6237" w:type="dxa"/>
          </w:tcPr>
          <w:p w:rsidR="00452140" w:rsidRPr="007500EA" w:rsidRDefault="00452140" w:rsidP="0039410D">
            <w:pPr>
              <w:ind w:firstLine="459"/>
              <w:jc w:val="both"/>
              <w:rPr>
                <w:rFonts w:ascii="Times New Roman" w:hAnsi="Times New Roman"/>
                <w:sz w:val="24"/>
                <w:szCs w:val="24"/>
              </w:rPr>
            </w:pPr>
            <w:r w:rsidRPr="007500EA">
              <w:rPr>
                <w:rFonts w:ascii="Times New Roman" w:eastAsia="Times New Roman" w:hAnsi="Times New Roman" w:cs="Times New Roman"/>
                <w:color w:val="000000"/>
                <w:sz w:val="24"/>
                <w:szCs w:val="24"/>
                <w:lang w:eastAsia="lt-LT"/>
              </w:rPr>
              <w:t xml:space="preserve">1. Projekto 5 straipsnio 4 dalimi keičiamo UTPĮ 35 straipsnio 1 dalies 18 punkte numatyta, kad pakeisti leidimą gyventi užsieniečiui atsisakoma, jeigu jis surinkęs mažiau kaip 40 studijų kreditų per paskutiniuosius vienerius studijų metus. 2016 m. gegužės 11 d. Europos Parlamento ir Tarybos direktyvos (ES) 2016/801 dėl trečiųjų šalių piliečių atvykimo ir gyvenimo mokslinių tyrimų, studijų, stažavimosi, savanoriškos tarnybos, mokinių mainų programų arba edukacinių projektų ir dalyvavimo </w:t>
            </w:r>
            <w:r w:rsidRPr="007500EA">
              <w:rPr>
                <w:rFonts w:ascii="Times New Roman" w:eastAsia="Times New Roman" w:hAnsi="Times New Roman" w:cs="Times New Roman"/>
                <w:i/>
                <w:iCs/>
                <w:color w:val="000000"/>
                <w:sz w:val="24"/>
                <w:szCs w:val="24"/>
                <w:lang w:eastAsia="lt-LT"/>
              </w:rPr>
              <w:t>Au pair</w:t>
            </w:r>
            <w:r w:rsidRPr="007500EA">
              <w:rPr>
                <w:rFonts w:ascii="Times New Roman" w:eastAsia="Times New Roman" w:hAnsi="Times New Roman" w:cs="Times New Roman"/>
                <w:color w:val="000000"/>
                <w:sz w:val="24"/>
                <w:szCs w:val="24"/>
                <w:lang w:eastAsia="lt-LT"/>
              </w:rPr>
              <w:t xml:space="preserve"> programoje tikslais sąlygų 21 straipsnio 2 dalies f punkte numatyta, kad v</w:t>
            </w:r>
            <w:r w:rsidRPr="007500EA">
              <w:rPr>
                <w:rFonts w:ascii="Times New Roman" w:eastAsia="Times New Roman" w:hAnsi="Times New Roman" w:cs="Times New Roman"/>
                <w:color w:val="000000"/>
                <w:sz w:val="24"/>
                <w:szCs w:val="24"/>
                <w:shd w:val="clear" w:color="auto" w:fill="FFFFFF"/>
                <w:lang w:eastAsia="lt-LT"/>
              </w:rPr>
              <w:t xml:space="preserve">alstybės narės gali panaikinti arba, kai taikoma, atsisakyti pratęsti leidimą, kai studento </w:t>
            </w:r>
            <w:r w:rsidRPr="007500EA">
              <w:rPr>
                <w:rFonts w:ascii="Times New Roman" w:eastAsia="Times New Roman" w:hAnsi="Times New Roman" w:cs="Times New Roman"/>
                <w:color w:val="000000"/>
                <w:sz w:val="24"/>
                <w:szCs w:val="24"/>
                <w:shd w:val="clear" w:color="auto" w:fill="FFFFFF"/>
                <w:lang w:eastAsia="lt-LT"/>
              </w:rPr>
              <w:lastRenderedPageBreak/>
              <w:t xml:space="preserve">atitinkamų </w:t>
            </w:r>
            <w:r w:rsidRPr="007500EA">
              <w:rPr>
                <w:rFonts w:ascii="Times New Roman" w:eastAsia="Times New Roman" w:hAnsi="Times New Roman" w:cs="Times New Roman"/>
                <w:i/>
                <w:iCs/>
                <w:color w:val="000000"/>
                <w:sz w:val="24"/>
                <w:szCs w:val="24"/>
                <w:shd w:val="clear" w:color="auto" w:fill="FFFFFF"/>
                <w:lang w:eastAsia="lt-LT"/>
              </w:rPr>
              <w:t>studijų pažanga yra nepakankama pagal nacionalinę teisę ar administracinę praktiką</w:t>
            </w:r>
            <w:r w:rsidRPr="007500EA">
              <w:rPr>
                <w:rFonts w:ascii="Times New Roman" w:eastAsia="Times New Roman" w:hAnsi="Times New Roman" w:cs="Times New Roman"/>
                <w:color w:val="000000"/>
                <w:sz w:val="24"/>
                <w:szCs w:val="24"/>
                <w:shd w:val="clear" w:color="auto" w:fill="FFFFFF"/>
                <w:lang w:eastAsia="lt-LT"/>
              </w:rPr>
              <w:t xml:space="preserve">. Atsižvelgiant į tai, Projekto aiškinamajame rašte būtina paaiškinti, pagal kokius Lietuvos teisės aktus ar administracinę praktiką būtų pateisinamas toks reikalavimas, kurio neįvykdžius studentas netektų teisės būti Lietuvoje ir tęsti mokslus. </w:t>
            </w:r>
          </w:p>
          <w:p w:rsidR="00452140" w:rsidRPr="007500EA" w:rsidRDefault="00452140" w:rsidP="0039410D">
            <w:pPr>
              <w:ind w:firstLine="459"/>
              <w:jc w:val="both"/>
              <w:rPr>
                <w:rFonts w:ascii="Times New Roman" w:eastAsia="Times New Roman" w:hAnsi="Times New Roman" w:cs="Times New Roman"/>
                <w:color w:val="000000"/>
                <w:sz w:val="24"/>
                <w:szCs w:val="24"/>
                <w:shd w:val="clear" w:color="auto" w:fill="FFFFFF"/>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shd w:val="clear" w:color="auto" w:fill="FFFFFF"/>
                <w:lang w:eastAsia="lt-LT"/>
              </w:rPr>
            </w:pPr>
          </w:p>
          <w:p w:rsidR="00452140" w:rsidRDefault="00452140" w:rsidP="0039410D">
            <w:pPr>
              <w:ind w:firstLine="459"/>
              <w:jc w:val="both"/>
              <w:rPr>
                <w:rFonts w:ascii="Times New Roman" w:eastAsia="Times New Roman" w:hAnsi="Times New Roman" w:cs="Times New Roman"/>
                <w:color w:val="000000"/>
                <w:sz w:val="24"/>
                <w:szCs w:val="24"/>
                <w:shd w:val="clear" w:color="auto" w:fill="FFFFFF"/>
                <w:lang w:eastAsia="lt-LT"/>
              </w:rPr>
            </w:pPr>
          </w:p>
          <w:p w:rsidR="007500EA" w:rsidRPr="007500EA" w:rsidRDefault="007500EA" w:rsidP="0039410D">
            <w:pPr>
              <w:ind w:firstLine="459"/>
              <w:jc w:val="both"/>
              <w:rPr>
                <w:rFonts w:ascii="Times New Roman" w:eastAsia="Times New Roman" w:hAnsi="Times New Roman" w:cs="Times New Roman"/>
                <w:color w:val="000000"/>
                <w:sz w:val="24"/>
                <w:szCs w:val="24"/>
                <w:shd w:val="clear" w:color="auto" w:fill="FFFFFF"/>
                <w:lang w:eastAsia="lt-LT"/>
              </w:rPr>
            </w:pPr>
          </w:p>
          <w:p w:rsidR="00452140" w:rsidRPr="007500EA" w:rsidRDefault="00452140" w:rsidP="004A59FA">
            <w:pPr>
              <w:ind w:firstLine="459"/>
              <w:jc w:val="both"/>
              <w:rPr>
                <w:rFonts w:ascii="Times New Roman" w:hAnsi="Times New Roman"/>
                <w:sz w:val="24"/>
                <w:szCs w:val="24"/>
              </w:rPr>
            </w:pPr>
            <w:r w:rsidRPr="007500EA">
              <w:rPr>
                <w:rFonts w:ascii="Times New Roman" w:eastAsia="Times New Roman" w:hAnsi="Times New Roman" w:cs="Times New Roman"/>
                <w:color w:val="000000"/>
                <w:sz w:val="24"/>
                <w:szCs w:val="24"/>
                <w:shd w:val="clear" w:color="auto" w:fill="FFFFFF"/>
                <w:lang w:eastAsia="lt-LT"/>
              </w:rPr>
              <w:t>Be to, atsižvelgiant į Mokslo ir studijų įstatymo 53 straipsnį, pagal kurį n</w:t>
            </w:r>
            <w:r w:rsidRPr="007500EA">
              <w:rPr>
                <w:rFonts w:ascii="Times New Roman" w:eastAsia="Times New Roman" w:hAnsi="Times New Roman" w:cs="Times New Roman"/>
                <w:color w:val="000000"/>
                <w:sz w:val="24"/>
                <w:szCs w:val="24"/>
                <w:lang w:eastAsia="lt-LT"/>
              </w:rPr>
              <w:t>uolatinės formos studijų vienų metų įprastinė apimtis turi būti ne mažiau kaip 45 kreditai arba, pavyzdžiui, visa magistrantūros studijų programos apimtis gali būti tik 60 studijų kreditų (t.</w:t>
            </w:r>
            <w:r w:rsidR="00D96ADE">
              <w:rPr>
                <w:rFonts w:ascii="Times New Roman" w:eastAsia="Times New Roman" w:hAnsi="Times New Roman" w:cs="Times New Roman"/>
                <w:color w:val="000000"/>
                <w:sz w:val="24"/>
                <w:szCs w:val="24"/>
                <w:lang w:eastAsia="lt-LT"/>
              </w:rPr>
              <w:t> </w:t>
            </w:r>
            <w:r w:rsidRPr="007500EA">
              <w:rPr>
                <w:rFonts w:ascii="Times New Roman" w:eastAsia="Times New Roman" w:hAnsi="Times New Roman" w:cs="Times New Roman"/>
                <w:color w:val="000000"/>
                <w:sz w:val="24"/>
                <w:szCs w:val="24"/>
                <w:lang w:eastAsia="lt-LT"/>
              </w:rPr>
              <w:t xml:space="preserve">y. konkrečiam studentui konkrečioje mokslo įstaigoje konkrečiais studijų metais studijuojant konkrečioje programoje gali būti numatytas pakankamai skirtingas studijų kreditų skaičius), siūlome tikslinti Projektą numatant, kad </w:t>
            </w:r>
            <w:r w:rsidRPr="007500EA">
              <w:rPr>
                <w:rFonts w:ascii="Times New Roman" w:eastAsia="Times New Roman" w:hAnsi="Times New Roman" w:cs="Times New Roman"/>
                <w:color w:val="000000"/>
                <w:sz w:val="24"/>
                <w:szCs w:val="24"/>
                <w:shd w:val="clear" w:color="auto" w:fill="FFFFFF"/>
                <w:lang w:eastAsia="lt-LT"/>
              </w:rPr>
              <w:t>studijų pažanga yra nepakankama</w:t>
            </w:r>
            <w:r w:rsidRPr="007500EA">
              <w:rPr>
                <w:rFonts w:ascii="Times New Roman" w:eastAsia="Times New Roman" w:hAnsi="Times New Roman" w:cs="Times New Roman"/>
                <w:color w:val="000000"/>
                <w:sz w:val="24"/>
                <w:szCs w:val="24"/>
                <w:lang w:eastAsia="lt-LT"/>
              </w:rPr>
              <w:t xml:space="preserve"> tuo atveju, kai jis nesurenka tam tikro procento (dalies) jo studijoms tais metais būtinų surinkti studijų kreditų. Ta pati pastaba skirta ir Projekto 13 straipsniui, kuriuo keičiama UTPĮ 46 straipsnio 2 dalis, taip pat Projekto 15 straipsnio 2 ir 6 dalims, kuriomis keičiamas UTPĮ 50 straipsnio 1 dalies 9 punktas ir šis straipsnis papildomas 1</w:t>
            </w:r>
            <w:r w:rsidRPr="007500EA">
              <w:rPr>
                <w:rFonts w:ascii="Times New Roman" w:eastAsia="Times New Roman" w:hAnsi="Times New Roman" w:cs="Times New Roman"/>
                <w:color w:val="000000"/>
                <w:sz w:val="24"/>
                <w:szCs w:val="24"/>
                <w:vertAlign w:val="superscript"/>
                <w:lang w:eastAsia="lt-LT"/>
              </w:rPr>
              <w:t>1</w:t>
            </w:r>
            <w:r w:rsidRPr="007500EA">
              <w:rPr>
                <w:rFonts w:ascii="Times New Roman" w:eastAsia="Times New Roman" w:hAnsi="Times New Roman" w:cs="Times New Roman"/>
                <w:color w:val="000000"/>
                <w:sz w:val="24"/>
                <w:szCs w:val="24"/>
                <w:lang w:eastAsia="lt-LT"/>
              </w:rPr>
              <w:t xml:space="preserve"> dalimi.</w:t>
            </w: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color w:val="000000"/>
                <w:sz w:val="24"/>
                <w:szCs w:val="24"/>
                <w:lang w:eastAsia="lt-LT"/>
              </w:rPr>
            </w:pPr>
          </w:p>
          <w:p w:rsidR="00452140" w:rsidRPr="007500EA" w:rsidRDefault="00452140" w:rsidP="0039410D">
            <w:pPr>
              <w:ind w:firstLine="459"/>
              <w:jc w:val="both"/>
              <w:rPr>
                <w:rFonts w:ascii="Times New Roman" w:eastAsia="Times New Roman" w:hAnsi="Times New Roman" w:cs="Times New Roman"/>
                <w:sz w:val="24"/>
                <w:szCs w:val="24"/>
                <w:lang w:eastAsia="lt-LT"/>
              </w:rPr>
            </w:pPr>
            <w:r w:rsidRPr="007500EA">
              <w:rPr>
                <w:rFonts w:ascii="Times New Roman" w:eastAsia="Times New Roman" w:hAnsi="Times New Roman" w:cs="Times New Roman"/>
                <w:color w:val="000000"/>
                <w:sz w:val="24"/>
                <w:szCs w:val="24"/>
                <w:lang w:eastAsia="lt-LT"/>
              </w:rPr>
              <w:t xml:space="preserve">Taip pat siūlome įsivertinti, ar Projekto 5 straipsnio 5 dalyje ir 15 straipsnio 6 dalyje vartojamos formuluotės „pateikia </w:t>
            </w:r>
            <w:r w:rsidRPr="007500EA">
              <w:rPr>
                <w:rFonts w:ascii="Times New Roman" w:eastAsia="Times New Roman" w:hAnsi="Times New Roman" w:cs="Times New Roman"/>
                <w:i/>
                <w:iCs/>
                <w:color w:val="000000"/>
                <w:sz w:val="24"/>
                <w:szCs w:val="24"/>
                <w:lang w:eastAsia="lt-LT"/>
              </w:rPr>
              <w:t>informaciją</w:t>
            </w:r>
            <w:r w:rsidRPr="007500EA">
              <w:rPr>
                <w:rFonts w:ascii="Times New Roman" w:eastAsia="Times New Roman" w:hAnsi="Times New Roman" w:cs="Times New Roman"/>
                <w:color w:val="000000"/>
                <w:sz w:val="24"/>
                <w:szCs w:val="24"/>
                <w:lang w:eastAsia="lt-LT"/>
              </w:rPr>
              <w:t xml:space="preserve"> &lt;…&gt; </w:t>
            </w:r>
            <w:r w:rsidRPr="007500EA">
              <w:rPr>
                <w:rFonts w:ascii="Times New Roman" w:eastAsia="Times New Roman" w:hAnsi="Times New Roman" w:cs="Times New Roman"/>
                <w:i/>
                <w:iCs/>
                <w:color w:val="000000"/>
                <w:sz w:val="24"/>
                <w:szCs w:val="24"/>
                <w:lang w:eastAsia="lt-LT"/>
              </w:rPr>
              <w:t>apie priežastis</w:t>
            </w:r>
            <w:r w:rsidRPr="007500EA">
              <w:rPr>
                <w:rFonts w:ascii="Times New Roman" w:eastAsia="Times New Roman" w:hAnsi="Times New Roman" w:cs="Times New Roman"/>
                <w:color w:val="000000"/>
                <w:sz w:val="24"/>
                <w:szCs w:val="24"/>
                <w:lang w:eastAsia="lt-LT"/>
              </w:rPr>
              <w:t xml:space="preserve">, dėl kurių užsienietis yra surinkęs&lt;…&gt;” yra pakankamai aiški, nes nei įstatymas, nei projektas neišskiria jokių pateisinamų ar nepateisinamų priežasčių, taip pat neaišku, ar mokslo ir studijų institucija tikrai žinos šias „priežastis”. Siūlytume naudoti bendresnę formuluotę, numatančią, kad pateikiama informacija apie </w:t>
            </w:r>
            <w:r w:rsidRPr="007500EA">
              <w:rPr>
                <w:rFonts w:ascii="Times New Roman" w:eastAsia="Times New Roman" w:hAnsi="Times New Roman" w:cs="Times New Roman"/>
                <w:color w:val="000000"/>
                <w:sz w:val="24"/>
                <w:szCs w:val="24"/>
                <w:shd w:val="clear" w:color="auto" w:fill="FFFFFF"/>
                <w:lang w:eastAsia="lt-LT"/>
              </w:rPr>
              <w:t>studijų pažangą, mokslo ir įstaigos vertinimas, ar ji yra pakankama, taip pat nuomonė, ar studentas turi perspektyvas tęsti studijas.</w:t>
            </w:r>
          </w:p>
          <w:p w:rsidR="00452140" w:rsidRPr="007500EA" w:rsidRDefault="00452140" w:rsidP="00C76A35">
            <w:pPr>
              <w:ind w:firstLine="459"/>
              <w:jc w:val="both"/>
              <w:rPr>
                <w:rFonts w:ascii="Times New Roman" w:hAnsi="Times New Roman"/>
                <w:sz w:val="24"/>
                <w:szCs w:val="24"/>
              </w:rPr>
            </w:pPr>
          </w:p>
        </w:tc>
        <w:tc>
          <w:tcPr>
            <w:tcW w:w="6521" w:type="dxa"/>
          </w:tcPr>
          <w:p w:rsidR="00452140" w:rsidRPr="007500EA" w:rsidRDefault="00452140" w:rsidP="004A59FA">
            <w:pPr>
              <w:jc w:val="both"/>
              <w:rPr>
                <w:rFonts w:ascii="Times New Roman" w:hAnsi="Times New Roman" w:cs="Times New Roman"/>
                <w:sz w:val="24"/>
                <w:szCs w:val="24"/>
              </w:rPr>
            </w:pPr>
            <w:r w:rsidRPr="007500EA">
              <w:rPr>
                <w:rFonts w:ascii="Times New Roman" w:hAnsi="Times New Roman" w:cs="Times New Roman"/>
                <w:b/>
                <w:sz w:val="24"/>
                <w:szCs w:val="24"/>
              </w:rPr>
              <w:lastRenderedPageBreak/>
              <w:t xml:space="preserve">Atsižvelgta iš dalies. </w:t>
            </w:r>
            <w:r w:rsidRPr="007500EA">
              <w:rPr>
                <w:rFonts w:ascii="Times New Roman" w:hAnsi="Times New Roman" w:cs="Times New Roman"/>
                <w:sz w:val="24"/>
                <w:szCs w:val="24"/>
              </w:rPr>
              <w:t>Ši nuostata panaikinti leidimą laikinai gyventi studentui nesurinkus atitinkamo skaičiaus kreditų atsirado atsižvelgiant į Migracijos departamento prie Lietuvos Respublikos vidaus reikalų ministerijos (toliau – Migracijos departamentas)</w:t>
            </w:r>
            <w:r w:rsidR="00C94E74" w:rsidRPr="007500EA">
              <w:rPr>
                <w:rFonts w:ascii="Times New Roman" w:hAnsi="Times New Roman" w:cs="Times New Roman"/>
                <w:sz w:val="24"/>
                <w:szCs w:val="24"/>
              </w:rPr>
              <w:t xml:space="preserve"> </w:t>
            </w:r>
            <w:r w:rsidRPr="007500EA">
              <w:rPr>
                <w:rFonts w:ascii="Times New Roman" w:hAnsi="Times New Roman" w:cs="Times New Roman"/>
                <w:sz w:val="24"/>
                <w:szCs w:val="24"/>
              </w:rPr>
              <w:t>nustatytus piktnaudžiavimo atvejus</w:t>
            </w:r>
            <w:r w:rsidR="00C94E74" w:rsidRPr="007500EA">
              <w:rPr>
                <w:rFonts w:ascii="Times New Roman" w:hAnsi="Times New Roman" w:cs="Times New Roman"/>
                <w:sz w:val="24"/>
                <w:szCs w:val="24"/>
              </w:rPr>
              <w:t>, Valstybės saugumo departamento pasiūlymus</w:t>
            </w:r>
            <w:r w:rsidRPr="007500EA">
              <w:rPr>
                <w:rFonts w:ascii="Times New Roman" w:hAnsi="Times New Roman" w:cs="Times New Roman"/>
                <w:sz w:val="24"/>
                <w:szCs w:val="24"/>
              </w:rPr>
              <w:t xml:space="preserve"> i</w:t>
            </w:r>
            <w:r w:rsidR="007500EA">
              <w:rPr>
                <w:rFonts w:ascii="Times New Roman" w:hAnsi="Times New Roman" w:cs="Times New Roman"/>
                <w:sz w:val="24"/>
                <w:szCs w:val="24"/>
              </w:rPr>
              <w:t>r</w:t>
            </w:r>
            <w:r w:rsidRPr="007500EA">
              <w:rPr>
                <w:rFonts w:ascii="Times New Roman" w:hAnsi="Times New Roman" w:cs="Times New Roman"/>
                <w:sz w:val="24"/>
                <w:szCs w:val="24"/>
              </w:rPr>
              <w:t xml:space="preserve"> atsižvelgus į iniciatyvą iš </w:t>
            </w:r>
            <w:r w:rsidR="00327EDB" w:rsidRPr="007500EA">
              <w:rPr>
                <w:rFonts w:ascii="Times New Roman" w:hAnsi="Times New Roman" w:cs="Times New Roman"/>
                <w:sz w:val="24"/>
                <w:szCs w:val="24"/>
              </w:rPr>
              <w:t xml:space="preserve">Lietuvos Respublikos </w:t>
            </w:r>
            <w:r w:rsidRPr="007500EA">
              <w:rPr>
                <w:rFonts w:ascii="Times New Roman" w:hAnsi="Times New Roman" w:cs="Times New Roman"/>
                <w:sz w:val="24"/>
                <w:szCs w:val="24"/>
              </w:rPr>
              <w:t>Seimo. Neretai studijos yra tik priežastis gauti vizą arba leidimą laikinai gyventi, nesiekiant studijuoti ir net būti (gyventi) Lietuvoje, o siekiama pasinaudoti laisvo judėjimo Europos Sąjungoje privalumais. Ši nuostata skirta fiktyvioms studijoms</w:t>
            </w:r>
            <w:r w:rsidR="007500EA">
              <w:rPr>
                <w:rFonts w:ascii="Times New Roman" w:hAnsi="Times New Roman" w:cs="Times New Roman"/>
                <w:sz w:val="24"/>
                <w:szCs w:val="24"/>
              </w:rPr>
              <w:t xml:space="preserve"> užkirsti kelią</w:t>
            </w:r>
            <w:r w:rsidRPr="007500EA">
              <w:rPr>
                <w:rFonts w:ascii="Times New Roman" w:hAnsi="Times New Roman" w:cs="Times New Roman"/>
                <w:sz w:val="24"/>
                <w:szCs w:val="24"/>
              </w:rPr>
              <w:t xml:space="preserve">. Pažymėtina, kad kiekviena mokslo ir </w:t>
            </w:r>
            <w:r w:rsidRPr="007500EA">
              <w:rPr>
                <w:rFonts w:ascii="Times New Roman" w:hAnsi="Times New Roman" w:cs="Times New Roman"/>
                <w:sz w:val="24"/>
                <w:szCs w:val="24"/>
              </w:rPr>
              <w:lastRenderedPageBreak/>
              <w:t>studijų institucija nusistato skirtingus nepažangumo kriterijus, todėl labai svarbu nacionaliniuose teisės aktuose nustatyti</w:t>
            </w:r>
            <w:r w:rsidR="007500EA">
              <w:rPr>
                <w:rFonts w:ascii="Times New Roman" w:hAnsi="Times New Roman" w:cs="Times New Roman"/>
                <w:sz w:val="24"/>
                <w:szCs w:val="24"/>
              </w:rPr>
              <w:t>,</w:t>
            </w:r>
            <w:r w:rsidRPr="007500EA">
              <w:rPr>
                <w:rFonts w:ascii="Times New Roman" w:hAnsi="Times New Roman" w:cs="Times New Roman"/>
                <w:sz w:val="24"/>
                <w:szCs w:val="24"/>
              </w:rPr>
              <w:t xml:space="preserve"> kokia studijų pažanga yra laikoma pakankama</w:t>
            </w:r>
            <w:r w:rsidR="007500EA">
              <w:rPr>
                <w:rFonts w:ascii="Times New Roman" w:hAnsi="Times New Roman" w:cs="Times New Roman"/>
                <w:sz w:val="24"/>
                <w:szCs w:val="24"/>
              </w:rPr>
              <w:t>,</w:t>
            </w:r>
            <w:r w:rsidRPr="007500EA">
              <w:rPr>
                <w:rFonts w:ascii="Times New Roman" w:hAnsi="Times New Roman" w:cs="Times New Roman"/>
                <w:sz w:val="24"/>
                <w:szCs w:val="24"/>
              </w:rPr>
              <w:t xml:space="preserve"> ir tai siekiama nustatyti UTPĮ projekt</w:t>
            </w:r>
            <w:r w:rsidR="00660346" w:rsidRPr="007500EA">
              <w:rPr>
                <w:rFonts w:ascii="Times New Roman" w:hAnsi="Times New Roman" w:cs="Times New Roman"/>
                <w:sz w:val="24"/>
                <w:szCs w:val="24"/>
              </w:rPr>
              <w:t>e</w:t>
            </w:r>
            <w:r w:rsidRPr="007500EA">
              <w:rPr>
                <w:rFonts w:ascii="Times New Roman" w:hAnsi="Times New Roman" w:cs="Times New Roman"/>
                <w:sz w:val="24"/>
                <w:szCs w:val="24"/>
              </w:rPr>
              <w:t xml:space="preserve">. Aiškinamasis raštas </w:t>
            </w:r>
            <w:r w:rsidR="00660346" w:rsidRPr="007500EA">
              <w:rPr>
                <w:rFonts w:ascii="Times New Roman" w:hAnsi="Times New Roman" w:cs="Times New Roman"/>
                <w:sz w:val="24"/>
                <w:szCs w:val="24"/>
              </w:rPr>
              <w:t xml:space="preserve">bus </w:t>
            </w:r>
            <w:r w:rsidRPr="007500EA">
              <w:rPr>
                <w:rFonts w:ascii="Times New Roman" w:hAnsi="Times New Roman" w:cs="Times New Roman"/>
                <w:sz w:val="24"/>
                <w:szCs w:val="24"/>
              </w:rPr>
              <w:t>papildytas šia informacija. Pažymėtina, kad trečiosios šalies pilietis, nesurinkęs 40 studijų kreditų per paskutinius vienus studijų metus</w:t>
            </w:r>
            <w:r w:rsidR="007500EA">
              <w:rPr>
                <w:rFonts w:ascii="Times New Roman" w:hAnsi="Times New Roman" w:cs="Times New Roman"/>
                <w:sz w:val="24"/>
                <w:szCs w:val="24"/>
              </w:rPr>
              <w:t>,</w:t>
            </w:r>
            <w:r w:rsidRPr="007500EA">
              <w:rPr>
                <w:rFonts w:ascii="Times New Roman" w:hAnsi="Times New Roman" w:cs="Times New Roman"/>
                <w:sz w:val="24"/>
                <w:szCs w:val="24"/>
              </w:rPr>
              <w:t xml:space="preserve"> netektų tik teisės gyventi Lietuvos Respublikoje, tačiau teisė studijuoti Lietuvos Respublikos mokslo ir studijų institucijose nuotoliniu būdu jam nebūtų atimama. </w:t>
            </w:r>
          </w:p>
          <w:p w:rsidR="00452140" w:rsidRPr="007500EA" w:rsidRDefault="00452140" w:rsidP="004A59FA">
            <w:pPr>
              <w:jc w:val="both"/>
              <w:rPr>
                <w:rFonts w:ascii="Times New Roman" w:hAnsi="Times New Roman" w:cs="Times New Roman"/>
                <w:sz w:val="24"/>
                <w:szCs w:val="24"/>
              </w:rPr>
            </w:pPr>
          </w:p>
          <w:p w:rsidR="00452140" w:rsidRPr="007500EA" w:rsidRDefault="00452140" w:rsidP="0039410D">
            <w:pPr>
              <w:jc w:val="both"/>
              <w:rPr>
                <w:rFonts w:ascii="Times New Roman" w:hAnsi="Times New Roman" w:cs="Times New Roman"/>
                <w:sz w:val="24"/>
                <w:szCs w:val="24"/>
              </w:rPr>
            </w:pPr>
            <w:r w:rsidRPr="007500EA">
              <w:rPr>
                <w:rFonts w:ascii="Times New Roman" w:hAnsi="Times New Roman" w:cs="Times New Roman"/>
                <w:b/>
                <w:sz w:val="24"/>
                <w:szCs w:val="24"/>
              </w:rPr>
              <w:t xml:space="preserve">Neatsižvelgta. </w:t>
            </w:r>
            <w:r w:rsidRPr="007500EA">
              <w:rPr>
                <w:rFonts w:ascii="Times New Roman" w:hAnsi="Times New Roman" w:cs="Times New Roman"/>
                <w:sz w:val="24"/>
                <w:szCs w:val="24"/>
              </w:rPr>
              <w:t xml:space="preserve">Pažymėtina, kad šios nuostatos buvo aptariamos 2019 m. vasario 14 d. Vyriausybės kanceliarijoje vykusiame pasitarime (toliau </w:t>
            </w:r>
            <w:r w:rsidR="007500EA">
              <w:rPr>
                <w:rFonts w:ascii="Times New Roman" w:hAnsi="Times New Roman" w:cs="Times New Roman"/>
                <w:sz w:val="24"/>
                <w:szCs w:val="24"/>
              </w:rPr>
              <w:t xml:space="preserve">– </w:t>
            </w:r>
            <w:r w:rsidRPr="007500EA">
              <w:rPr>
                <w:rFonts w:ascii="Times New Roman" w:hAnsi="Times New Roman" w:cs="Times New Roman"/>
                <w:sz w:val="24"/>
                <w:szCs w:val="24"/>
              </w:rPr>
              <w:t>LRVK pasitarimas), kuriame dalyvavo Vyriausybės kanceliarijos (</w:t>
            </w:r>
            <w:r w:rsidR="007500EA">
              <w:rPr>
                <w:rFonts w:ascii="Times New Roman" w:hAnsi="Times New Roman" w:cs="Times New Roman"/>
                <w:sz w:val="24"/>
                <w:szCs w:val="24"/>
              </w:rPr>
              <w:t>taip pat</w:t>
            </w:r>
            <w:r w:rsidRPr="007500EA">
              <w:rPr>
                <w:rFonts w:ascii="Times New Roman" w:hAnsi="Times New Roman" w:cs="Times New Roman"/>
                <w:sz w:val="24"/>
                <w:szCs w:val="24"/>
              </w:rPr>
              <w:t xml:space="preserve"> ir Vyriausybės kanceliarijos Teisės grupės atstovas), Ekonomikos ir inovacijų, Teisingumo, Švietimo, mokslo ir sporto, Užsienio reikalų, Socialinės apsaugos ir darbo, Vidaus reikalų ministerijų atstovai, Užimtumo tarnybos prie Socialinės apsaugos ir darbo ministerijos, Migracijos departamento prie Vidaus reikalų ministerijos, „Mosta“ ir VšĮ „Investuok Lietuvoje“ atstovai. Pasitarimo metu </w:t>
            </w:r>
            <w:r w:rsidR="007500EA">
              <w:rPr>
                <w:rFonts w:ascii="Times New Roman" w:hAnsi="Times New Roman" w:cs="Times New Roman"/>
                <w:sz w:val="24"/>
                <w:szCs w:val="24"/>
              </w:rPr>
              <w:t>ne</w:t>
            </w:r>
            <w:r w:rsidRPr="007500EA">
              <w:rPr>
                <w:rFonts w:ascii="Times New Roman" w:hAnsi="Times New Roman" w:cs="Times New Roman"/>
                <w:sz w:val="24"/>
                <w:szCs w:val="24"/>
              </w:rPr>
              <w:t xml:space="preserve">buvo pritarta pasiūlymui UTPĮ projekte nustatyti, kad </w:t>
            </w:r>
            <w:r w:rsidRPr="007500EA">
              <w:rPr>
                <w:rFonts w:ascii="Times New Roman" w:eastAsia="Times New Roman" w:hAnsi="Times New Roman" w:cs="Times New Roman"/>
                <w:color w:val="000000"/>
                <w:sz w:val="24"/>
                <w:szCs w:val="24"/>
                <w:shd w:val="clear" w:color="auto" w:fill="FFFFFF"/>
                <w:lang w:eastAsia="lt-LT"/>
              </w:rPr>
              <w:t>studijų pažanga yra nepakankama</w:t>
            </w:r>
            <w:r w:rsidRPr="007500EA">
              <w:rPr>
                <w:rFonts w:ascii="Times New Roman" w:eastAsia="Times New Roman" w:hAnsi="Times New Roman" w:cs="Times New Roman"/>
                <w:color w:val="000000"/>
                <w:sz w:val="24"/>
                <w:szCs w:val="24"/>
                <w:lang w:eastAsia="lt-LT"/>
              </w:rPr>
              <w:t xml:space="preserve"> tuo atveju, kai jis nesurenka tam tikro procento (dalies) jo studijoms tais metais būtinų surinkti studijų kreditų. Tokiam pasiūlymui nepritarta, nes kiekvienu atveju Migracijos departamento valstybės tarnautojams reikėtų aiškintis</w:t>
            </w:r>
            <w:r w:rsidR="007500EA">
              <w:rPr>
                <w:rFonts w:ascii="Times New Roman" w:eastAsia="Times New Roman" w:hAnsi="Times New Roman" w:cs="Times New Roman"/>
                <w:color w:val="000000"/>
                <w:sz w:val="24"/>
                <w:szCs w:val="24"/>
                <w:lang w:eastAsia="lt-LT"/>
              </w:rPr>
              <w:t>,</w:t>
            </w:r>
            <w:r w:rsidRPr="007500EA">
              <w:rPr>
                <w:rFonts w:ascii="Times New Roman" w:eastAsia="Times New Roman" w:hAnsi="Times New Roman" w:cs="Times New Roman"/>
                <w:color w:val="000000"/>
                <w:sz w:val="24"/>
                <w:szCs w:val="24"/>
                <w:lang w:eastAsia="lt-LT"/>
              </w:rPr>
              <w:t xml:space="preserve"> kiek konkrečioms studijoms kreditų nustatoma, kiek studentas kreditų surinko ir a</w:t>
            </w:r>
            <w:r w:rsidR="007500EA">
              <w:rPr>
                <w:rFonts w:ascii="Times New Roman" w:eastAsia="Times New Roman" w:hAnsi="Times New Roman" w:cs="Times New Roman"/>
                <w:color w:val="000000"/>
                <w:sz w:val="24"/>
                <w:szCs w:val="24"/>
                <w:lang w:eastAsia="lt-LT"/>
              </w:rPr>
              <w:t>p</w:t>
            </w:r>
            <w:r w:rsidRPr="007500EA">
              <w:rPr>
                <w:rFonts w:ascii="Times New Roman" w:eastAsia="Times New Roman" w:hAnsi="Times New Roman" w:cs="Times New Roman"/>
                <w:color w:val="000000"/>
                <w:sz w:val="24"/>
                <w:szCs w:val="24"/>
                <w:lang w:eastAsia="lt-LT"/>
              </w:rPr>
              <w:t xml:space="preserve">skaičiuoti procentinę išraišką. </w:t>
            </w:r>
            <w:r w:rsidRPr="007500EA">
              <w:rPr>
                <w:rFonts w:ascii="Times New Roman" w:hAnsi="Times New Roman" w:cs="Times New Roman"/>
                <w:sz w:val="24"/>
                <w:szCs w:val="24"/>
              </w:rPr>
              <w:t xml:space="preserve">Toks kreditų skaičiavimas procentais būtų atliekamas Migracijos departamento valstybės tarnautojų kiekvienu atveju atskirai, </w:t>
            </w:r>
            <w:r w:rsidR="007748C6" w:rsidRPr="007500EA">
              <w:rPr>
                <w:rFonts w:ascii="Times New Roman" w:hAnsi="Times New Roman" w:cs="Times New Roman"/>
                <w:sz w:val="24"/>
                <w:szCs w:val="24"/>
              </w:rPr>
              <w:t>užimtų nemažai laiko, be to,</w:t>
            </w:r>
            <w:r w:rsidRPr="007500EA">
              <w:rPr>
                <w:rFonts w:ascii="Times New Roman" w:hAnsi="Times New Roman" w:cs="Times New Roman"/>
                <w:sz w:val="24"/>
                <w:szCs w:val="24"/>
              </w:rPr>
              <w:t xml:space="preserve"> galėtų lemti klaidas ir neatitikimus, taip pat subjektyvų vertinimą gautus skaičius apvalinant. </w:t>
            </w:r>
            <w:r w:rsidRPr="007500EA">
              <w:rPr>
                <w:rFonts w:ascii="Times New Roman" w:eastAsia="Times New Roman" w:hAnsi="Times New Roman" w:cs="Times New Roman"/>
                <w:color w:val="000000"/>
                <w:sz w:val="24"/>
                <w:szCs w:val="24"/>
                <w:lang w:eastAsia="lt-LT"/>
              </w:rPr>
              <w:t xml:space="preserve">Nustačius, kad studentas nesurinko reikiamo kreditų procento, Migracijos departamentas konsultuotųsi su mokslo ir studijų institucija. Taigi pats vertinimo procesas būtų ilgas, sąlygojantis klaidas bei vertinimo subjektyvumą. Pažymėtina, kad duomenys apie studijų </w:t>
            </w:r>
            <w:r w:rsidRPr="007500EA">
              <w:rPr>
                <w:rFonts w:ascii="Times New Roman" w:eastAsia="Times New Roman" w:hAnsi="Times New Roman" w:cs="Times New Roman"/>
                <w:color w:val="000000"/>
                <w:sz w:val="24"/>
                <w:szCs w:val="24"/>
                <w:lang w:eastAsia="lt-LT"/>
              </w:rPr>
              <w:lastRenderedPageBreak/>
              <w:t xml:space="preserve">kreditus bus gaunami iš Studentų registro, tad skaičiavimas studijų kreditais, o ne procentais, būtų logiškas, aiškus ir greitas procesas.  </w:t>
            </w:r>
          </w:p>
          <w:p w:rsidR="00452140" w:rsidRPr="007500EA" w:rsidRDefault="00452140" w:rsidP="0039410D">
            <w:pPr>
              <w:ind w:firstLine="459"/>
              <w:jc w:val="both"/>
              <w:rPr>
                <w:rFonts w:ascii="Times New Roman" w:hAnsi="Times New Roman" w:cs="Times New Roman"/>
                <w:sz w:val="24"/>
                <w:szCs w:val="24"/>
              </w:rPr>
            </w:pPr>
          </w:p>
          <w:p w:rsidR="00452140" w:rsidRPr="007500EA" w:rsidRDefault="00452140" w:rsidP="00B205CC">
            <w:pPr>
              <w:jc w:val="both"/>
              <w:rPr>
                <w:rFonts w:ascii="Times New Roman" w:hAnsi="Times New Roman" w:cs="Times New Roman"/>
                <w:sz w:val="24"/>
                <w:szCs w:val="24"/>
              </w:rPr>
            </w:pPr>
            <w:r w:rsidRPr="007500EA">
              <w:rPr>
                <w:rFonts w:ascii="Times New Roman" w:hAnsi="Times New Roman" w:cs="Times New Roman"/>
                <w:b/>
                <w:sz w:val="24"/>
                <w:szCs w:val="24"/>
              </w:rPr>
              <w:t>Neatsižvelgta.</w:t>
            </w:r>
            <w:r w:rsidRPr="007500EA">
              <w:rPr>
                <w:rFonts w:ascii="Times New Roman" w:hAnsi="Times New Roman" w:cs="Times New Roman"/>
                <w:sz w:val="24"/>
                <w:szCs w:val="24"/>
              </w:rPr>
              <w:t xml:space="preserve"> UTPĮ projekte </w:t>
            </w:r>
            <w:r w:rsidR="00D96ADE">
              <w:rPr>
                <w:rFonts w:ascii="Times New Roman" w:hAnsi="Times New Roman" w:cs="Times New Roman"/>
                <w:sz w:val="24"/>
                <w:szCs w:val="24"/>
              </w:rPr>
              <w:t>vartojama</w:t>
            </w:r>
            <w:r w:rsidRPr="007500EA">
              <w:rPr>
                <w:rFonts w:ascii="Times New Roman" w:hAnsi="Times New Roman" w:cs="Times New Roman"/>
                <w:sz w:val="24"/>
                <w:szCs w:val="24"/>
              </w:rPr>
              <w:t xml:space="preserve"> formuluotė „pateisinamos priežastys“ yra bendro pobūdžio. Be to, siekiame išvengti tokių atvejų, kai</w:t>
            </w:r>
            <w:r w:rsidR="00D96ADE">
              <w:rPr>
                <w:rFonts w:ascii="Times New Roman" w:hAnsi="Times New Roman" w:cs="Times New Roman"/>
                <w:sz w:val="24"/>
                <w:szCs w:val="24"/>
              </w:rPr>
              <w:t>,</w:t>
            </w:r>
            <w:r w:rsidRPr="007500EA">
              <w:rPr>
                <w:rFonts w:ascii="Times New Roman" w:hAnsi="Times New Roman" w:cs="Times New Roman"/>
                <w:sz w:val="24"/>
                <w:szCs w:val="24"/>
              </w:rPr>
              <w:t xml:space="preserve"> siekiant užkirsti kelią piktnaudžiavimui leidimo laikinai gyventi Lietuvos Respublikoje studijų tikslais išdavimu, nukenčia sąžiningi trečiųjų šalių piliečiai, atvykstantys studijuoti į Lietuvos Respubliką. Pažymėtina, kad pateisinamomis priežastims galėtų būti laikomi tokie atvejai, kaip trečiosios šalies piliečio liga, artimojo liga arba mirtis ir pan. Manome, kad  neįmanoma ir netikslinga surašyti </w:t>
            </w:r>
            <w:r w:rsidR="00086CC9" w:rsidRPr="007500EA">
              <w:rPr>
                <w:rFonts w:ascii="Times New Roman" w:hAnsi="Times New Roman" w:cs="Times New Roman"/>
                <w:sz w:val="24"/>
                <w:szCs w:val="24"/>
              </w:rPr>
              <w:t xml:space="preserve">Lietuvos Respublikos </w:t>
            </w:r>
            <w:r w:rsidRPr="007500EA">
              <w:rPr>
                <w:rFonts w:ascii="Times New Roman" w:hAnsi="Times New Roman" w:cs="Times New Roman"/>
                <w:sz w:val="24"/>
                <w:szCs w:val="24"/>
              </w:rPr>
              <w:t>įstatyme</w:t>
            </w:r>
            <w:r w:rsidR="00086CC9" w:rsidRPr="007500EA">
              <w:rPr>
                <w:rFonts w:ascii="Times New Roman" w:hAnsi="Times New Roman" w:cs="Times New Roman"/>
                <w:sz w:val="24"/>
                <w:szCs w:val="24"/>
              </w:rPr>
              <w:t xml:space="preserve"> „Dėl užsieniečių teisinės padėties“ (toliau – įstatymas)</w:t>
            </w:r>
            <w:r w:rsidRPr="007500EA">
              <w:rPr>
                <w:rFonts w:ascii="Times New Roman" w:hAnsi="Times New Roman" w:cs="Times New Roman"/>
                <w:sz w:val="24"/>
                <w:szCs w:val="24"/>
              </w:rPr>
              <w:t xml:space="preserve"> baigtinį atvejų</w:t>
            </w:r>
            <w:r w:rsidR="002C7DCB" w:rsidRPr="007500EA">
              <w:rPr>
                <w:rFonts w:ascii="Times New Roman" w:hAnsi="Times New Roman" w:cs="Times New Roman"/>
                <w:sz w:val="24"/>
                <w:szCs w:val="24"/>
              </w:rPr>
              <w:t>, k</w:t>
            </w:r>
            <w:r w:rsidR="00D96ADE">
              <w:rPr>
                <w:rFonts w:ascii="Times New Roman" w:hAnsi="Times New Roman" w:cs="Times New Roman"/>
                <w:sz w:val="24"/>
                <w:szCs w:val="24"/>
              </w:rPr>
              <w:t>ai</w:t>
            </w:r>
            <w:r w:rsidR="002C7DCB" w:rsidRPr="007500EA">
              <w:rPr>
                <w:rFonts w:ascii="Times New Roman" w:hAnsi="Times New Roman" w:cs="Times New Roman"/>
                <w:sz w:val="24"/>
                <w:szCs w:val="24"/>
              </w:rPr>
              <w:t xml:space="preserve"> užsienietis, nesurinkęs reikiamo kreditų skaičiaus, galėtų toliau tęsti studijas Lietuvos Respublikoje,</w:t>
            </w:r>
            <w:r w:rsidRPr="007500EA">
              <w:rPr>
                <w:rFonts w:ascii="Times New Roman" w:hAnsi="Times New Roman" w:cs="Times New Roman"/>
                <w:sz w:val="24"/>
                <w:szCs w:val="24"/>
              </w:rPr>
              <w:t xml:space="preserve"> sąrašą. Tam ir yra nustatoma konsultacija su mokslo ir studijų institucija, </w:t>
            </w:r>
            <w:r w:rsidR="00D96ADE">
              <w:rPr>
                <w:rFonts w:ascii="Times New Roman" w:hAnsi="Times New Roman" w:cs="Times New Roman"/>
                <w:sz w:val="24"/>
                <w:szCs w:val="24"/>
              </w:rPr>
              <w:t>siekiant</w:t>
            </w:r>
            <w:r w:rsidRPr="007500EA">
              <w:rPr>
                <w:rFonts w:ascii="Times New Roman" w:hAnsi="Times New Roman" w:cs="Times New Roman"/>
                <w:sz w:val="24"/>
                <w:szCs w:val="24"/>
              </w:rPr>
              <w:t xml:space="preserve"> nustatyti pateisinamas priežastis. </w:t>
            </w:r>
          </w:p>
          <w:p w:rsidR="00452140" w:rsidRPr="007500EA" w:rsidRDefault="00452140" w:rsidP="00F85967">
            <w:pPr>
              <w:ind w:firstLine="317"/>
              <w:jc w:val="both"/>
              <w:rPr>
                <w:rFonts w:ascii="Times New Roman" w:hAnsi="Times New Roman" w:cs="Times New Roman"/>
                <w:sz w:val="24"/>
                <w:szCs w:val="24"/>
              </w:rPr>
            </w:pPr>
            <w:r w:rsidRPr="007500EA">
              <w:rPr>
                <w:rFonts w:ascii="Times New Roman" w:hAnsi="Times New Roman" w:cs="Times New Roman"/>
                <w:sz w:val="24"/>
                <w:szCs w:val="24"/>
              </w:rPr>
              <w:t xml:space="preserve">Pažymėtina, kad LRVK pasitarime buvo sutarta dėl tokios formuluotės </w:t>
            </w:r>
            <w:r w:rsidR="00D96ADE">
              <w:rPr>
                <w:rFonts w:ascii="Times New Roman" w:hAnsi="Times New Roman" w:cs="Times New Roman"/>
                <w:sz w:val="24"/>
                <w:szCs w:val="24"/>
              </w:rPr>
              <w:t>vart</w:t>
            </w:r>
            <w:r w:rsidRPr="007500EA">
              <w:rPr>
                <w:rFonts w:ascii="Times New Roman" w:hAnsi="Times New Roman" w:cs="Times New Roman"/>
                <w:sz w:val="24"/>
                <w:szCs w:val="24"/>
              </w:rPr>
              <w:t xml:space="preserve">ojimo. </w:t>
            </w:r>
          </w:p>
          <w:p w:rsidR="00C94E74" w:rsidRPr="007500EA" w:rsidRDefault="00452140" w:rsidP="000B374E">
            <w:pPr>
              <w:ind w:firstLine="317"/>
              <w:jc w:val="both"/>
              <w:rPr>
                <w:rFonts w:ascii="Times New Roman" w:hAnsi="Times New Roman" w:cs="Times New Roman"/>
                <w:sz w:val="24"/>
                <w:szCs w:val="24"/>
                <w:highlight w:val="yellow"/>
              </w:rPr>
            </w:pPr>
            <w:r w:rsidRPr="007500EA">
              <w:rPr>
                <w:rFonts w:ascii="Times New Roman" w:hAnsi="Times New Roman" w:cs="Times New Roman"/>
                <w:sz w:val="24"/>
                <w:szCs w:val="24"/>
              </w:rPr>
              <w:t xml:space="preserve">Atkreipiame dėmesį, kad ir kituose įstatymuose vartojama formuluotė „pateisinamos priežastys“, nepateikiant tokių priežasčių baigtinio sąrašo, pvz., </w:t>
            </w:r>
            <w:r w:rsidRPr="007500EA">
              <w:rPr>
                <w:rFonts w:ascii="Times New Roman" w:hAnsi="Times New Roman" w:cs="Times New Roman"/>
                <w:bCs/>
                <w:sz w:val="24"/>
                <w:szCs w:val="24"/>
              </w:rPr>
              <w:t>Lietuvos Respublikos viešųjų pirkimų, atliekamų gynybos ir saugumo srityje, įstatymo 33 straipsnio 4 dal</w:t>
            </w:r>
            <w:r w:rsidR="007748C6" w:rsidRPr="007500EA">
              <w:rPr>
                <w:rFonts w:ascii="Times New Roman" w:hAnsi="Times New Roman" w:cs="Times New Roman"/>
                <w:bCs/>
                <w:sz w:val="24"/>
                <w:szCs w:val="24"/>
              </w:rPr>
              <w:t>yje</w:t>
            </w:r>
            <w:r w:rsidRPr="007500EA">
              <w:rPr>
                <w:rFonts w:ascii="Times New Roman" w:hAnsi="Times New Roman" w:cs="Times New Roman"/>
                <w:bCs/>
                <w:sz w:val="24"/>
                <w:szCs w:val="24"/>
              </w:rPr>
              <w:t>.</w:t>
            </w:r>
            <w:r w:rsidRPr="007500EA">
              <w:rPr>
                <w:rFonts w:ascii="Times New Roman" w:hAnsi="Times New Roman" w:cs="Times New Roman"/>
                <w:b/>
                <w:bCs/>
                <w:sz w:val="24"/>
                <w:szCs w:val="24"/>
              </w:rPr>
              <w:t xml:space="preserve"> </w:t>
            </w:r>
          </w:p>
        </w:tc>
      </w:tr>
      <w:tr w:rsidR="0039410D" w:rsidRPr="007500EA" w:rsidTr="000B374E">
        <w:tc>
          <w:tcPr>
            <w:tcW w:w="1980" w:type="dxa"/>
            <w:vMerge w:val="restart"/>
          </w:tcPr>
          <w:p w:rsidR="0039410D" w:rsidRPr="007500EA" w:rsidRDefault="0039410D" w:rsidP="00497E3C">
            <w:pPr>
              <w:rPr>
                <w:rFonts w:ascii="Times New Roman" w:hAnsi="Times New Roman" w:cs="Times New Roman"/>
                <w:sz w:val="24"/>
                <w:szCs w:val="24"/>
              </w:rPr>
            </w:pPr>
          </w:p>
        </w:tc>
        <w:tc>
          <w:tcPr>
            <w:tcW w:w="6237" w:type="dxa"/>
          </w:tcPr>
          <w:p w:rsidR="0039410D" w:rsidRPr="007500EA" w:rsidRDefault="0039410D" w:rsidP="000B374E">
            <w:pPr>
              <w:tabs>
                <w:tab w:val="left" w:pos="1134"/>
              </w:tabs>
              <w:ind w:firstLine="459"/>
              <w:jc w:val="both"/>
              <w:rPr>
                <w:rFonts w:ascii="Times New Roman" w:hAnsi="Times New Roman" w:cs="Times New Roman"/>
                <w:sz w:val="24"/>
                <w:szCs w:val="24"/>
              </w:rPr>
            </w:pPr>
            <w:r w:rsidRPr="007500EA">
              <w:rPr>
                <w:rFonts w:ascii="Times New Roman" w:hAnsi="Times New Roman" w:cs="Times New Roman"/>
                <w:color w:val="000000"/>
                <w:sz w:val="24"/>
                <w:szCs w:val="24"/>
              </w:rPr>
              <w:t>2. Siūlome tikslinti Projekto 14 straipsnyje išdėstyto UTPĮ 49</w:t>
            </w:r>
            <w:r w:rsidRPr="007500EA">
              <w:rPr>
                <w:rFonts w:ascii="Times New Roman" w:hAnsi="Times New Roman" w:cs="Times New Roman"/>
                <w:color w:val="000000"/>
                <w:sz w:val="24"/>
                <w:szCs w:val="24"/>
                <w:vertAlign w:val="superscript"/>
              </w:rPr>
              <w:t>5</w:t>
            </w:r>
            <w:r w:rsidRPr="007500EA">
              <w:rPr>
                <w:rFonts w:ascii="Times New Roman" w:hAnsi="Times New Roman" w:cs="Times New Roman"/>
                <w:color w:val="000000"/>
                <w:sz w:val="24"/>
                <w:szCs w:val="24"/>
              </w:rPr>
              <w:t xml:space="preserve"> straipsnio 2 dalį aiškiai nurodant, kokį dokumentą turi turėti šiame straipsnyje minimų valstybių pilietybę turintys užsieniečiai, ketinantys vykdyti reglamentuojamą profesinę veiklą, atsižvelgiant į tai, kad Reglamentuojamų profesinių kvalifikacijų pripažinimo įstatymas taikomas ES valstybių narių piliečiams ir jis reglamentuoja profesinės kvalifikacijos, visų pirma įgytos Europos Sąjungos valstybėse, pripažinimo principus ir procedūras.</w:t>
            </w:r>
          </w:p>
        </w:tc>
        <w:tc>
          <w:tcPr>
            <w:tcW w:w="6521" w:type="dxa"/>
          </w:tcPr>
          <w:p w:rsidR="0039410D" w:rsidRPr="007500EA" w:rsidRDefault="00A84487">
            <w:pPr>
              <w:jc w:val="both"/>
              <w:rPr>
                <w:rFonts w:ascii="Times New Roman" w:eastAsia="Calibri" w:hAnsi="Times New Roman" w:cs="Times New Roman"/>
                <w:sz w:val="24"/>
                <w:szCs w:val="24"/>
              </w:rPr>
            </w:pPr>
            <w:r w:rsidRPr="007500EA">
              <w:rPr>
                <w:rFonts w:ascii="Times New Roman" w:eastAsia="Calibri" w:hAnsi="Times New Roman" w:cs="Times New Roman"/>
                <w:b/>
                <w:sz w:val="24"/>
                <w:szCs w:val="24"/>
              </w:rPr>
              <w:t xml:space="preserve">Neatsižvelgta. </w:t>
            </w:r>
            <w:r w:rsidRPr="007500EA">
              <w:rPr>
                <w:rFonts w:ascii="Times New Roman" w:eastAsia="Calibri" w:hAnsi="Times New Roman" w:cs="Times New Roman"/>
                <w:sz w:val="24"/>
                <w:szCs w:val="24"/>
              </w:rPr>
              <w:t>Analogiška formuluotė vartojama įstatymo 44</w:t>
            </w:r>
            <w:r w:rsidRPr="007500EA">
              <w:rPr>
                <w:rFonts w:ascii="Times New Roman" w:eastAsia="Calibri" w:hAnsi="Times New Roman" w:cs="Times New Roman"/>
                <w:sz w:val="24"/>
                <w:szCs w:val="24"/>
                <w:vertAlign w:val="superscript"/>
              </w:rPr>
              <w:t xml:space="preserve">1 </w:t>
            </w:r>
            <w:r w:rsidRPr="007500EA">
              <w:rPr>
                <w:rFonts w:ascii="Times New Roman" w:eastAsia="Calibri" w:hAnsi="Times New Roman" w:cs="Times New Roman"/>
                <w:sz w:val="24"/>
                <w:szCs w:val="24"/>
              </w:rPr>
              <w:t>straipsnio</w:t>
            </w:r>
            <w:r w:rsidR="00993280" w:rsidRPr="007500EA">
              <w:rPr>
                <w:rFonts w:ascii="Times New Roman" w:eastAsia="Calibri" w:hAnsi="Times New Roman" w:cs="Times New Roman"/>
                <w:sz w:val="24"/>
                <w:szCs w:val="24"/>
              </w:rPr>
              <w:t xml:space="preserve"> 2 punkte ir 58 straipsnio 5 punkte. UTPĮ projekte negalima įvardyti konkretaus dokumento </w:t>
            </w:r>
            <w:r w:rsidR="00D96ADE">
              <w:rPr>
                <w:rFonts w:ascii="Times New Roman" w:eastAsia="Calibri" w:hAnsi="Times New Roman" w:cs="Times New Roman"/>
                <w:sz w:val="24"/>
                <w:szCs w:val="24"/>
              </w:rPr>
              <w:t>(-</w:t>
            </w:r>
            <w:r w:rsidR="00993280" w:rsidRPr="007500EA">
              <w:rPr>
                <w:rFonts w:ascii="Times New Roman" w:eastAsia="Calibri" w:hAnsi="Times New Roman" w:cs="Times New Roman"/>
                <w:sz w:val="24"/>
                <w:szCs w:val="24"/>
              </w:rPr>
              <w:t>ų</w:t>
            </w:r>
            <w:r w:rsidR="00D96ADE">
              <w:rPr>
                <w:rFonts w:ascii="Times New Roman" w:eastAsia="Calibri" w:hAnsi="Times New Roman" w:cs="Times New Roman"/>
                <w:sz w:val="24"/>
                <w:szCs w:val="24"/>
              </w:rPr>
              <w:t>)</w:t>
            </w:r>
            <w:r w:rsidR="00993280" w:rsidRPr="007500EA">
              <w:rPr>
                <w:rFonts w:ascii="Times New Roman" w:eastAsia="Calibri" w:hAnsi="Times New Roman" w:cs="Times New Roman"/>
                <w:sz w:val="24"/>
                <w:szCs w:val="24"/>
              </w:rPr>
              <w:t xml:space="preserve">, nes sąlygas, kurias turi atitikti </w:t>
            </w:r>
            <w:r w:rsidR="00993280" w:rsidRPr="007500EA">
              <w:rPr>
                <w:rFonts w:ascii="Times New Roman" w:hAnsi="Times New Roman" w:cs="Times New Roman"/>
                <w:color w:val="000000"/>
                <w:sz w:val="24"/>
                <w:szCs w:val="24"/>
              </w:rPr>
              <w:t xml:space="preserve">kompetenciją patvirtinantys dokumentai ar formalios kvalifikacijos įrodymai, nustato </w:t>
            </w:r>
            <w:r w:rsidR="00993280" w:rsidRPr="007500EA">
              <w:rPr>
                <w:rFonts w:ascii="Times New Roman" w:eastAsia="Calibri" w:hAnsi="Times New Roman" w:cs="Times New Roman"/>
                <w:sz w:val="24"/>
                <w:szCs w:val="24"/>
              </w:rPr>
              <w:t>Lietuvos Respublikos r</w:t>
            </w:r>
            <w:r w:rsidR="00993280" w:rsidRPr="007500EA">
              <w:rPr>
                <w:rFonts w:ascii="Times New Roman" w:hAnsi="Times New Roman" w:cs="Times New Roman"/>
                <w:color w:val="000000"/>
                <w:sz w:val="24"/>
                <w:szCs w:val="24"/>
              </w:rPr>
              <w:t xml:space="preserve">eglamentuojamų profesinių kvalifikacijų pripažinimo įstatymo 15 straipsnis, tačiau ir šiame įstatyme konkretaus dokumento pavadinimo nėra, nes tai priklauso nuo reglamentuojamos profesijos. </w:t>
            </w:r>
          </w:p>
        </w:tc>
      </w:tr>
      <w:tr w:rsidR="00313A4F" w:rsidRPr="007500EA" w:rsidTr="000B374E">
        <w:tc>
          <w:tcPr>
            <w:tcW w:w="1980" w:type="dxa"/>
            <w:vMerge/>
          </w:tcPr>
          <w:p w:rsidR="00313A4F" w:rsidRPr="007500EA" w:rsidRDefault="00313A4F" w:rsidP="00497E3C">
            <w:pPr>
              <w:rPr>
                <w:rFonts w:ascii="Times New Roman" w:hAnsi="Times New Roman" w:cs="Times New Roman"/>
                <w:sz w:val="24"/>
                <w:szCs w:val="24"/>
              </w:rPr>
            </w:pPr>
          </w:p>
        </w:tc>
        <w:tc>
          <w:tcPr>
            <w:tcW w:w="6237" w:type="dxa"/>
          </w:tcPr>
          <w:p w:rsidR="00313A4F" w:rsidRPr="007500EA" w:rsidRDefault="00313A4F" w:rsidP="00313A4F">
            <w:pPr>
              <w:ind w:firstLine="601"/>
              <w:jc w:val="both"/>
              <w:rPr>
                <w:rFonts w:ascii="Times New Roman" w:eastAsia="Times New Roman" w:hAnsi="Times New Roman" w:cs="Times New Roman"/>
                <w:sz w:val="24"/>
                <w:szCs w:val="24"/>
                <w:lang w:eastAsia="lt-LT"/>
              </w:rPr>
            </w:pPr>
            <w:r w:rsidRPr="007500EA">
              <w:rPr>
                <w:rFonts w:ascii="Times New Roman" w:eastAsia="Times New Roman" w:hAnsi="Times New Roman" w:cs="Times New Roman"/>
                <w:color w:val="000000"/>
                <w:sz w:val="24"/>
                <w:szCs w:val="24"/>
                <w:lang w:eastAsia="lt-LT"/>
              </w:rPr>
              <w:t>3. Siūlome tikslinti Projekto 22 straipsnį, kuriuo UTPĮ papildomas 63</w:t>
            </w:r>
            <w:r w:rsidRPr="007500EA">
              <w:rPr>
                <w:rFonts w:ascii="Times New Roman" w:eastAsia="Times New Roman" w:hAnsi="Times New Roman" w:cs="Times New Roman"/>
                <w:color w:val="000000"/>
                <w:sz w:val="24"/>
                <w:szCs w:val="24"/>
                <w:vertAlign w:val="superscript"/>
                <w:lang w:eastAsia="lt-LT"/>
              </w:rPr>
              <w:t>1</w:t>
            </w:r>
            <w:r w:rsidRPr="007500EA">
              <w:rPr>
                <w:rFonts w:ascii="Times New Roman" w:eastAsia="Times New Roman" w:hAnsi="Times New Roman" w:cs="Times New Roman"/>
                <w:color w:val="000000"/>
                <w:sz w:val="24"/>
                <w:szCs w:val="24"/>
                <w:lang w:eastAsia="lt-LT"/>
              </w:rPr>
              <w:t xml:space="preserve"> straipsniu:</w:t>
            </w:r>
          </w:p>
          <w:p w:rsidR="00313A4F" w:rsidRPr="007500EA" w:rsidRDefault="00D96ADE" w:rsidP="00313A4F">
            <w:pPr>
              <w:ind w:firstLine="60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w:t>
            </w:r>
            <w:r w:rsidR="00313A4F" w:rsidRPr="007500EA">
              <w:rPr>
                <w:rFonts w:ascii="Times New Roman" w:eastAsia="Times New Roman" w:hAnsi="Times New Roman" w:cs="Times New Roman"/>
                <w:color w:val="000000"/>
                <w:sz w:val="24"/>
                <w:szCs w:val="24"/>
                <w:lang w:eastAsia="lt-LT"/>
              </w:rPr>
              <w:t xml:space="preserve"> siūlome įstatyme pateikti patvirtintos įmonės sąvoką ir apibrėžimą;</w:t>
            </w:r>
          </w:p>
          <w:p w:rsidR="00A73F0F" w:rsidRPr="007500EA" w:rsidRDefault="00A73F0F" w:rsidP="00313A4F">
            <w:pPr>
              <w:ind w:firstLine="601"/>
              <w:jc w:val="both"/>
              <w:rPr>
                <w:rFonts w:ascii="Times New Roman" w:eastAsia="Times New Roman" w:hAnsi="Times New Roman" w:cs="Times New Roman"/>
                <w:color w:val="000000"/>
                <w:sz w:val="24"/>
                <w:szCs w:val="24"/>
                <w:lang w:eastAsia="lt-LT"/>
              </w:rPr>
            </w:pPr>
          </w:p>
          <w:p w:rsidR="00A73F0F" w:rsidRPr="007500EA" w:rsidRDefault="00A73F0F" w:rsidP="00313A4F">
            <w:pPr>
              <w:ind w:firstLine="601"/>
              <w:jc w:val="both"/>
              <w:rPr>
                <w:rFonts w:ascii="Times New Roman" w:eastAsia="Times New Roman" w:hAnsi="Times New Roman" w:cs="Times New Roman"/>
                <w:color w:val="000000"/>
                <w:sz w:val="24"/>
                <w:szCs w:val="24"/>
                <w:lang w:eastAsia="lt-LT"/>
              </w:rPr>
            </w:pPr>
          </w:p>
          <w:p w:rsidR="00A73F0F" w:rsidRPr="007500EA" w:rsidRDefault="00A73F0F" w:rsidP="00313A4F">
            <w:pPr>
              <w:ind w:firstLine="601"/>
              <w:jc w:val="both"/>
              <w:rPr>
                <w:rFonts w:ascii="Times New Roman" w:eastAsia="Times New Roman" w:hAnsi="Times New Roman" w:cs="Times New Roman"/>
                <w:color w:val="000000"/>
                <w:sz w:val="24"/>
                <w:szCs w:val="24"/>
                <w:lang w:eastAsia="lt-LT"/>
              </w:rPr>
            </w:pPr>
          </w:p>
          <w:p w:rsidR="00A73F0F" w:rsidRPr="007500EA" w:rsidRDefault="00A73F0F" w:rsidP="00313A4F">
            <w:pPr>
              <w:ind w:firstLine="601"/>
              <w:jc w:val="both"/>
              <w:rPr>
                <w:rFonts w:ascii="Times New Roman" w:eastAsia="Times New Roman" w:hAnsi="Times New Roman" w:cs="Times New Roman"/>
                <w:color w:val="000000"/>
                <w:sz w:val="24"/>
                <w:szCs w:val="24"/>
                <w:lang w:eastAsia="lt-LT"/>
              </w:rPr>
            </w:pPr>
          </w:p>
          <w:p w:rsidR="00A73F0F" w:rsidRPr="007500EA" w:rsidRDefault="00A73F0F" w:rsidP="00313A4F">
            <w:pPr>
              <w:ind w:firstLine="601"/>
              <w:jc w:val="both"/>
              <w:rPr>
                <w:rFonts w:ascii="Times New Roman" w:eastAsia="Times New Roman" w:hAnsi="Times New Roman" w:cs="Times New Roman"/>
                <w:color w:val="000000"/>
                <w:sz w:val="24"/>
                <w:szCs w:val="24"/>
                <w:lang w:eastAsia="lt-LT"/>
              </w:rPr>
            </w:pPr>
          </w:p>
          <w:p w:rsidR="00A73F0F" w:rsidRPr="007500EA" w:rsidRDefault="00A73F0F" w:rsidP="00313A4F">
            <w:pPr>
              <w:ind w:firstLine="601"/>
              <w:jc w:val="both"/>
              <w:rPr>
                <w:rFonts w:ascii="Times New Roman" w:eastAsia="Times New Roman" w:hAnsi="Times New Roman" w:cs="Times New Roman"/>
                <w:color w:val="000000"/>
                <w:sz w:val="24"/>
                <w:szCs w:val="24"/>
                <w:lang w:eastAsia="lt-LT"/>
              </w:rPr>
            </w:pPr>
          </w:p>
          <w:p w:rsidR="00CB4A85" w:rsidRPr="007500EA" w:rsidRDefault="00CB4A85" w:rsidP="00313A4F">
            <w:pPr>
              <w:ind w:firstLine="601"/>
              <w:jc w:val="both"/>
              <w:rPr>
                <w:rFonts w:ascii="Times New Roman" w:eastAsia="Times New Roman" w:hAnsi="Times New Roman" w:cs="Times New Roman"/>
                <w:color w:val="000000"/>
                <w:sz w:val="24"/>
                <w:szCs w:val="24"/>
                <w:lang w:eastAsia="lt-LT"/>
              </w:rPr>
            </w:pPr>
          </w:p>
          <w:p w:rsidR="00CB4A85" w:rsidRPr="007500EA" w:rsidRDefault="00CB4A85" w:rsidP="00313A4F">
            <w:pPr>
              <w:ind w:firstLine="601"/>
              <w:jc w:val="both"/>
              <w:rPr>
                <w:rFonts w:ascii="Times New Roman" w:eastAsia="Times New Roman" w:hAnsi="Times New Roman" w:cs="Times New Roman"/>
                <w:color w:val="000000"/>
                <w:sz w:val="24"/>
                <w:szCs w:val="24"/>
                <w:lang w:eastAsia="lt-LT"/>
              </w:rPr>
            </w:pPr>
          </w:p>
          <w:p w:rsidR="00313A4F" w:rsidRPr="007500EA" w:rsidRDefault="00D96ADE" w:rsidP="00313A4F">
            <w:pPr>
              <w:ind w:firstLine="60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313A4F" w:rsidRPr="007500EA">
              <w:rPr>
                <w:rFonts w:ascii="Times New Roman" w:eastAsia="Times New Roman" w:hAnsi="Times New Roman" w:cs="Times New Roman"/>
                <w:color w:val="000000"/>
                <w:sz w:val="24"/>
                <w:szCs w:val="24"/>
                <w:lang w:eastAsia="lt-LT"/>
              </w:rPr>
              <w:t xml:space="preserve"> kriterijai, kuriuos turi atitikti įmonė tam, kad būtų įtraukta į patvirtintų įmonių sąrašą, turi būti nustatyti įstatyme, bet ne vidaus reikalų ministro sąraše, nes tai susiję su ūkinės veiklos reguliavimu;</w:t>
            </w:r>
          </w:p>
          <w:p w:rsidR="00A73F0F" w:rsidRPr="007500EA" w:rsidRDefault="00A73F0F" w:rsidP="00313A4F">
            <w:pPr>
              <w:ind w:firstLine="601"/>
              <w:jc w:val="both"/>
              <w:rPr>
                <w:rFonts w:ascii="Times New Roman" w:eastAsia="Times New Roman" w:hAnsi="Times New Roman" w:cs="Times New Roman"/>
                <w:color w:val="000000"/>
                <w:sz w:val="24"/>
                <w:szCs w:val="24"/>
                <w:lang w:eastAsia="lt-LT"/>
              </w:rPr>
            </w:pPr>
          </w:p>
          <w:p w:rsidR="00A73F0F" w:rsidRPr="007500EA" w:rsidRDefault="00A73F0F" w:rsidP="00313A4F">
            <w:pPr>
              <w:ind w:firstLine="601"/>
              <w:jc w:val="both"/>
              <w:rPr>
                <w:rFonts w:ascii="Times New Roman" w:eastAsia="Times New Roman" w:hAnsi="Times New Roman" w:cs="Times New Roman"/>
                <w:color w:val="000000"/>
                <w:sz w:val="24"/>
                <w:szCs w:val="24"/>
                <w:lang w:eastAsia="lt-LT"/>
              </w:rPr>
            </w:pPr>
          </w:p>
          <w:p w:rsidR="00A73F0F" w:rsidRPr="007500EA" w:rsidRDefault="00A73F0F" w:rsidP="00313A4F">
            <w:pPr>
              <w:ind w:firstLine="601"/>
              <w:jc w:val="both"/>
              <w:rPr>
                <w:rFonts w:ascii="Times New Roman" w:eastAsia="Times New Roman" w:hAnsi="Times New Roman" w:cs="Times New Roman"/>
                <w:color w:val="000000"/>
                <w:sz w:val="24"/>
                <w:szCs w:val="24"/>
                <w:lang w:eastAsia="lt-LT"/>
              </w:rPr>
            </w:pPr>
          </w:p>
          <w:p w:rsidR="00A73F0F" w:rsidRPr="007500EA" w:rsidRDefault="00A73F0F"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Pr="007500EA" w:rsidRDefault="00BE43E8" w:rsidP="00313A4F">
            <w:pPr>
              <w:ind w:firstLine="601"/>
              <w:jc w:val="both"/>
              <w:rPr>
                <w:rFonts w:ascii="Times New Roman" w:eastAsia="Times New Roman" w:hAnsi="Times New Roman" w:cs="Times New Roman"/>
                <w:color w:val="000000"/>
                <w:sz w:val="24"/>
                <w:szCs w:val="24"/>
                <w:lang w:eastAsia="lt-LT"/>
              </w:rPr>
            </w:pPr>
          </w:p>
          <w:p w:rsidR="00BE43E8" w:rsidRDefault="00BE43E8" w:rsidP="00313A4F">
            <w:pPr>
              <w:ind w:firstLine="601"/>
              <w:jc w:val="both"/>
              <w:rPr>
                <w:rFonts w:ascii="Times New Roman" w:eastAsia="Times New Roman" w:hAnsi="Times New Roman" w:cs="Times New Roman"/>
                <w:color w:val="000000"/>
                <w:sz w:val="24"/>
                <w:szCs w:val="24"/>
                <w:lang w:eastAsia="lt-LT"/>
              </w:rPr>
            </w:pPr>
          </w:p>
          <w:p w:rsidR="00D96ADE" w:rsidRPr="007500EA" w:rsidRDefault="00D96ADE" w:rsidP="00313A4F">
            <w:pPr>
              <w:ind w:firstLine="601"/>
              <w:jc w:val="both"/>
              <w:rPr>
                <w:rFonts w:ascii="Times New Roman" w:eastAsia="Times New Roman" w:hAnsi="Times New Roman" w:cs="Times New Roman"/>
                <w:color w:val="000000"/>
                <w:sz w:val="24"/>
                <w:szCs w:val="24"/>
                <w:lang w:eastAsia="lt-LT"/>
              </w:rPr>
            </w:pPr>
          </w:p>
          <w:p w:rsidR="00313A4F" w:rsidRPr="007500EA" w:rsidRDefault="00D96ADE" w:rsidP="00313A4F">
            <w:pPr>
              <w:ind w:firstLine="60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313A4F" w:rsidRPr="007500EA">
              <w:rPr>
                <w:rFonts w:ascii="Times New Roman" w:eastAsia="Times New Roman" w:hAnsi="Times New Roman" w:cs="Times New Roman"/>
                <w:color w:val="000000"/>
                <w:sz w:val="24"/>
                <w:szCs w:val="24"/>
                <w:lang w:eastAsia="lt-LT"/>
              </w:rPr>
              <w:t xml:space="preserve"> neaišku, kas tai yra „įpareigojimas baigti vykdyti“ (2 dalies 1 punktas);</w:t>
            </w:r>
          </w:p>
          <w:p w:rsidR="0044185B" w:rsidRPr="007500EA" w:rsidRDefault="0044185B" w:rsidP="00313A4F">
            <w:pPr>
              <w:ind w:firstLine="601"/>
              <w:jc w:val="both"/>
              <w:rPr>
                <w:rFonts w:ascii="Times New Roman" w:eastAsia="Times New Roman" w:hAnsi="Times New Roman" w:cs="Times New Roman"/>
                <w:color w:val="000000"/>
                <w:sz w:val="24"/>
                <w:szCs w:val="24"/>
                <w:lang w:eastAsia="lt-LT"/>
              </w:rPr>
            </w:pPr>
          </w:p>
          <w:p w:rsidR="0044185B" w:rsidRPr="007500EA" w:rsidRDefault="0044185B" w:rsidP="00313A4F">
            <w:pPr>
              <w:ind w:firstLine="601"/>
              <w:jc w:val="both"/>
              <w:rPr>
                <w:rFonts w:ascii="Times New Roman" w:eastAsia="Times New Roman" w:hAnsi="Times New Roman" w:cs="Times New Roman"/>
                <w:color w:val="000000"/>
                <w:sz w:val="24"/>
                <w:szCs w:val="24"/>
                <w:lang w:eastAsia="lt-LT"/>
              </w:rPr>
            </w:pPr>
          </w:p>
          <w:p w:rsidR="0044185B" w:rsidRPr="007500EA" w:rsidRDefault="0044185B" w:rsidP="00313A4F">
            <w:pPr>
              <w:ind w:firstLine="601"/>
              <w:jc w:val="both"/>
              <w:rPr>
                <w:rFonts w:ascii="Times New Roman" w:eastAsia="Times New Roman" w:hAnsi="Times New Roman" w:cs="Times New Roman"/>
                <w:color w:val="000000"/>
                <w:sz w:val="24"/>
                <w:szCs w:val="24"/>
                <w:lang w:eastAsia="lt-LT"/>
              </w:rPr>
            </w:pPr>
          </w:p>
          <w:p w:rsidR="0044185B" w:rsidRPr="007500EA" w:rsidRDefault="0044185B" w:rsidP="00313A4F">
            <w:pPr>
              <w:ind w:firstLine="601"/>
              <w:jc w:val="both"/>
              <w:rPr>
                <w:rFonts w:ascii="Times New Roman" w:eastAsia="Times New Roman" w:hAnsi="Times New Roman" w:cs="Times New Roman"/>
                <w:color w:val="000000"/>
                <w:sz w:val="24"/>
                <w:szCs w:val="24"/>
                <w:lang w:eastAsia="lt-LT"/>
              </w:rPr>
            </w:pPr>
          </w:p>
          <w:p w:rsidR="0044185B" w:rsidRPr="007500EA" w:rsidRDefault="0044185B" w:rsidP="00313A4F">
            <w:pPr>
              <w:ind w:firstLine="601"/>
              <w:jc w:val="both"/>
              <w:rPr>
                <w:rFonts w:ascii="Times New Roman" w:eastAsia="Times New Roman" w:hAnsi="Times New Roman" w:cs="Times New Roman"/>
                <w:color w:val="000000"/>
                <w:sz w:val="24"/>
                <w:szCs w:val="24"/>
                <w:lang w:eastAsia="lt-LT"/>
              </w:rPr>
            </w:pPr>
          </w:p>
          <w:p w:rsidR="0044185B" w:rsidRPr="007500EA" w:rsidRDefault="0044185B" w:rsidP="00313A4F">
            <w:pPr>
              <w:ind w:firstLine="601"/>
              <w:jc w:val="both"/>
              <w:rPr>
                <w:rFonts w:ascii="Times New Roman" w:eastAsia="Times New Roman" w:hAnsi="Times New Roman" w:cs="Times New Roman"/>
                <w:color w:val="000000"/>
                <w:sz w:val="24"/>
                <w:szCs w:val="24"/>
                <w:lang w:eastAsia="lt-LT"/>
              </w:rPr>
            </w:pPr>
          </w:p>
          <w:p w:rsidR="0044185B" w:rsidRPr="007500EA" w:rsidRDefault="0044185B" w:rsidP="00313A4F">
            <w:pPr>
              <w:ind w:firstLine="601"/>
              <w:jc w:val="both"/>
              <w:rPr>
                <w:rFonts w:ascii="Times New Roman" w:eastAsia="Times New Roman" w:hAnsi="Times New Roman" w:cs="Times New Roman"/>
                <w:color w:val="000000"/>
                <w:sz w:val="24"/>
                <w:szCs w:val="24"/>
                <w:lang w:eastAsia="lt-LT"/>
              </w:rPr>
            </w:pPr>
          </w:p>
          <w:p w:rsidR="0044185B" w:rsidRPr="007500EA" w:rsidRDefault="0044185B" w:rsidP="00313A4F">
            <w:pPr>
              <w:ind w:firstLine="601"/>
              <w:jc w:val="both"/>
              <w:rPr>
                <w:rFonts w:ascii="Times New Roman" w:eastAsia="Times New Roman" w:hAnsi="Times New Roman" w:cs="Times New Roman"/>
                <w:color w:val="000000"/>
                <w:sz w:val="24"/>
                <w:szCs w:val="24"/>
                <w:lang w:eastAsia="lt-LT"/>
              </w:rPr>
            </w:pPr>
          </w:p>
          <w:p w:rsidR="0044185B" w:rsidRPr="007500EA" w:rsidRDefault="0044185B" w:rsidP="00313A4F">
            <w:pPr>
              <w:ind w:firstLine="601"/>
              <w:jc w:val="both"/>
              <w:rPr>
                <w:rFonts w:ascii="Times New Roman" w:eastAsia="Times New Roman" w:hAnsi="Times New Roman" w:cs="Times New Roman"/>
                <w:color w:val="000000"/>
                <w:sz w:val="24"/>
                <w:szCs w:val="24"/>
                <w:lang w:eastAsia="lt-LT"/>
              </w:rPr>
            </w:pPr>
          </w:p>
          <w:p w:rsidR="0044185B" w:rsidRPr="007500EA" w:rsidRDefault="0044185B" w:rsidP="00313A4F">
            <w:pPr>
              <w:ind w:firstLine="601"/>
              <w:jc w:val="both"/>
              <w:rPr>
                <w:rFonts w:ascii="Times New Roman" w:eastAsia="Times New Roman" w:hAnsi="Times New Roman" w:cs="Times New Roman"/>
                <w:color w:val="000000"/>
                <w:sz w:val="24"/>
                <w:szCs w:val="24"/>
                <w:lang w:eastAsia="lt-LT"/>
              </w:rPr>
            </w:pPr>
          </w:p>
          <w:p w:rsidR="00313A4F" w:rsidRPr="007500EA" w:rsidRDefault="00D96ADE" w:rsidP="00313A4F">
            <w:pPr>
              <w:ind w:firstLine="60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313A4F" w:rsidRPr="007500EA">
              <w:rPr>
                <w:rFonts w:ascii="Times New Roman" w:eastAsia="Times New Roman" w:hAnsi="Times New Roman" w:cs="Times New Roman"/>
                <w:color w:val="000000"/>
                <w:sz w:val="24"/>
                <w:szCs w:val="24"/>
                <w:lang w:eastAsia="lt-LT"/>
              </w:rPr>
              <w:t xml:space="preserve"> 2 dalies 2 punkte vietoj žodžių „pareikšti įtarimai“ siūlome rašyti „vykdomas baudžiamasis persekiojimas“;</w:t>
            </w:r>
          </w:p>
          <w:p w:rsidR="0044185B" w:rsidRPr="007500EA" w:rsidRDefault="0044185B" w:rsidP="00313A4F">
            <w:pPr>
              <w:ind w:firstLine="601"/>
              <w:jc w:val="both"/>
              <w:rPr>
                <w:rFonts w:ascii="Times New Roman" w:eastAsia="Times New Roman" w:hAnsi="Times New Roman" w:cs="Times New Roman"/>
                <w:color w:val="000000"/>
                <w:sz w:val="24"/>
                <w:szCs w:val="24"/>
                <w:lang w:eastAsia="lt-LT"/>
              </w:rPr>
            </w:pPr>
          </w:p>
          <w:p w:rsidR="00590DCE" w:rsidRPr="007500EA" w:rsidRDefault="00590DCE" w:rsidP="00313A4F">
            <w:pPr>
              <w:ind w:firstLine="601"/>
              <w:jc w:val="both"/>
              <w:rPr>
                <w:rFonts w:ascii="Times New Roman" w:eastAsia="Times New Roman" w:hAnsi="Times New Roman" w:cs="Times New Roman"/>
                <w:color w:val="000000"/>
                <w:sz w:val="24"/>
                <w:szCs w:val="24"/>
                <w:lang w:eastAsia="lt-LT"/>
              </w:rPr>
            </w:pPr>
          </w:p>
          <w:p w:rsidR="00590DCE" w:rsidRPr="007500EA" w:rsidRDefault="00590DCE" w:rsidP="00313A4F">
            <w:pPr>
              <w:ind w:firstLine="601"/>
              <w:jc w:val="both"/>
              <w:rPr>
                <w:rFonts w:ascii="Times New Roman" w:eastAsia="Times New Roman" w:hAnsi="Times New Roman" w:cs="Times New Roman"/>
                <w:color w:val="000000"/>
                <w:sz w:val="24"/>
                <w:szCs w:val="24"/>
                <w:lang w:eastAsia="lt-LT"/>
              </w:rPr>
            </w:pPr>
          </w:p>
          <w:p w:rsidR="00590DCE" w:rsidRPr="007500EA" w:rsidRDefault="00590DCE" w:rsidP="00313A4F">
            <w:pPr>
              <w:ind w:firstLine="601"/>
              <w:jc w:val="both"/>
              <w:rPr>
                <w:rFonts w:ascii="Times New Roman" w:eastAsia="Times New Roman" w:hAnsi="Times New Roman" w:cs="Times New Roman"/>
                <w:color w:val="000000"/>
                <w:sz w:val="24"/>
                <w:szCs w:val="24"/>
                <w:lang w:eastAsia="lt-LT"/>
              </w:rPr>
            </w:pPr>
          </w:p>
          <w:p w:rsidR="00590DCE" w:rsidRPr="007500EA" w:rsidRDefault="00590DCE" w:rsidP="00313A4F">
            <w:pPr>
              <w:ind w:firstLine="601"/>
              <w:jc w:val="both"/>
              <w:rPr>
                <w:rFonts w:ascii="Times New Roman" w:eastAsia="Times New Roman" w:hAnsi="Times New Roman" w:cs="Times New Roman"/>
                <w:color w:val="000000"/>
                <w:sz w:val="24"/>
                <w:szCs w:val="24"/>
                <w:lang w:eastAsia="lt-LT"/>
              </w:rPr>
            </w:pPr>
          </w:p>
          <w:p w:rsidR="00590DCE" w:rsidRPr="007500EA" w:rsidRDefault="00590DCE" w:rsidP="00313A4F">
            <w:pPr>
              <w:ind w:firstLine="601"/>
              <w:jc w:val="both"/>
              <w:rPr>
                <w:rFonts w:ascii="Times New Roman" w:eastAsia="Times New Roman" w:hAnsi="Times New Roman" w:cs="Times New Roman"/>
                <w:color w:val="000000"/>
                <w:sz w:val="24"/>
                <w:szCs w:val="24"/>
                <w:lang w:eastAsia="lt-LT"/>
              </w:rPr>
            </w:pPr>
          </w:p>
          <w:p w:rsidR="00590DCE" w:rsidRPr="007500EA" w:rsidRDefault="00590DCE" w:rsidP="00313A4F">
            <w:pPr>
              <w:ind w:firstLine="601"/>
              <w:jc w:val="both"/>
              <w:rPr>
                <w:rFonts w:ascii="Times New Roman" w:eastAsia="Times New Roman" w:hAnsi="Times New Roman" w:cs="Times New Roman"/>
                <w:color w:val="000000"/>
                <w:sz w:val="24"/>
                <w:szCs w:val="24"/>
                <w:lang w:eastAsia="lt-LT"/>
              </w:rPr>
            </w:pPr>
          </w:p>
          <w:p w:rsidR="00590DCE" w:rsidRPr="007500EA" w:rsidRDefault="00590DCE" w:rsidP="00313A4F">
            <w:pPr>
              <w:ind w:firstLine="601"/>
              <w:jc w:val="both"/>
              <w:rPr>
                <w:rFonts w:ascii="Times New Roman" w:eastAsia="Times New Roman" w:hAnsi="Times New Roman" w:cs="Times New Roman"/>
                <w:color w:val="000000"/>
                <w:sz w:val="24"/>
                <w:szCs w:val="24"/>
                <w:lang w:eastAsia="lt-LT"/>
              </w:rPr>
            </w:pPr>
          </w:p>
          <w:p w:rsidR="00590DCE" w:rsidRPr="007500EA" w:rsidRDefault="00590DCE" w:rsidP="00313A4F">
            <w:pPr>
              <w:ind w:firstLine="601"/>
              <w:jc w:val="both"/>
              <w:rPr>
                <w:rFonts w:ascii="Times New Roman" w:eastAsia="Times New Roman" w:hAnsi="Times New Roman" w:cs="Times New Roman"/>
                <w:color w:val="000000"/>
                <w:sz w:val="24"/>
                <w:szCs w:val="24"/>
                <w:lang w:eastAsia="lt-LT"/>
              </w:rPr>
            </w:pPr>
          </w:p>
          <w:p w:rsidR="00590DCE" w:rsidRPr="007500EA" w:rsidRDefault="00590DCE" w:rsidP="00313A4F">
            <w:pPr>
              <w:ind w:firstLine="601"/>
              <w:jc w:val="both"/>
              <w:rPr>
                <w:rFonts w:ascii="Times New Roman" w:eastAsia="Times New Roman" w:hAnsi="Times New Roman" w:cs="Times New Roman"/>
                <w:color w:val="000000"/>
                <w:sz w:val="24"/>
                <w:szCs w:val="24"/>
                <w:lang w:eastAsia="lt-LT"/>
              </w:rPr>
            </w:pPr>
          </w:p>
          <w:p w:rsidR="00313A4F" w:rsidRPr="007500EA" w:rsidRDefault="00D96ADE" w:rsidP="00313A4F">
            <w:pPr>
              <w:ind w:firstLine="60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313A4F" w:rsidRPr="007500EA">
              <w:rPr>
                <w:rFonts w:ascii="Times New Roman" w:eastAsia="Times New Roman" w:hAnsi="Times New Roman" w:cs="Times New Roman"/>
                <w:color w:val="000000"/>
                <w:sz w:val="24"/>
                <w:szCs w:val="24"/>
                <w:lang w:eastAsia="lt-LT"/>
              </w:rPr>
              <w:t xml:space="preserve"> 5 ir 6 punktai turėtų būti suderintomis su analogiškomis 50 straipsnio 1 dalies (kaip ją siūloma keisti Projektu) nuostatomis, numatant papildomą sąlygą „vyksta ginčas“;</w:t>
            </w:r>
          </w:p>
          <w:p w:rsidR="00CC71A3" w:rsidRPr="007500EA" w:rsidRDefault="00CC71A3" w:rsidP="00313A4F">
            <w:pPr>
              <w:ind w:firstLine="601"/>
              <w:jc w:val="both"/>
              <w:rPr>
                <w:rFonts w:ascii="Times New Roman" w:eastAsia="Times New Roman" w:hAnsi="Times New Roman" w:cs="Times New Roman"/>
                <w:color w:val="000000"/>
                <w:sz w:val="24"/>
                <w:szCs w:val="24"/>
                <w:lang w:eastAsia="lt-LT"/>
              </w:rPr>
            </w:pPr>
          </w:p>
          <w:p w:rsidR="00CC71A3" w:rsidRPr="007500EA" w:rsidRDefault="00CC71A3" w:rsidP="00313A4F">
            <w:pPr>
              <w:ind w:firstLine="601"/>
              <w:jc w:val="both"/>
              <w:rPr>
                <w:rFonts w:ascii="Times New Roman" w:eastAsia="Times New Roman" w:hAnsi="Times New Roman" w:cs="Times New Roman"/>
                <w:color w:val="000000"/>
                <w:sz w:val="24"/>
                <w:szCs w:val="24"/>
                <w:lang w:eastAsia="lt-LT"/>
              </w:rPr>
            </w:pPr>
          </w:p>
          <w:p w:rsidR="00CC71A3" w:rsidRPr="007500EA" w:rsidRDefault="00CC71A3" w:rsidP="00313A4F">
            <w:pPr>
              <w:ind w:firstLine="601"/>
              <w:jc w:val="both"/>
              <w:rPr>
                <w:rFonts w:ascii="Times New Roman" w:eastAsia="Times New Roman" w:hAnsi="Times New Roman" w:cs="Times New Roman"/>
                <w:color w:val="000000"/>
                <w:sz w:val="24"/>
                <w:szCs w:val="24"/>
                <w:lang w:eastAsia="lt-LT"/>
              </w:rPr>
            </w:pPr>
          </w:p>
          <w:p w:rsidR="00CC71A3" w:rsidRPr="007500EA" w:rsidRDefault="00CC71A3" w:rsidP="00313A4F">
            <w:pPr>
              <w:ind w:firstLine="601"/>
              <w:jc w:val="both"/>
              <w:rPr>
                <w:rFonts w:ascii="Times New Roman" w:eastAsia="Times New Roman" w:hAnsi="Times New Roman" w:cs="Times New Roman"/>
                <w:color w:val="000000"/>
                <w:sz w:val="24"/>
                <w:szCs w:val="24"/>
                <w:lang w:eastAsia="lt-LT"/>
              </w:rPr>
            </w:pPr>
          </w:p>
          <w:p w:rsidR="00CC71A3" w:rsidRPr="007500EA" w:rsidRDefault="00CC71A3" w:rsidP="00313A4F">
            <w:pPr>
              <w:ind w:firstLine="601"/>
              <w:jc w:val="both"/>
              <w:rPr>
                <w:rFonts w:ascii="Times New Roman" w:eastAsia="Times New Roman" w:hAnsi="Times New Roman" w:cs="Times New Roman"/>
                <w:color w:val="000000"/>
                <w:sz w:val="24"/>
                <w:szCs w:val="24"/>
                <w:lang w:eastAsia="lt-LT"/>
              </w:rPr>
            </w:pPr>
          </w:p>
          <w:p w:rsidR="00CC71A3" w:rsidRPr="007500EA" w:rsidRDefault="00CC71A3" w:rsidP="00313A4F">
            <w:pPr>
              <w:ind w:firstLine="601"/>
              <w:jc w:val="both"/>
              <w:rPr>
                <w:rFonts w:ascii="Times New Roman" w:eastAsia="Times New Roman" w:hAnsi="Times New Roman" w:cs="Times New Roman"/>
                <w:color w:val="000000"/>
                <w:sz w:val="24"/>
                <w:szCs w:val="24"/>
                <w:lang w:eastAsia="lt-LT"/>
              </w:rPr>
            </w:pPr>
          </w:p>
          <w:p w:rsidR="00CC71A3" w:rsidRPr="007500EA" w:rsidRDefault="00CC71A3" w:rsidP="00313A4F">
            <w:pPr>
              <w:ind w:firstLine="601"/>
              <w:jc w:val="both"/>
              <w:rPr>
                <w:rFonts w:ascii="Times New Roman" w:eastAsia="Times New Roman" w:hAnsi="Times New Roman" w:cs="Times New Roman"/>
                <w:color w:val="000000"/>
                <w:sz w:val="24"/>
                <w:szCs w:val="24"/>
                <w:lang w:eastAsia="lt-LT"/>
              </w:rPr>
            </w:pPr>
          </w:p>
          <w:p w:rsidR="00CC71A3" w:rsidRPr="007500EA" w:rsidRDefault="00CC71A3" w:rsidP="00313A4F">
            <w:pPr>
              <w:ind w:firstLine="601"/>
              <w:jc w:val="both"/>
              <w:rPr>
                <w:rFonts w:ascii="Times New Roman" w:eastAsia="Times New Roman" w:hAnsi="Times New Roman" w:cs="Times New Roman"/>
                <w:color w:val="000000"/>
                <w:sz w:val="24"/>
                <w:szCs w:val="24"/>
                <w:lang w:eastAsia="lt-LT"/>
              </w:rPr>
            </w:pPr>
          </w:p>
          <w:p w:rsidR="00CC71A3" w:rsidRPr="007500EA" w:rsidRDefault="00CC71A3" w:rsidP="00313A4F">
            <w:pPr>
              <w:ind w:firstLine="601"/>
              <w:jc w:val="both"/>
              <w:rPr>
                <w:rFonts w:ascii="Times New Roman" w:eastAsia="Times New Roman" w:hAnsi="Times New Roman" w:cs="Times New Roman"/>
                <w:color w:val="000000"/>
                <w:sz w:val="24"/>
                <w:szCs w:val="24"/>
                <w:lang w:eastAsia="lt-LT"/>
              </w:rPr>
            </w:pPr>
          </w:p>
          <w:p w:rsidR="00313A4F" w:rsidRPr="007500EA" w:rsidRDefault="00D96ADE" w:rsidP="00313A4F">
            <w:pPr>
              <w:ind w:firstLine="60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313A4F" w:rsidRPr="007500EA">
              <w:rPr>
                <w:rFonts w:ascii="Times New Roman" w:eastAsia="Times New Roman" w:hAnsi="Times New Roman" w:cs="Times New Roman"/>
                <w:color w:val="000000"/>
                <w:sz w:val="24"/>
                <w:szCs w:val="24"/>
                <w:lang w:eastAsia="lt-LT"/>
              </w:rPr>
              <w:t xml:space="preserve"> derinant su UTPĮ nuostatomis 7 punkte žodį „įvertinta“ siūlome keisti žodžiu „nustatyta“;</w:t>
            </w: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067D08" w:rsidRPr="007500EA" w:rsidRDefault="00067D08" w:rsidP="00313A4F">
            <w:pPr>
              <w:ind w:firstLine="601"/>
              <w:jc w:val="both"/>
              <w:rPr>
                <w:rFonts w:ascii="Times New Roman" w:eastAsia="Times New Roman" w:hAnsi="Times New Roman" w:cs="Times New Roman"/>
                <w:color w:val="000000"/>
                <w:sz w:val="24"/>
                <w:szCs w:val="24"/>
                <w:lang w:eastAsia="lt-LT"/>
              </w:rPr>
            </w:pPr>
          </w:p>
          <w:p w:rsidR="00313A4F" w:rsidRPr="007500EA" w:rsidRDefault="00D96ADE" w:rsidP="00313A4F">
            <w:pPr>
              <w:ind w:firstLine="60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w:t>
            </w:r>
            <w:r w:rsidR="00313A4F" w:rsidRPr="007500EA">
              <w:rPr>
                <w:rFonts w:ascii="Times New Roman" w:eastAsia="Times New Roman" w:hAnsi="Times New Roman" w:cs="Times New Roman"/>
                <w:color w:val="000000"/>
                <w:sz w:val="24"/>
                <w:szCs w:val="24"/>
                <w:lang w:eastAsia="lt-LT"/>
              </w:rPr>
              <w:t xml:space="preserve"> siūlome atsisakyti 10 punkto arba jį keisti iš esmės, nes tai užkirstų kelią į patvirtintų įmonių sąrašą įtraukti įmones, kurios norėtų pirmą kartą pasikviesti užsieniečius;</w:t>
            </w:r>
          </w:p>
          <w:p w:rsidR="00CC5F52" w:rsidRPr="007500EA" w:rsidRDefault="00CC5F52" w:rsidP="00313A4F">
            <w:pPr>
              <w:ind w:firstLine="601"/>
              <w:jc w:val="both"/>
              <w:rPr>
                <w:rFonts w:ascii="Times New Roman" w:eastAsia="Times New Roman" w:hAnsi="Times New Roman" w:cs="Times New Roman"/>
                <w:color w:val="000000"/>
                <w:sz w:val="24"/>
                <w:szCs w:val="24"/>
                <w:lang w:eastAsia="lt-LT"/>
              </w:rPr>
            </w:pPr>
          </w:p>
          <w:p w:rsidR="00CC5F52" w:rsidRPr="007500EA" w:rsidRDefault="00CC5F52" w:rsidP="00313A4F">
            <w:pPr>
              <w:ind w:firstLine="601"/>
              <w:jc w:val="both"/>
              <w:rPr>
                <w:rFonts w:ascii="Times New Roman" w:eastAsia="Times New Roman" w:hAnsi="Times New Roman" w:cs="Times New Roman"/>
                <w:color w:val="000000"/>
                <w:sz w:val="24"/>
                <w:szCs w:val="24"/>
                <w:lang w:eastAsia="lt-LT"/>
              </w:rPr>
            </w:pPr>
          </w:p>
          <w:p w:rsidR="00CC5F52" w:rsidRPr="007500EA" w:rsidRDefault="00CC5F52" w:rsidP="00313A4F">
            <w:pPr>
              <w:ind w:firstLine="601"/>
              <w:jc w:val="both"/>
              <w:rPr>
                <w:rFonts w:ascii="Times New Roman" w:eastAsia="Times New Roman" w:hAnsi="Times New Roman" w:cs="Times New Roman"/>
                <w:color w:val="000000"/>
                <w:sz w:val="24"/>
                <w:szCs w:val="24"/>
                <w:lang w:eastAsia="lt-LT"/>
              </w:rPr>
            </w:pPr>
          </w:p>
          <w:p w:rsidR="00CC5F52" w:rsidRPr="007500EA" w:rsidRDefault="00CC5F52" w:rsidP="00313A4F">
            <w:pPr>
              <w:ind w:firstLine="601"/>
              <w:jc w:val="both"/>
              <w:rPr>
                <w:rFonts w:ascii="Times New Roman" w:eastAsia="Times New Roman" w:hAnsi="Times New Roman" w:cs="Times New Roman"/>
                <w:color w:val="000000"/>
                <w:sz w:val="24"/>
                <w:szCs w:val="24"/>
                <w:lang w:eastAsia="lt-LT"/>
              </w:rPr>
            </w:pPr>
          </w:p>
          <w:p w:rsidR="00CC5F52" w:rsidRPr="007500EA" w:rsidRDefault="00CC5F52" w:rsidP="00313A4F">
            <w:pPr>
              <w:ind w:firstLine="601"/>
              <w:jc w:val="both"/>
              <w:rPr>
                <w:rFonts w:ascii="Times New Roman" w:eastAsia="Times New Roman" w:hAnsi="Times New Roman" w:cs="Times New Roman"/>
                <w:color w:val="000000"/>
                <w:sz w:val="24"/>
                <w:szCs w:val="24"/>
                <w:lang w:eastAsia="lt-LT"/>
              </w:rPr>
            </w:pPr>
          </w:p>
          <w:p w:rsidR="00CC5F52" w:rsidRPr="007500EA" w:rsidRDefault="00CC5F52" w:rsidP="00313A4F">
            <w:pPr>
              <w:ind w:firstLine="601"/>
              <w:jc w:val="both"/>
              <w:rPr>
                <w:rFonts w:ascii="Times New Roman" w:eastAsia="Times New Roman" w:hAnsi="Times New Roman" w:cs="Times New Roman"/>
                <w:color w:val="000000"/>
                <w:sz w:val="24"/>
                <w:szCs w:val="24"/>
                <w:lang w:eastAsia="lt-LT"/>
              </w:rPr>
            </w:pPr>
          </w:p>
          <w:p w:rsidR="00CC5F52" w:rsidRPr="007500EA" w:rsidRDefault="00CC5F52" w:rsidP="00313A4F">
            <w:pPr>
              <w:ind w:firstLine="601"/>
              <w:jc w:val="both"/>
              <w:rPr>
                <w:rFonts w:ascii="Times New Roman" w:eastAsia="Times New Roman" w:hAnsi="Times New Roman" w:cs="Times New Roman"/>
                <w:color w:val="000000"/>
                <w:sz w:val="24"/>
                <w:szCs w:val="24"/>
                <w:lang w:eastAsia="lt-LT"/>
              </w:rPr>
            </w:pPr>
          </w:p>
          <w:p w:rsidR="00CC5F52" w:rsidRPr="007500EA" w:rsidRDefault="00CC5F52" w:rsidP="00313A4F">
            <w:pPr>
              <w:ind w:firstLine="601"/>
              <w:jc w:val="both"/>
              <w:rPr>
                <w:rFonts w:ascii="Times New Roman" w:eastAsia="Times New Roman" w:hAnsi="Times New Roman" w:cs="Times New Roman"/>
                <w:color w:val="000000"/>
                <w:sz w:val="24"/>
                <w:szCs w:val="24"/>
                <w:lang w:eastAsia="lt-LT"/>
              </w:rPr>
            </w:pPr>
          </w:p>
          <w:p w:rsidR="00313A4F" w:rsidRPr="007500EA" w:rsidRDefault="00D96ADE" w:rsidP="00AB06C5">
            <w:pPr>
              <w:ind w:firstLine="601"/>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lt-LT"/>
              </w:rPr>
              <w:t>–</w:t>
            </w:r>
            <w:r w:rsidR="00313A4F" w:rsidRPr="007500EA">
              <w:rPr>
                <w:rFonts w:ascii="Times New Roman" w:eastAsia="Times New Roman" w:hAnsi="Times New Roman" w:cs="Times New Roman"/>
                <w:color w:val="000000"/>
                <w:sz w:val="24"/>
                <w:szCs w:val="24"/>
                <w:lang w:eastAsia="lt-LT"/>
              </w:rPr>
              <w:t xml:space="preserve"> 5 dalyje reikėtų patikslinti (darant nuorodą ar kitaip), kokios nacionalinių vizų išdavimo lengvatos gali būti taikomos.</w:t>
            </w:r>
          </w:p>
        </w:tc>
        <w:tc>
          <w:tcPr>
            <w:tcW w:w="6521" w:type="dxa"/>
          </w:tcPr>
          <w:p w:rsidR="00CB4A85" w:rsidRPr="007500EA" w:rsidRDefault="00CB4A85" w:rsidP="00747FA0">
            <w:pPr>
              <w:jc w:val="both"/>
              <w:rPr>
                <w:rFonts w:ascii="Times New Roman" w:eastAsia="Calibri" w:hAnsi="Times New Roman" w:cs="Times New Roman"/>
                <w:b/>
                <w:sz w:val="24"/>
                <w:szCs w:val="24"/>
              </w:rPr>
            </w:pPr>
          </w:p>
          <w:p w:rsidR="00CB4A85" w:rsidRPr="007500EA" w:rsidRDefault="00CB4A85" w:rsidP="00747FA0">
            <w:pPr>
              <w:jc w:val="both"/>
              <w:rPr>
                <w:rFonts w:ascii="Times New Roman" w:eastAsia="Calibri" w:hAnsi="Times New Roman" w:cs="Times New Roman"/>
                <w:b/>
                <w:sz w:val="24"/>
                <w:szCs w:val="24"/>
              </w:rPr>
            </w:pPr>
          </w:p>
          <w:p w:rsidR="00A73F0F" w:rsidRPr="007500EA" w:rsidRDefault="00E71FA5" w:rsidP="00747FA0">
            <w:pPr>
              <w:jc w:val="both"/>
              <w:rPr>
                <w:rFonts w:ascii="Times New Roman" w:hAnsi="Times New Roman"/>
                <w:bCs/>
                <w:sz w:val="24"/>
                <w:szCs w:val="24"/>
              </w:rPr>
            </w:pPr>
            <w:r w:rsidRPr="007500EA">
              <w:rPr>
                <w:rFonts w:ascii="Times New Roman" w:eastAsia="Calibri" w:hAnsi="Times New Roman" w:cs="Times New Roman"/>
                <w:b/>
                <w:sz w:val="24"/>
                <w:szCs w:val="24"/>
              </w:rPr>
              <w:lastRenderedPageBreak/>
              <w:t xml:space="preserve">Neatsižvelgta. </w:t>
            </w:r>
            <w:r w:rsidR="00A73F0F" w:rsidRPr="007500EA">
              <w:rPr>
                <w:rFonts w:ascii="Times New Roman" w:eastAsia="Calibri" w:hAnsi="Times New Roman" w:cs="Times New Roman"/>
                <w:sz w:val="24"/>
                <w:szCs w:val="24"/>
              </w:rPr>
              <w:t>Iš</w:t>
            </w:r>
            <w:r w:rsidRPr="007500EA">
              <w:rPr>
                <w:rFonts w:ascii="Times New Roman" w:eastAsia="Calibri" w:hAnsi="Times New Roman" w:cs="Times New Roman"/>
                <w:sz w:val="24"/>
                <w:szCs w:val="24"/>
              </w:rPr>
              <w:t xml:space="preserve"> </w:t>
            </w:r>
            <w:r w:rsidR="00A73F0F" w:rsidRPr="007500EA">
              <w:rPr>
                <w:rFonts w:ascii="Times New Roman" w:eastAsia="Calibri" w:hAnsi="Times New Roman" w:cs="Times New Roman"/>
                <w:sz w:val="24"/>
                <w:szCs w:val="24"/>
              </w:rPr>
              <w:t>UTPĮ projekte dėstomos 63</w:t>
            </w:r>
            <w:r w:rsidR="00A73F0F" w:rsidRPr="007500EA">
              <w:rPr>
                <w:rFonts w:ascii="Times New Roman" w:eastAsia="Calibri" w:hAnsi="Times New Roman" w:cs="Times New Roman"/>
                <w:sz w:val="24"/>
                <w:szCs w:val="24"/>
                <w:vertAlign w:val="superscript"/>
              </w:rPr>
              <w:t>1</w:t>
            </w:r>
            <w:r w:rsidR="00A73F0F" w:rsidRPr="007500EA">
              <w:rPr>
                <w:rFonts w:ascii="Times New Roman" w:eastAsia="Calibri" w:hAnsi="Times New Roman" w:cs="Times New Roman"/>
                <w:sz w:val="24"/>
                <w:szCs w:val="24"/>
              </w:rPr>
              <w:t xml:space="preserve"> straipsnio 1 dalies formuluotės, kad </w:t>
            </w:r>
            <w:r w:rsidR="00A73F0F" w:rsidRPr="007500EA">
              <w:rPr>
                <w:rFonts w:ascii="Times New Roman" w:hAnsi="Times New Roman"/>
                <w:bCs/>
                <w:sz w:val="24"/>
                <w:szCs w:val="24"/>
              </w:rPr>
              <w:t>į patvirtintų įmonių sąrašą įmonės, įskaitant priimančiąsias įmones, įsteigtas Lietuvos Respublikoje, atitinkančios vidaus reikalų ministro nustatytus įtraukimo į patvirtintų įmonių sąrašą kriterijus, jų prašymu vidaus reikalų ministro nustatyta tvarka įtraukiamos trejiems metams, visiškai aišku</w:t>
            </w:r>
            <w:r w:rsidR="00D96ADE">
              <w:rPr>
                <w:rFonts w:ascii="Times New Roman" w:hAnsi="Times New Roman"/>
                <w:bCs/>
                <w:sz w:val="24"/>
                <w:szCs w:val="24"/>
              </w:rPr>
              <w:t>,</w:t>
            </w:r>
            <w:r w:rsidR="00A73F0F" w:rsidRPr="007500EA">
              <w:rPr>
                <w:rFonts w:ascii="Times New Roman" w:hAnsi="Times New Roman"/>
                <w:bCs/>
                <w:sz w:val="24"/>
                <w:szCs w:val="24"/>
              </w:rPr>
              <w:t xml:space="preserve"> kokios įmonės gali būti laikomos patvirtintomis įmonėmis, tad manome, kad netikslinga įstatyme nustatyti patvirtintos įmonės sąvok</w:t>
            </w:r>
            <w:r w:rsidR="007748C6" w:rsidRPr="007500EA">
              <w:rPr>
                <w:rFonts w:ascii="Times New Roman" w:hAnsi="Times New Roman"/>
                <w:bCs/>
                <w:sz w:val="24"/>
                <w:szCs w:val="24"/>
              </w:rPr>
              <w:t>ą</w:t>
            </w:r>
            <w:r w:rsidR="00A73F0F" w:rsidRPr="007500EA">
              <w:rPr>
                <w:rFonts w:ascii="Times New Roman" w:hAnsi="Times New Roman"/>
                <w:bCs/>
                <w:sz w:val="24"/>
                <w:szCs w:val="24"/>
              </w:rPr>
              <w:t xml:space="preserve"> ir apibrėžim</w:t>
            </w:r>
            <w:r w:rsidR="007748C6" w:rsidRPr="007500EA">
              <w:rPr>
                <w:rFonts w:ascii="Times New Roman" w:hAnsi="Times New Roman"/>
                <w:bCs/>
                <w:sz w:val="24"/>
                <w:szCs w:val="24"/>
              </w:rPr>
              <w:t>ą</w:t>
            </w:r>
            <w:r w:rsidR="00A73F0F" w:rsidRPr="007500EA">
              <w:rPr>
                <w:rFonts w:ascii="Times New Roman" w:hAnsi="Times New Roman"/>
                <w:bCs/>
                <w:sz w:val="24"/>
                <w:szCs w:val="24"/>
              </w:rPr>
              <w:t>. Tai būtų perteklinė nuostata.</w:t>
            </w:r>
          </w:p>
          <w:p w:rsidR="00A73F0F" w:rsidRPr="007500EA" w:rsidRDefault="00A73F0F" w:rsidP="00747FA0">
            <w:pPr>
              <w:jc w:val="both"/>
              <w:rPr>
                <w:rFonts w:ascii="Times New Roman" w:eastAsia="Calibri" w:hAnsi="Times New Roman" w:cs="Times New Roman"/>
                <w:sz w:val="24"/>
                <w:szCs w:val="24"/>
              </w:rPr>
            </w:pPr>
          </w:p>
          <w:p w:rsidR="00747FA0" w:rsidRPr="007500EA" w:rsidRDefault="00A73F0F" w:rsidP="00747FA0">
            <w:pPr>
              <w:jc w:val="both"/>
              <w:rPr>
                <w:rFonts w:ascii="Times New Roman" w:eastAsia="Calibri" w:hAnsi="Times New Roman" w:cs="Times New Roman"/>
                <w:sz w:val="24"/>
                <w:szCs w:val="24"/>
              </w:rPr>
            </w:pPr>
            <w:r w:rsidRPr="007500EA">
              <w:rPr>
                <w:rFonts w:ascii="Times New Roman" w:eastAsia="Calibri" w:hAnsi="Times New Roman" w:cs="Times New Roman"/>
                <w:b/>
                <w:sz w:val="24"/>
                <w:szCs w:val="24"/>
              </w:rPr>
              <w:t>Neatsižvelgta.</w:t>
            </w:r>
            <w:r w:rsidRPr="007500EA">
              <w:rPr>
                <w:rFonts w:ascii="Times New Roman" w:eastAsia="Calibri" w:hAnsi="Times New Roman" w:cs="Times New Roman"/>
                <w:sz w:val="24"/>
                <w:szCs w:val="24"/>
              </w:rPr>
              <w:t xml:space="preserve"> Šis p</w:t>
            </w:r>
            <w:r w:rsidR="00747FA0" w:rsidRPr="007500EA">
              <w:rPr>
                <w:rFonts w:ascii="Times New Roman" w:eastAsia="Calibri" w:hAnsi="Times New Roman" w:cs="Times New Roman"/>
                <w:sz w:val="24"/>
                <w:szCs w:val="24"/>
              </w:rPr>
              <w:t>asiūlymas buvo svarstytas LRVK</w:t>
            </w:r>
            <w:r w:rsidRPr="007500EA">
              <w:rPr>
                <w:rFonts w:ascii="Times New Roman" w:eastAsia="Calibri" w:hAnsi="Times New Roman" w:cs="Times New Roman"/>
                <w:sz w:val="24"/>
                <w:szCs w:val="24"/>
              </w:rPr>
              <w:t xml:space="preserve"> pasitarime</w:t>
            </w:r>
            <w:r w:rsidR="00747FA0" w:rsidRPr="007500EA">
              <w:rPr>
                <w:rFonts w:ascii="Times New Roman" w:eastAsia="Calibri" w:hAnsi="Times New Roman" w:cs="Times New Roman"/>
                <w:sz w:val="24"/>
                <w:szCs w:val="24"/>
              </w:rPr>
              <w:t>,</w:t>
            </w:r>
            <w:r w:rsidRPr="007500EA">
              <w:rPr>
                <w:rFonts w:ascii="Times New Roman" w:eastAsia="Calibri" w:hAnsi="Times New Roman" w:cs="Times New Roman"/>
                <w:sz w:val="24"/>
                <w:szCs w:val="24"/>
              </w:rPr>
              <w:t xml:space="preserve"> kuriame</w:t>
            </w:r>
            <w:r w:rsidR="00747FA0" w:rsidRPr="007500EA">
              <w:rPr>
                <w:rFonts w:ascii="Times New Roman" w:eastAsia="Calibri" w:hAnsi="Times New Roman" w:cs="Times New Roman"/>
                <w:sz w:val="24"/>
                <w:szCs w:val="24"/>
              </w:rPr>
              <w:t xml:space="preserve"> buvo nuspręsta į </w:t>
            </w:r>
            <w:r w:rsidR="00D96ADE">
              <w:rPr>
                <w:rFonts w:ascii="Times New Roman" w:eastAsia="Calibri" w:hAnsi="Times New Roman" w:cs="Times New Roman"/>
                <w:sz w:val="24"/>
                <w:szCs w:val="24"/>
              </w:rPr>
              <w:t>pa</w:t>
            </w:r>
            <w:r w:rsidR="00747FA0" w:rsidRPr="007500EA">
              <w:rPr>
                <w:rFonts w:ascii="Times New Roman" w:eastAsia="Calibri" w:hAnsi="Times New Roman" w:cs="Times New Roman"/>
                <w:sz w:val="24"/>
                <w:szCs w:val="24"/>
              </w:rPr>
              <w:t xml:space="preserve">siūlymą </w:t>
            </w:r>
            <w:r w:rsidR="00BE43E8" w:rsidRPr="007500EA">
              <w:rPr>
                <w:rFonts w:ascii="Times New Roman" w:eastAsia="Calibri" w:hAnsi="Times New Roman" w:cs="Times New Roman"/>
                <w:sz w:val="24"/>
                <w:szCs w:val="24"/>
              </w:rPr>
              <w:t>nea</w:t>
            </w:r>
            <w:r w:rsidR="00747FA0" w:rsidRPr="007500EA">
              <w:rPr>
                <w:rFonts w:ascii="Times New Roman" w:eastAsia="Calibri" w:hAnsi="Times New Roman" w:cs="Times New Roman"/>
                <w:sz w:val="24"/>
                <w:szCs w:val="24"/>
              </w:rPr>
              <w:t>tsižvelgti</w:t>
            </w:r>
            <w:r w:rsidR="00BE43E8" w:rsidRPr="007500EA">
              <w:rPr>
                <w:rFonts w:ascii="Times New Roman" w:eastAsia="Calibri" w:hAnsi="Times New Roman" w:cs="Times New Roman"/>
                <w:sz w:val="24"/>
                <w:szCs w:val="24"/>
              </w:rPr>
              <w:t>.</w:t>
            </w:r>
            <w:r w:rsidR="00747FA0" w:rsidRPr="007500EA">
              <w:rPr>
                <w:rFonts w:ascii="Times New Roman" w:eastAsia="Calibri" w:hAnsi="Times New Roman" w:cs="Times New Roman"/>
                <w:sz w:val="24"/>
                <w:szCs w:val="24"/>
              </w:rPr>
              <w:t xml:space="preserve"> </w:t>
            </w:r>
          </w:p>
          <w:p w:rsidR="00747FA0" w:rsidRPr="007500EA" w:rsidRDefault="00BE43E8" w:rsidP="00BE43E8">
            <w:pPr>
              <w:ind w:firstLine="459"/>
              <w:jc w:val="both"/>
              <w:rPr>
                <w:rFonts w:ascii="Times New Roman" w:hAnsi="Times New Roman" w:cs="Times New Roman"/>
                <w:sz w:val="24"/>
                <w:szCs w:val="24"/>
              </w:rPr>
            </w:pPr>
            <w:r w:rsidRPr="007500EA">
              <w:rPr>
                <w:rFonts w:ascii="Times New Roman" w:hAnsi="Times New Roman" w:cs="Times New Roman"/>
                <w:sz w:val="24"/>
                <w:szCs w:val="24"/>
              </w:rPr>
              <w:t>UTPĮ projekte t</w:t>
            </w:r>
            <w:r w:rsidR="00747FA0" w:rsidRPr="007500EA">
              <w:rPr>
                <w:rFonts w:ascii="Times New Roman" w:hAnsi="Times New Roman" w:cs="Times New Roman"/>
                <w:sz w:val="24"/>
                <w:szCs w:val="24"/>
              </w:rPr>
              <w:t>okia formuluotė atsirado atsižvelgiant į</w:t>
            </w:r>
            <w:r w:rsidRPr="007500EA">
              <w:rPr>
                <w:rFonts w:ascii="Times New Roman" w:hAnsi="Times New Roman" w:cs="Times New Roman"/>
                <w:sz w:val="24"/>
                <w:szCs w:val="24"/>
              </w:rPr>
              <w:t xml:space="preserve"> Ministro Pirmininko 2018 m. kovo 5 d. potvarkiu Nr. 43 sudarytos tarpinstitucinės darbo grupės</w:t>
            </w:r>
            <w:r w:rsidR="00747FA0" w:rsidRPr="007500EA">
              <w:rPr>
                <w:rFonts w:ascii="Times New Roman" w:hAnsi="Times New Roman" w:cs="Times New Roman"/>
                <w:sz w:val="24"/>
                <w:szCs w:val="24"/>
              </w:rPr>
              <w:t xml:space="preserve"> (vadovas D. Matulionis) pasiūlymus, kad įstatyme turi būti nustatyti pagrindiniai atvejai, kokios įmonės negali būti patvirtintų įmonių sąraše, o poįstatyminiuose </w:t>
            </w:r>
            <w:r w:rsidR="007748C6" w:rsidRPr="007500EA">
              <w:rPr>
                <w:rFonts w:ascii="Times New Roman" w:hAnsi="Times New Roman" w:cs="Times New Roman"/>
                <w:sz w:val="24"/>
                <w:szCs w:val="24"/>
              </w:rPr>
              <w:t xml:space="preserve">teisės </w:t>
            </w:r>
            <w:r w:rsidR="00747FA0" w:rsidRPr="007500EA">
              <w:rPr>
                <w:rFonts w:ascii="Times New Roman" w:hAnsi="Times New Roman" w:cs="Times New Roman"/>
                <w:sz w:val="24"/>
                <w:szCs w:val="24"/>
              </w:rPr>
              <w:t xml:space="preserve">aktuose </w:t>
            </w:r>
            <w:r w:rsidR="007748C6" w:rsidRPr="007500EA">
              <w:rPr>
                <w:rFonts w:ascii="Times New Roman" w:hAnsi="Times New Roman" w:cs="Times New Roman"/>
                <w:sz w:val="24"/>
                <w:szCs w:val="24"/>
              </w:rPr>
              <w:t xml:space="preserve">būtų </w:t>
            </w:r>
            <w:r w:rsidR="00747FA0" w:rsidRPr="007500EA">
              <w:rPr>
                <w:rFonts w:ascii="Times New Roman" w:hAnsi="Times New Roman" w:cs="Times New Roman"/>
                <w:sz w:val="24"/>
                <w:szCs w:val="24"/>
              </w:rPr>
              <w:t>nustatyt</w:t>
            </w:r>
            <w:r w:rsidR="007748C6" w:rsidRPr="007500EA">
              <w:rPr>
                <w:rFonts w:ascii="Times New Roman" w:hAnsi="Times New Roman" w:cs="Times New Roman"/>
                <w:sz w:val="24"/>
                <w:szCs w:val="24"/>
              </w:rPr>
              <w:t>i</w:t>
            </w:r>
            <w:r w:rsidR="00747FA0" w:rsidRPr="007500EA">
              <w:rPr>
                <w:rFonts w:ascii="Times New Roman" w:hAnsi="Times New Roman" w:cs="Times New Roman"/>
                <w:sz w:val="24"/>
                <w:szCs w:val="24"/>
              </w:rPr>
              <w:t xml:space="preserve"> konkre</w:t>
            </w:r>
            <w:r w:rsidR="007748C6" w:rsidRPr="007500EA">
              <w:rPr>
                <w:rFonts w:ascii="Times New Roman" w:hAnsi="Times New Roman" w:cs="Times New Roman"/>
                <w:sz w:val="24"/>
                <w:szCs w:val="24"/>
              </w:rPr>
              <w:t>tūs</w:t>
            </w:r>
            <w:r w:rsidR="00747FA0" w:rsidRPr="007500EA">
              <w:rPr>
                <w:rFonts w:ascii="Times New Roman" w:hAnsi="Times New Roman" w:cs="Times New Roman"/>
                <w:sz w:val="24"/>
                <w:szCs w:val="24"/>
              </w:rPr>
              <w:t xml:space="preserve"> kriterijus, kurie keičiantis situacijai ar įžvelgiant piktnaudžiavimo atvej</w:t>
            </w:r>
            <w:r w:rsidR="00D96ADE">
              <w:rPr>
                <w:rFonts w:ascii="Times New Roman" w:hAnsi="Times New Roman" w:cs="Times New Roman"/>
                <w:sz w:val="24"/>
                <w:szCs w:val="24"/>
              </w:rPr>
              <w:t>ų</w:t>
            </w:r>
            <w:r w:rsidR="00747FA0" w:rsidRPr="007500EA">
              <w:rPr>
                <w:rFonts w:ascii="Times New Roman" w:hAnsi="Times New Roman" w:cs="Times New Roman"/>
                <w:sz w:val="24"/>
                <w:szCs w:val="24"/>
              </w:rPr>
              <w:t xml:space="preserve"> gali kisti.</w:t>
            </w:r>
          </w:p>
          <w:p w:rsidR="00747FA0" w:rsidRPr="007500EA" w:rsidRDefault="00747FA0" w:rsidP="00747FA0">
            <w:pPr>
              <w:pStyle w:val="prastasis1"/>
              <w:spacing w:beforeAutospacing="0" w:afterAutospacing="0"/>
              <w:ind w:firstLine="460"/>
              <w:jc w:val="both"/>
              <w:textAlignment w:val="baseline"/>
              <w:rPr>
                <w:rFonts w:eastAsia="Calibri"/>
              </w:rPr>
            </w:pPr>
            <w:r w:rsidRPr="007500EA">
              <w:rPr>
                <w:rFonts w:eastAsia="Calibri"/>
              </w:rPr>
              <w:t>Pažymėtina, kad būti patvirtintų įmonių sąraše nėra privalomas reikalavimas, pačios įmonės gali nuspręsti</w:t>
            </w:r>
            <w:r w:rsidR="00D96ADE">
              <w:rPr>
                <w:rFonts w:eastAsia="Calibri"/>
              </w:rPr>
              <w:t>,</w:t>
            </w:r>
            <w:r w:rsidRPr="007500EA">
              <w:rPr>
                <w:rFonts w:eastAsia="Calibri"/>
              </w:rPr>
              <w:t xml:space="preserve"> ar jos nori būti patvirtintų įmonių sąraše ir turėti lengvatų įdarbinant užsieniečius ar ne. Jeigu įmonė nėra patvirtintų įmonių sąraše, ji gali įdarbinti užsieniečius, taikant bendrus įstatyme nustatytus reikalavimus ir procedūras. Todėl UTPĮ projekte siekiama nustatyti bendrą išimtį, kokios įmonės negali būti patvirtintų įmonių sąraše, o įtraukimo į patvirtintų įmonių sąrašą kriterijus ir tvarką tvirtintų vidaus reikalų ministras. Analogiškai nustatoma ir dėl išbraukimo iš patvirtintų įmonių sąrašo. N</w:t>
            </w:r>
            <w:r w:rsidRPr="007500EA">
              <w:t xml:space="preserve">emanome, kad visos nuostatos turi būti dėstomos įstatyme. </w:t>
            </w:r>
            <w:r w:rsidRPr="007500EA">
              <w:rPr>
                <w:rFonts w:eastAsia="Calibri"/>
              </w:rPr>
              <w:t>Toks reguliavimas siūlomas atsižvelgiant į tai, kad situacija yra kintanti ir vyksta nuolatinė patvirtintų įmonių sąrašo sudarymo teigiamų ir neigiamų pasekmių stebėsena, todėl</w:t>
            </w:r>
            <w:r w:rsidR="00D96ADE">
              <w:rPr>
                <w:rFonts w:eastAsia="Calibri"/>
              </w:rPr>
              <w:t>,</w:t>
            </w:r>
            <w:r w:rsidRPr="007500EA">
              <w:rPr>
                <w:rFonts w:eastAsia="Calibri"/>
              </w:rPr>
              <w:t xml:space="preserve"> siekiant greitai sureaguoti į stebėsenos rezultatus ar atsiradusius piktnaudžiavimo atvejus, siūloma </w:t>
            </w:r>
            <w:r w:rsidRPr="007500EA">
              <w:rPr>
                <w:rFonts w:eastAsia="Calibri"/>
              </w:rPr>
              <w:lastRenderedPageBreak/>
              <w:t>įtraukimo į patvirtintų įmonių sąrašą kriterijus ir tvarką reglamentuoti poįstatyminiame teisės akte.</w:t>
            </w:r>
          </w:p>
          <w:p w:rsidR="00747FA0" w:rsidRPr="007500EA" w:rsidRDefault="00747FA0" w:rsidP="00DA0FDC">
            <w:pPr>
              <w:pStyle w:val="prastasis1"/>
              <w:spacing w:beforeAutospacing="0" w:afterAutospacing="0"/>
              <w:ind w:firstLine="460"/>
              <w:jc w:val="both"/>
              <w:textAlignment w:val="baseline"/>
              <w:rPr>
                <w:color w:val="000000"/>
                <w:lang w:eastAsia="lt-LT"/>
              </w:rPr>
            </w:pPr>
            <w:r w:rsidRPr="007500EA">
              <w:rPr>
                <w:rFonts w:eastAsia="Calibri"/>
              </w:rPr>
              <w:t>Atkreiptinas dėmesys, kad vidaus reikalų ministras ir užsienio reikalų ministras yra patvirtinę Vizos išdavimo tvarkos aprašą (</w:t>
            </w:r>
            <w:r w:rsidRPr="007500EA">
              <w:rPr>
                <w:color w:val="000000"/>
                <w:lang w:eastAsia="lt-LT"/>
              </w:rPr>
              <w:t xml:space="preserve">2017 m. gruodžio 28 d. įsakymas Nr. 1V-899/V-330), kuriame įtraukimo į patvirtintų įmonių sąrašą ir išbraukimo iš šio sąrašo kriterijai jau nustatyti (trečiasis skirsnis – </w:t>
            </w:r>
            <w:r w:rsidR="00BE43E8" w:rsidRPr="007500EA">
              <w:rPr>
                <w:color w:val="000000"/>
                <w:lang w:eastAsia="lt-LT"/>
              </w:rPr>
              <w:t>P</w:t>
            </w:r>
            <w:r w:rsidRPr="007500EA">
              <w:rPr>
                <w:color w:val="000000"/>
                <w:lang w:eastAsia="lt-LT"/>
              </w:rPr>
              <w:t xml:space="preserve">atvirtintų įmonių sąrašo sudarymas). Šis įsakymas 2019 m. vasario 11 d. buvo pakeistas ir minėti įtraukimo kriterijai derinti su UTPĮ projekte nustatomais. </w:t>
            </w:r>
          </w:p>
          <w:p w:rsidR="00747FA0" w:rsidRPr="007500EA" w:rsidRDefault="00747FA0" w:rsidP="00747FA0">
            <w:pPr>
              <w:pStyle w:val="prastasis1"/>
              <w:spacing w:beforeAutospacing="0" w:afterAutospacing="0"/>
              <w:ind w:firstLine="460"/>
              <w:jc w:val="both"/>
              <w:textAlignment w:val="baseline"/>
              <w:rPr>
                <w:color w:val="000000"/>
                <w:lang w:eastAsia="lt-LT"/>
              </w:rPr>
            </w:pPr>
            <w:r w:rsidRPr="007500EA">
              <w:rPr>
                <w:color w:val="000000"/>
                <w:lang w:eastAsia="lt-LT"/>
              </w:rPr>
              <w:t>Siekiant užtikrinti teisinio reguliavimo tęstinumą i</w:t>
            </w:r>
            <w:r w:rsidR="00D96ADE">
              <w:rPr>
                <w:color w:val="000000"/>
                <w:lang w:eastAsia="lt-LT"/>
              </w:rPr>
              <w:t>t</w:t>
            </w:r>
            <w:r w:rsidRPr="007500EA">
              <w:rPr>
                <w:color w:val="000000"/>
                <w:lang w:eastAsia="lt-LT"/>
              </w:rPr>
              <w:t xml:space="preserve"> lanksčiai reaguoti į stebėsenos rezultatus, siūl</w:t>
            </w:r>
            <w:r w:rsidR="00D96ADE">
              <w:rPr>
                <w:color w:val="000000"/>
                <w:lang w:eastAsia="lt-LT"/>
              </w:rPr>
              <w:t xml:space="preserve">ytina </w:t>
            </w:r>
            <w:r w:rsidRPr="007500EA">
              <w:rPr>
                <w:color w:val="000000"/>
                <w:lang w:eastAsia="lt-LT"/>
              </w:rPr>
              <w:t>palikti tokį reguliavimą</w:t>
            </w:r>
            <w:r w:rsidR="00D96ADE">
              <w:rPr>
                <w:color w:val="000000"/>
                <w:lang w:eastAsia="lt-LT"/>
              </w:rPr>
              <w:t>,</w:t>
            </w:r>
            <w:r w:rsidRPr="007500EA">
              <w:rPr>
                <w:color w:val="000000"/>
                <w:lang w:eastAsia="lt-LT"/>
              </w:rPr>
              <w:t xml:space="preserve"> kaip dabar siūloma UTPĮ projekte. </w:t>
            </w:r>
          </w:p>
          <w:p w:rsidR="00FD7D63" w:rsidRPr="007500EA" w:rsidRDefault="00BE43E8" w:rsidP="00747FA0">
            <w:pPr>
              <w:pStyle w:val="prastasis1"/>
              <w:spacing w:beforeAutospacing="0" w:afterAutospacing="0"/>
              <w:ind w:firstLine="460"/>
              <w:jc w:val="both"/>
              <w:textAlignment w:val="baseline"/>
              <w:rPr>
                <w:color w:val="000000"/>
                <w:lang w:eastAsia="lt-LT"/>
              </w:rPr>
            </w:pPr>
            <w:r w:rsidRPr="007500EA">
              <w:rPr>
                <w:color w:val="000000"/>
                <w:lang w:eastAsia="lt-LT"/>
              </w:rPr>
              <w:t>Pažymėtina, kad aiškinamajame rašte išdėstyti argumentai dėl šio naujo reguliavimo nustatymo.</w:t>
            </w:r>
          </w:p>
          <w:p w:rsidR="00DA0FDC" w:rsidRPr="007500EA" w:rsidRDefault="00DA0FDC" w:rsidP="00FD7D63">
            <w:pPr>
              <w:pStyle w:val="prastasis1"/>
              <w:spacing w:beforeAutospacing="0" w:afterAutospacing="0"/>
              <w:jc w:val="both"/>
              <w:textAlignment w:val="baseline"/>
              <w:rPr>
                <w:b/>
                <w:color w:val="000000"/>
                <w:lang w:eastAsia="lt-LT"/>
              </w:rPr>
            </w:pPr>
          </w:p>
          <w:p w:rsidR="00FD7D63" w:rsidRPr="007500EA" w:rsidRDefault="00FD7D63" w:rsidP="00FD7D63">
            <w:pPr>
              <w:pStyle w:val="prastasis1"/>
              <w:spacing w:beforeAutospacing="0" w:afterAutospacing="0"/>
              <w:jc w:val="both"/>
              <w:textAlignment w:val="baseline"/>
              <w:rPr>
                <w:lang w:eastAsia="lt-LT"/>
              </w:rPr>
            </w:pPr>
            <w:r w:rsidRPr="007500EA">
              <w:rPr>
                <w:b/>
                <w:color w:val="000000"/>
                <w:lang w:eastAsia="lt-LT"/>
              </w:rPr>
              <w:t xml:space="preserve">Neatsižvelgta. </w:t>
            </w:r>
            <w:r w:rsidRPr="007500EA">
              <w:rPr>
                <w:color w:val="000000"/>
                <w:lang w:eastAsia="lt-LT"/>
              </w:rPr>
              <w:t>Tok</w:t>
            </w:r>
            <w:r w:rsidR="00DA0FDC" w:rsidRPr="007500EA">
              <w:rPr>
                <w:color w:val="000000"/>
                <w:lang w:eastAsia="lt-LT"/>
              </w:rPr>
              <w:t>i</w:t>
            </w:r>
            <w:r w:rsidRPr="007500EA">
              <w:rPr>
                <w:color w:val="000000"/>
                <w:lang w:eastAsia="lt-LT"/>
              </w:rPr>
              <w:t>a formuluotė nustatyta atsižvelgiant į Lietuvos Respublikos užimtumo įstatymo 56 straipsnio 5 dalį, pagal kurią nustačius, kad asmuo buvo įdarbintas nelegaliai</w:t>
            </w:r>
            <w:r w:rsidR="0061410D" w:rsidRPr="007500EA">
              <w:rPr>
                <w:color w:val="000000"/>
                <w:lang w:eastAsia="lt-LT"/>
              </w:rPr>
              <w:t>,</w:t>
            </w:r>
            <w:r w:rsidRPr="007500EA">
              <w:rPr>
                <w:color w:val="000000"/>
                <w:lang w:eastAsia="lt-LT"/>
              </w:rPr>
              <w:t xml:space="preserve"> skiriamas</w:t>
            </w:r>
            <w:r w:rsidR="0061410D" w:rsidRPr="007500EA">
              <w:rPr>
                <w:color w:val="000000"/>
                <w:lang w:eastAsia="lt-LT"/>
              </w:rPr>
              <w:t xml:space="preserve"> minėto straipsnio 5 dalyje nurodytas</w:t>
            </w:r>
            <w:r w:rsidRPr="007500EA">
              <w:rPr>
                <w:color w:val="000000"/>
                <w:lang w:eastAsia="lt-LT"/>
              </w:rPr>
              <w:t xml:space="preserve"> įpareigojimas </w:t>
            </w:r>
            <w:r w:rsidR="0061410D" w:rsidRPr="007500EA">
              <w:rPr>
                <w:color w:val="000000"/>
                <w:lang w:eastAsia="lt-LT"/>
              </w:rPr>
              <w:t>ar</w:t>
            </w:r>
            <w:r w:rsidRPr="007500EA">
              <w:rPr>
                <w:color w:val="000000"/>
                <w:lang w:eastAsia="lt-LT"/>
              </w:rPr>
              <w:t xml:space="preserve"> bauda</w:t>
            </w:r>
            <w:r w:rsidR="00D96ADE">
              <w:rPr>
                <w:color w:val="000000"/>
                <w:lang w:eastAsia="lt-LT"/>
              </w:rPr>
              <w:t>,</w:t>
            </w:r>
            <w:r w:rsidR="0061410D" w:rsidRPr="007500EA">
              <w:rPr>
                <w:color w:val="000000"/>
                <w:lang w:eastAsia="lt-LT"/>
              </w:rPr>
              <w:t xml:space="preserve"> </w:t>
            </w:r>
            <w:r w:rsidR="00D96ADE">
              <w:rPr>
                <w:color w:val="000000"/>
                <w:lang w:eastAsia="lt-LT"/>
              </w:rPr>
              <w:t>p</w:t>
            </w:r>
            <w:r w:rsidR="0061410D" w:rsidRPr="007500EA">
              <w:rPr>
                <w:color w:val="000000"/>
                <w:lang w:eastAsia="lt-LT"/>
              </w:rPr>
              <w:t xml:space="preserve">vz., gali būti skiriamas </w:t>
            </w:r>
            <w:r w:rsidR="0061410D" w:rsidRPr="007500EA">
              <w:rPr>
                <w:color w:val="000000"/>
              </w:rPr>
              <w:t>įpareigojimas darbdaviui sumokėti nelegaliai dirbusiam asmeniui sulygtą atlyginimą už darbą, išskyrus atvejį, kai šis atlyginimas buvo sumokėtas. Taigi, atsižvelgiant į tai, kad patvirtintų įmonių sąraše turėtų būti tik patikimos įmonės, UTPĮ projekte siūloma nustatyti, kad įmonės gali būti patvirtintų įmonių sąraše ne tik kai sumokėjo</w:t>
            </w:r>
            <w:r w:rsidR="0044185B" w:rsidRPr="007500EA">
              <w:rPr>
                <w:color w:val="000000"/>
              </w:rPr>
              <w:t xml:space="preserve"> joms skirtas</w:t>
            </w:r>
            <w:r w:rsidR="0061410D" w:rsidRPr="007500EA">
              <w:rPr>
                <w:color w:val="000000"/>
              </w:rPr>
              <w:t xml:space="preserve"> baudas, bet ir</w:t>
            </w:r>
            <w:r w:rsidR="0044185B" w:rsidRPr="007500EA">
              <w:rPr>
                <w:color w:val="000000"/>
              </w:rPr>
              <w:t xml:space="preserve"> kai</w:t>
            </w:r>
            <w:r w:rsidR="0061410D" w:rsidRPr="007500EA">
              <w:rPr>
                <w:color w:val="000000"/>
              </w:rPr>
              <w:t xml:space="preserve"> įvykdė jai skirtus įpareigojimus. </w:t>
            </w:r>
            <w:r w:rsidR="0061410D" w:rsidRPr="007500EA">
              <w:rPr>
                <w:rFonts w:ascii="Arial" w:hAnsi="Arial" w:cs="Arial"/>
                <w:color w:val="000000"/>
                <w:sz w:val="22"/>
                <w:szCs w:val="22"/>
              </w:rPr>
              <w:t xml:space="preserve"> </w:t>
            </w:r>
            <w:r w:rsidR="0061410D" w:rsidRPr="007500EA">
              <w:rPr>
                <w:color w:val="000000"/>
                <w:lang w:eastAsia="lt-LT"/>
              </w:rPr>
              <w:t xml:space="preserve"> </w:t>
            </w:r>
            <w:r w:rsidRPr="007500EA">
              <w:rPr>
                <w:color w:val="000000"/>
                <w:lang w:eastAsia="lt-LT"/>
              </w:rPr>
              <w:t xml:space="preserve">  </w:t>
            </w:r>
          </w:p>
          <w:p w:rsidR="00747FA0" w:rsidRPr="007500EA" w:rsidRDefault="00747FA0" w:rsidP="00747FA0">
            <w:pPr>
              <w:pStyle w:val="prastasis1"/>
              <w:spacing w:beforeAutospacing="0" w:afterAutospacing="0"/>
              <w:ind w:firstLine="460"/>
              <w:jc w:val="both"/>
              <w:textAlignment w:val="baseline"/>
              <w:rPr>
                <w:rFonts w:eastAsia="Calibri"/>
              </w:rPr>
            </w:pPr>
          </w:p>
          <w:p w:rsidR="00313A4F" w:rsidRPr="007500EA" w:rsidRDefault="00CA59EB" w:rsidP="00590DCE">
            <w:pPr>
              <w:jc w:val="both"/>
              <w:rPr>
                <w:rFonts w:ascii="Times New Roman" w:eastAsia="Calibri" w:hAnsi="Times New Roman" w:cs="Times New Roman"/>
                <w:sz w:val="24"/>
                <w:szCs w:val="24"/>
              </w:rPr>
            </w:pPr>
            <w:r w:rsidRPr="007500EA">
              <w:rPr>
                <w:rFonts w:ascii="Times New Roman" w:eastAsia="Calibri" w:hAnsi="Times New Roman" w:cs="Times New Roman"/>
                <w:b/>
                <w:sz w:val="24"/>
                <w:szCs w:val="24"/>
              </w:rPr>
              <w:t xml:space="preserve">Neatsižvelgta. </w:t>
            </w:r>
            <w:r w:rsidR="00D96ADE">
              <w:rPr>
                <w:rFonts w:ascii="Times New Roman" w:eastAsia="Calibri" w:hAnsi="Times New Roman" w:cs="Times New Roman"/>
                <w:sz w:val="24"/>
                <w:szCs w:val="24"/>
              </w:rPr>
              <w:t>Pas</w:t>
            </w:r>
            <w:r w:rsidRPr="007500EA">
              <w:rPr>
                <w:rFonts w:ascii="Times New Roman" w:eastAsia="Calibri" w:hAnsi="Times New Roman" w:cs="Times New Roman"/>
                <w:sz w:val="24"/>
                <w:szCs w:val="24"/>
              </w:rPr>
              <w:t xml:space="preserve">iūlymas visiškai neargumentuotas, todėl neaišku, kodėl formuluotė „pareikšti įtarimai“ turėtų būti keičiama į „vykdomas baudžiamasis persekiojimas“. </w:t>
            </w:r>
            <w:r w:rsidR="005E7B26" w:rsidRPr="007500EA">
              <w:rPr>
                <w:rFonts w:ascii="Times New Roman" w:eastAsia="Calibri" w:hAnsi="Times New Roman" w:cs="Times New Roman"/>
                <w:sz w:val="24"/>
                <w:szCs w:val="24"/>
              </w:rPr>
              <w:t>Pažymėtina, kad formuluotė „</w:t>
            </w:r>
            <w:r w:rsidR="00590DCE" w:rsidRPr="007500EA">
              <w:rPr>
                <w:rFonts w:ascii="Times New Roman" w:eastAsia="Calibri" w:hAnsi="Times New Roman" w:cs="Times New Roman"/>
                <w:sz w:val="24"/>
                <w:szCs w:val="24"/>
              </w:rPr>
              <w:t xml:space="preserve">vykdomas </w:t>
            </w:r>
            <w:r w:rsidR="005E7B26" w:rsidRPr="007500EA">
              <w:rPr>
                <w:rFonts w:ascii="Times New Roman" w:eastAsia="Calibri" w:hAnsi="Times New Roman" w:cs="Times New Roman"/>
                <w:sz w:val="24"/>
                <w:szCs w:val="24"/>
              </w:rPr>
              <w:t>baudžiamasis persekiojimas“ yra platesnė nei formuluotė „pareikšti įtarimai“, todėl manome, kad šio straipsnio kontekste turėtų būti vartojama formuluotė „pareikšti įtarimai“</w:t>
            </w:r>
            <w:r w:rsidR="00590DCE" w:rsidRPr="007500EA">
              <w:rPr>
                <w:rFonts w:ascii="Times New Roman" w:eastAsia="Calibri" w:hAnsi="Times New Roman" w:cs="Times New Roman"/>
                <w:sz w:val="24"/>
                <w:szCs w:val="24"/>
              </w:rPr>
              <w:t>, t.</w:t>
            </w:r>
            <w:r w:rsidR="00DA0FDC" w:rsidRPr="007500EA">
              <w:rPr>
                <w:rFonts w:ascii="Times New Roman" w:eastAsia="Calibri" w:hAnsi="Times New Roman" w:cs="Times New Roman"/>
                <w:sz w:val="24"/>
                <w:szCs w:val="24"/>
              </w:rPr>
              <w:t xml:space="preserve"> </w:t>
            </w:r>
            <w:r w:rsidR="00590DCE" w:rsidRPr="007500EA">
              <w:rPr>
                <w:rFonts w:ascii="Times New Roman" w:eastAsia="Calibri" w:hAnsi="Times New Roman" w:cs="Times New Roman"/>
                <w:sz w:val="24"/>
                <w:szCs w:val="24"/>
              </w:rPr>
              <w:t xml:space="preserve">y. kai jau patikrinti faktai, surinkti įrodymai ir galima </w:t>
            </w:r>
            <w:r w:rsidR="00590DCE" w:rsidRPr="007500EA">
              <w:rPr>
                <w:rFonts w:ascii="Times New Roman" w:eastAsia="Calibri" w:hAnsi="Times New Roman" w:cs="Times New Roman"/>
                <w:sz w:val="24"/>
                <w:szCs w:val="24"/>
              </w:rPr>
              <w:lastRenderedPageBreak/>
              <w:t>pareikšti įtarimus</w:t>
            </w:r>
            <w:r w:rsidR="005E7B26" w:rsidRPr="007500EA">
              <w:rPr>
                <w:rFonts w:ascii="Times New Roman" w:eastAsia="Calibri" w:hAnsi="Times New Roman" w:cs="Times New Roman"/>
                <w:sz w:val="24"/>
                <w:szCs w:val="24"/>
              </w:rPr>
              <w:t xml:space="preserve">. </w:t>
            </w:r>
            <w:r w:rsidR="00590DCE" w:rsidRPr="007500EA">
              <w:rPr>
                <w:rFonts w:ascii="Times New Roman" w:eastAsia="Calibri" w:hAnsi="Times New Roman" w:cs="Times New Roman"/>
                <w:sz w:val="24"/>
                <w:szCs w:val="24"/>
              </w:rPr>
              <w:t xml:space="preserve">Tokiu </w:t>
            </w:r>
            <w:r w:rsidR="00D96ADE">
              <w:rPr>
                <w:rFonts w:ascii="Times New Roman" w:eastAsia="Calibri" w:hAnsi="Times New Roman" w:cs="Times New Roman"/>
                <w:sz w:val="24"/>
                <w:szCs w:val="24"/>
              </w:rPr>
              <w:t>pa</w:t>
            </w:r>
            <w:r w:rsidR="00590DCE" w:rsidRPr="007500EA">
              <w:rPr>
                <w:rFonts w:ascii="Times New Roman" w:eastAsia="Calibri" w:hAnsi="Times New Roman" w:cs="Times New Roman"/>
                <w:sz w:val="24"/>
                <w:szCs w:val="24"/>
              </w:rPr>
              <w:t xml:space="preserve">siūlymu </w:t>
            </w:r>
            <w:r w:rsidRPr="007500EA">
              <w:rPr>
                <w:rFonts w:ascii="Times New Roman" w:eastAsia="Calibri" w:hAnsi="Times New Roman" w:cs="Times New Roman"/>
                <w:sz w:val="24"/>
                <w:szCs w:val="24"/>
              </w:rPr>
              <w:t>siekia</w:t>
            </w:r>
            <w:r w:rsidR="00590DCE" w:rsidRPr="007500EA">
              <w:rPr>
                <w:rFonts w:ascii="Times New Roman" w:eastAsia="Calibri" w:hAnsi="Times New Roman" w:cs="Times New Roman"/>
                <w:sz w:val="24"/>
                <w:szCs w:val="24"/>
              </w:rPr>
              <w:t>ma</w:t>
            </w:r>
            <w:r w:rsidRPr="007500EA">
              <w:rPr>
                <w:rFonts w:ascii="Times New Roman" w:eastAsia="Calibri" w:hAnsi="Times New Roman" w:cs="Times New Roman"/>
                <w:sz w:val="24"/>
                <w:szCs w:val="24"/>
              </w:rPr>
              <w:t>, kad patvirtintų įmonių sąraše būtų tik patikimos įmonės, kuri</w:t>
            </w:r>
            <w:r w:rsidR="002C7DCB" w:rsidRPr="007500EA">
              <w:rPr>
                <w:rFonts w:ascii="Times New Roman" w:eastAsia="Calibri" w:hAnsi="Times New Roman" w:cs="Times New Roman"/>
                <w:sz w:val="24"/>
                <w:szCs w:val="24"/>
              </w:rPr>
              <w:t>ų veikla</w:t>
            </w:r>
            <w:r w:rsidRPr="007500EA">
              <w:rPr>
                <w:rFonts w:ascii="Times New Roman" w:eastAsia="Calibri" w:hAnsi="Times New Roman" w:cs="Times New Roman"/>
                <w:sz w:val="24"/>
                <w:szCs w:val="24"/>
              </w:rPr>
              <w:t xml:space="preserve"> nekeltų jokių įtarimų</w:t>
            </w:r>
            <w:r w:rsidR="002C7DCB" w:rsidRPr="007500EA">
              <w:rPr>
                <w:rFonts w:ascii="Times New Roman" w:eastAsia="Calibri" w:hAnsi="Times New Roman" w:cs="Times New Roman"/>
                <w:sz w:val="24"/>
                <w:szCs w:val="24"/>
              </w:rPr>
              <w:t xml:space="preserve"> ir</w:t>
            </w:r>
            <w:r w:rsidRPr="007500EA">
              <w:rPr>
                <w:rFonts w:ascii="Times New Roman" w:eastAsia="Calibri" w:hAnsi="Times New Roman" w:cs="Times New Roman"/>
                <w:sz w:val="24"/>
                <w:szCs w:val="24"/>
              </w:rPr>
              <w:t xml:space="preserve"> </w:t>
            </w:r>
            <w:r w:rsidR="00833427" w:rsidRPr="007500EA">
              <w:rPr>
                <w:rFonts w:ascii="Times New Roman" w:eastAsia="Calibri" w:hAnsi="Times New Roman" w:cs="Times New Roman"/>
                <w:sz w:val="24"/>
                <w:szCs w:val="24"/>
              </w:rPr>
              <w:t xml:space="preserve">kuriomis galima pasitikėti, nes joms suteikiamos lengvatos įdarbinant užsieniečius. </w:t>
            </w:r>
          </w:p>
          <w:p w:rsidR="00590DCE" w:rsidRPr="007500EA" w:rsidRDefault="00590DCE" w:rsidP="00590DCE">
            <w:pPr>
              <w:jc w:val="both"/>
              <w:rPr>
                <w:rFonts w:ascii="Times New Roman" w:eastAsia="Calibri" w:hAnsi="Times New Roman" w:cs="Times New Roman"/>
                <w:sz w:val="24"/>
                <w:szCs w:val="24"/>
              </w:rPr>
            </w:pPr>
          </w:p>
          <w:p w:rsidR="00590DCE" w:rsidRPr="007500EA" w:rsidRDefault="00590DCE" w:rsidP="00590DCE">
            <w:pPr>
              <w:jc w:val="both"/>
              <w:rPr>
                <w:rFonts w:ascii="Times New Roman" w:eastAsia="Calibri" w:hAnsi="Times New Roman" w:cs="Times New Roman"/>
                <w:sz w:val="24"/>
                <w:szCs w:val="24"/>
              </w:rPr>
            </w:pPr>
            <w:r w:rsidRPr="007500EA">
              <w:rPr>
                <w:rFonts w:ascii="Times New Roman" w:eastAsia="Calibri" w:hAnsi="Times New Roman" w:cs="Times New Roman"/>
                <w:b/>
                <w:sz w:val="24"/>
                <w:szCs w:val="24"/>
              </w:rPr>
              <w:t xml:space="preserve">Neatsižvelgta. </w:t>
            </w:r>
            <w:r w:rsidRPr="007500EA">
              <w:rPr>
                <w:rFonts w:ascii="Times New Roman" w:eastAsia="Calibri" w:hAnsi="Times New Roman" w:cs="Times New Roman"/>
                <w:sz w:val="24"/>
                <w:szCs w:val="24"/>
              </w:rPr>
              <w:t>Atsižvelgiant į UTPĮ projekte dėstomo 63</w:t>
            </w:r>
            <w:r w:rsidRPr="007500EA">
              <w:rPr>
                <w:rFonts w:ascii="Times New Roman" w:eastAsia="Calibri" w:hAnsi="Times New Roman" w:cs="Times New Roman"/>
                <w:sz w:val="24"/>
                <w:szCs w:val="24"/>
                <w:vertAlign w:val="superscript"/>
              </w:rPr>
              <w:t xml:space="preserve">1 </w:t>
            </w:r>
            <w:r w:rsidRPr="007500EA">
              <w:rPr>
                <w:rFonts w:ascii="Times New Roman" w:eastAsia="Calibri" w:hAnsi="Times New Roman" w:cs="Times New Roman"/>
                <w:sz w:val="24"/>
                <w:szCs w:val="24"/>
              </w:rPr>
              <w:t>straipsnio tikslus, tokia formuluotė nustatyta tikslingai, kad patvirtintų įmonių sąraše būtų tik patikimos įmonės, kuri</w:t>
            </w:r>
            <w:r w:rsidR="002C7DCB" w:rsidRPr="007500EA">
              <w:rPr>
                <w:rFonts w:ascii="Times New Roman" w:eastAsia="Calibri" w:hAnsi="Times New Roman" w:cs="Times New Roman"/>
                <w:sz w:val="24"/>
                <w:szCs w:val="24"/>
              </w:rPr>
              <w:t>ų veikla</w:t>
            </w:r>
            <w:r w:rsidRPr="007500EA">
              <w:rPr>
                <w:rFonts w:ascii="Times New Roman" w:eastAsia="Calibri" w:hAnsi="Times New Roman" w:cs="Times New Roman"/>
                <w:sz w:val="24"/>
                <w:szCs w:val="24"/>
              </w:rPr>
              <w:t xml:space="preserve"> nekeltų jokių įtarimų</w:t>
            </w:r>
            <w:r w:rsidR="002C7DCB" w:rsidRPr="007500EA">
              <w:rPr>
                <w:rFonts w:ascii="Times New Roman" w:eastAsia="Calibri" w:hAnsi="Times New Roman" w:cs="Times New Roman"/>
                <w:sz w:val="24"/>
                <w:szCs w:val="24"/>
              </w:rPr>
              <w:t xml:space="preserve"> ir</w:t>
            </w:r>
            <w:r w:rsidRPr="007500EA">
              <w:rPr>
                <w:rFonts w:ascii="Times New Roman" w:eastAsia="Calibri" w:hAnsi="Times New Roman" w:cs="Times New Roman"/>
                <w:sz w:val="24"/>
                <w:szCs w:val="24"/>
              </w:rPr>
              <w:t xml:space="preserve"> kuriomis galima pasitikėti</w:t>
            </w:r>
            <w:r w:rsidR="00DA0FDC" w:rsidRPr="007500EA">
              <w:rPr>
                <w:rFonts w:ascii="Times New Roman" w:eastAsia="Calibri" w:hAnsi="Times New Roman" w:cs="Times New Roman"/>
                <w:sz w:val="24"/>
                <w:szCs w:val="24"/>
              </w:rPr>
              <w:t>.</w:t>
            </w:r>
            <w:r w:rsidR="00CC71A3" w:rsidRPr="007500EA">
              <w:rPr>
                <w:rFonts w:ascii="Times New Roman" w:eastAsia="Calibri" w:hAnsi="Times New Roman" w:cs="Times New Roman"/>
                <w:sz w:val="24"/>
                <w:szCs w:val="24"/>
              </w:rPr>
              <w:t xml:space="preserve"> Būtent dėl to šiame straipsnyje nenustatoma papildoma sąlyga, jeigu vyksta mokestinis ginčas ar ginčas. Pažymėtina, kad mokestiniai ir kiti ginčai užsitęsia ilgai ir tokiu būdu būtų sudarytos sąlygos būti patvirtintų įmonių sąraše įmonei, kuri nevykdo įsipareigojimų. Be to, įmonės galėtų piktnaudžiauti tokia tvarka ir inicijuoti ginčo atsiradimą</w:t>
            </w:r>
            <w:r w:rsidR="00DA0FDC" w:rsidRPr="007500EA">
              <w:rPr>
                <w:rFonts w:ascii="Times New Roman" w:eastAsia="Calibri" w:hAnsi="Times New Roman" w:cs="Times New Roman"/>
                <w:sz w:val="24"/>
                <w:szCs w:val="24"/>
              </w:rPr>
              <w:t xml:space="preserve"> bei vilkinti jį</w:t>
            </w:r>
            <w:r w:rsidR="00CC71A3" w:rsidRPr="007500EA">
              <w:rPr>
                <w:rFonts w:ascii="Times New Roman" w:eastAsia="Calibri" w:hAnsi="Times New Roman" w:cs="Times New Roman"/>
                <w:sz w:val="24"/>
                <w:szCs w:val="24"/>
              </w:rPr>
              <w:t>, kad tik nebūtų išbrauktos iš patvirtintų įmonių sąrašo dar kurį laiką.</w:t>
            </w:r>
            <w:r w:rsidRPr="007500EA">
              <w:rPr>
                <w:rFonts w:ascii="Times New Roman" w:eastAsia="Calibri" w:hAnsi="Times New Roman" w:cs="Times New Roman"/>
                <w:sz w:val="24"/>
                <w:szCs w:val="24"/>
              </w:rPr>
              <w:t xml:space="preserve"> </w:t>
            </w:r>
          </w:p>
          <w:p w:rsidR="00CC71A3" w:rsidRPr="007500EA" w:rsidRDefault="00CC71A3" w:rsidP="00590DCE">
            <w:pPr>
              <w:jc w:val="both"/>
              <w:rPr>
                <w:rFonts w:ascii="Times New Roman" w:eastAsia="Calibri" w:hAnsi="Times New Roman" w:cs="Times New Roman"/>
                <w:sz w:val="24"/>
                <w:szCs w:val="24"/>
              </w:rPr>
            </w:pPr>
          </w:p>
          <w:p w:rsidR="00CC5F52" w:rsidRPr="007500EA" w:rsidRDefault="00CC71A3" w:rsidP="00590DCE">
            <w:pPr>
              <w:jc w:val="both"/>
              <w:rPr>
                <w:rFonts w:ascii="Times New Roman" w:eastAsia="Calibri" w:hAnsi="Times New Roman" w:cs="Times New Roman"/>
                <w:sz w:val="24"/>
                <w:szCs w:val="24"/>
              </w:rPr>
            </w:pPr>
            <w:r w:rsidRPr="007500EA">
              <w:rPr>
                <w:rFonts w:ascii="Times New Roman" w:eastAsia="Calibri" w:hAnsi="Times New Roman" w:cs="Times New Roman"/>
                <w:b/>
                <w:sz w:val="24"/>
                <w:szCs w:val="24"/>
              </w:rPr>
              <w:t xml:space="preserve">Neatsižvelgta. </w:t>
            </w:r>
            <w:r w:rsidRPr="007500EA">
              <w:rPr>
                <w:rFonts w:ascii="Times New Roman" w:eastAsia="Calibri" w:hAnsi="Times New Roman" w:cs="Times New Roman"/>
                <w:sz w:val="24"/>
                <w:szCs w:val="24"/>
              </w:rPr>
              <w:t xml:space="preserve">Ši formuluotė vartojama atsižvelgiant į Įstatymo </w:t>
            </w:r>
            <w:r w:rsidR="00CC5F52" w:rsidRPr="007500EA">
              <w:rPr>
                <w:rFonts w:ascii="Times New Roman" w:eastAsia="Calibri" w:hAnsi="Times New Roman" w:cs="Times New Roman"/>
                <w:sz w:val="24"/>
                <w:szCs w:val="24"/>
              </w:rPr>
              <w:t>51</w:t>
            </w:r>
            <w:r w:rsidRPr="007500EA">
              <w:rPr>
                <w:rFonts w:ascii="Times New Roman" w:eastAsia="Calibri" w:hAnsi="Times New Roman" w:cs="Times New Roman"/>
                <w:sz w:val="24"/>
                <w:szCs w:val="24"/>
              </w:rPr>
              <w:t xml:space="preserve"> straipsnio 5 dal</w:t>
            </w:r>
            <w:r w:rsidR="00CC5F52" w:rsidRPr="007500EA">
              <w:rPr>
                <w:rFonts w:ascii="Times New Roman" w:eastAsia="Calibri" w:hAnsi="Times New Roman" w:cs="Times New Roman"/>
                <w:sz w:val="24"/>
                <w:szCs w:val="24"/>
              </w:rPr>
              <w:t>į</w:t>
            </w:r>
            <w:r w:rsidRPr="007500EA">
              <w:rPr>
                <w:rFonts w:ascii="Times New Roman" w:eastAsia="Calibri" w:hAnsi="Times New Roman" w:cs="Times New Roman"/>
                <w:sz w:val="24"/>
                <w:szCs w:val="24"/>
              </w:rPr>
              <w:t>, kurio</w:t>
            </w:r>
            <w:r w:rsidR="00CC5F52" w:rsidRPr="007500EA">
              <w:rPr>
                <w:rFonts w:ascii="Times New Roman" w:eastAsia="Calibri" w:hAnsi="Times New Roman" w:cs="Times New Roman"/>
                <w:sz w:val="24"/>
                <w:szCs w:val="24"/>
              </w:rPr>
              <w:t>j</w:t>
            </w:r>
            <w:r w:rsidRPr="007500EA">
              <w:rPr>
                <w:rFonts w:ascii="Times New Roman" w:eastAsia="Calibri" w:hAnsi="Times New Roman" w:cs="Times New Roman"/>
                <w:sz w:val="24"/>
                <w:szCs w:val="24"/>
              </w:rPr>
              <w:t xml:space="preserve">e nustatyta, kad </w:t>
            </w:r>
            <w:r w:rsidR="00CC5F52" w:rsidRPr="007500EA">
              <w:rPr>
                <w:rFonts w:ascii="Times New Roman" w:eastAsia="Calibri" w:hAnsi="Times New Roman" w:cs="Times New Roman"/>
                <w:sz w:val="24"/>
                <w:szCs w:val="24"/>
              </w:rPr>
              <w:t>„p</w:t>
            </w:r>
            <w:r w:rsidR="00CC5F52" w:rsidRPr="007500EA">
              <w:rPr>
                <w:rFonts w:ascii="Times New Roman" w:hAnsi="Times New Roman" w:cs="Times New Roman"/>
                <w:color w:val="000000"/>
                <w:sz w:val="24"/>
                <w:szCs w:val="24"/>
              </w:rPr>
              <w:t xml:space="preserve">rašymų išduoti ar pakeisti leidimą laikinai gyventi pateikimo ir leidimų laikinai gyventi užsieniečiams išdavimo, keitimo, panaikinimo tvarką, taip pat tvarką, kaip įvertinama, ar užsienietis atitinka leidimo laikinai gyventi išdavimo ar keitimo sąlygas, ar nėra atsisakymo išduoti ar pakeisti leidimą laikinai gyventi ir leidimo laikinai gyventi panaikinimo pagrindų, ir tvarką, kaip įvertinama, ar santuoka, registruota partnerystė, įvaikinimas ar įmonė yra fiktyvūs, nustato vidaus reikalų ministras, suderinęs su užsienio reikalų ministru“. Vadovaujantis šiuo straipsniu yra patvirtintas </w:t>
            </w:r>
            <w:r w:rsidR="00CC5F52" w:rsidRPr="007500EA">
              <w:rPr>
                <w:rFonts w:ascii="Times New Roman" w:hAnsi="Times New Roman"/>
                <w:color w:val="000000"/>
                <w:sz w:val="24"/>
                <w:szCs w:val="24"/>
              </w:rPr>
              <w:t>Leidimų laikinai gyventi Lietuvos Respublikoje užsieniečiams išdavimo, keitimo, panaikinimo, taip pat įvertinimo, ar santuoka, registruota partnerystė, įvaikinimas ar įmonė yra fiktyvūs, tvarkos aprašas (Lietuvos Respublikos vidaus reikalų ministro 2005 m. spalio 12 d. įsakymas Nr. 1V-329). Ar įmonė yra fiktyvi yra įvertinama, o ne nustatoma.</w:t>
            </w:r>
          </w:p>
          <w:p w:rsidR="00CC5F52" w:rsidRPr="007500EA" w:rsidRDefault="00CC5F52" w:rsidP="00590DCE">
            <w:pPr>
              <w:jc w:val="both"/>
              <w:rPr>
                <w:rFonts w:ascii="Times New Roman" w:eastAsia="Calibri" w:hAnsi="Times New Roman" w:cs="Times New Roman"/>
                <w:sz w:val="24"/>
                <w:szCs w:val="24"/>
              </w:rPr>
            </w:pPr>
          </w:p>
          <w:p w:rsidR="00067D08" w:rsidRPr="007500EA" w:rsidRDefault="00F85967" w:rsidP="00CC5F52">
            <w:pPr>
              <w:pStyle w:val="prastasis1"/>
              <w:spacing w:beforeAutospacing="0" w:afterAutospacing="0"/>
              <w:jc w:val="both"/>
              <w:textAlignment w:val="baseline"/>
              <w:rPr>
                <w:rFonts w:eastAsia="Calibri"/>
              </w:rPr>
            </w:pPr>
            <w:r w:rsidRPr="007500EA">
              <w:rPr>
                <w:rFonts w:eastAsia="Calibri"/>
                <w:b/>
              </w:rPr>
              <w:lastRenderedPageBreak/>
              <w:t xml:space="preserve">Neatsižvelgta. </w:t>
            </w:r>
            <w:r w:rsidR="00070761" w:rsidRPr="007500EA">
              <w:rPr>
                <w:rFonts w:eastAsia="Calibri"/>
              </w:rPr>
              <w:t>Reikalavimas turėti trečiųjų šalių piliečių įdarbinimo patirties</w:t>
            </w:r>
            <w:r w:rsidRPr="007500EA">
              <w:rPr>
                <w:rFonts w:eastAsia="Calibri"/>
              </w:rPr>
              <w:t xml:space="preserve"> nustatoma</w:t>
            </w:r>
            <w:r w:rsidR="00070761" w:rsidRPr="007500EA">
              <w:rPr>
                <w:rFonts w:eastAsia="Calibri"/>
              </w:rPr>
              <w:t>s</w:t>
            </w:r>
            <w:r w:rsidRPr="007500EA">
              <w:rPr>
                <w:rFonts w:eastAsia="Calibri"/>
              </w:rPr>
              <w:t xml:space="preserve"> tikslingai siekiant, kad pirmiausia įmonės įdarbintų užsieniečius taik</w:t>
            </w:r>
            <w:r w:rsidR="00D96ADE">
              <w:rPr>
                <w:rFonts w:eastAsia="Calibri"/>
              </w:rPr>
              <w:t>ydamos</w:t>
            </w:r>
            <w:r w:rsidRPr="007500EA">
              <w:rPr>
                <w:rFonts w:eastAsia="Calibri"/>
              </w:rPr>
              <w:t xml:space="preserve"> bendrus įstatyme nustatytus reikalavimus ir procedūras</w:t>
            </w:r>
            <w:r w:rsidR="003C007B" w:rsidRPr="007500EA">
              <w:rPr>
                <w:rFonts w:eastAsia="Calibri"/>
              </w:rPr>
              <w:t>,</w:t>
            </w:r>
            <w:r w:rsidRPr="007500EA">
              <w:rPr>
                <w:rFonts w:eastAsia="Calibri"/>
              </w:rPr>
              <w:t xml:space="preserve"> ir jeigu įmonė tinkamai įdarbino užsieniečius, neturi pažeidimų,</w:t>
            </w:r>
            <w:r w:rsidR="003C007B" w:rsidRPr="007500EA">
              <w:rPr>
                <w:rFonts w:eastAsia="Calibri"/>
              </w:rPr>
              <w:t xml:space="preserve"> t. y. įgijo užsieniečių įdarbinimo patirties,</w:t>
            </w:r>
            <w:r w:rsidRPr="007500EA">
              <w:rPr>
                <w:rFonts w:eastAsia="Calibri"/>
              </w:rPr>
              <w:t xml:space="preserve"> t</w:t>
            </w:r>
            <w:r w:rsidR="00D96ADE">
              <w:rPr>
                <w:rFonts w:eastAsia="Calibri"/>
              </w:rPr>
              <w:t>ada</w:t>
            </w:r>
            <w:r w:rsidRPr="007500EA">
              <w:rPr>
                <w:rFonts w:eastAsia="Calibri"/>
              </w:rPr>
              <w:t xml:space="preserve"> ji gali būti įtraukta į patvirtintų įmonių sąrašą ir galės turėti l</w:t>
            </w:r>
            <w:r w:rsidR="00070761" w:rsidRPr="007500EA">
              <w:rPr>
                <w:rFonts w:eastAsia="Calibri"/>
              </w:rPr>
              <w:t xml:space="preserve">engvatų įdarbinant užsieniečius. Kadangi patvirtintų įmonių sąraše gali būti tik patikimos įmonės, siūloma, kad patvirtintų įmonių sąraše galėtų būti tik tos įmonės, kurios jau turi </w:t>
            </w:r>
            <w:r w:rsidR="00070761" w:rsidRPr="007500EA">
              <w:t>trečiųjų šalių piliečių įdarbinimo patirties.</w:t>
            </w:r>
          </w:p>
          <w:p w:rsidR="00067D08" w:rsidRPr="007500EA" w:rsidRDefault="00067D08" w:rsidP="00CC5F52">
            <w:pPr>
              <w:pStyle w:val="prastasis1"/>
              <w:spacing w:beforeAutospacing="0" w:afterAutospacing="0"/>
              <w:jc w:val="both"/>
              <w:textAlignment w:val="baseline"/>
              <w:rPr>
                <w:rFonts w:eastAsia="Calibri"/>
                <w:b/>
              </w:rPr>
            </w:pPr>
          </w:p>
          <w:p w:rsidR="00590DCE" w:rsidRPr="007500EA" w:rsidRDefault="00CC5F52">
            <w:pPr>
              <w:pStyle w:val="prastasis1"/>
              <w:spacing w:beforeAutospacing="0" w:afterAutospacing="0"/>
              <w:jc w:val="both"/>
              <w:textAlignment w:val="baseline"/>
              <w:rPr>
                <w:rFonts w:eastAsia="Calibri"/>
              </w:rPr>
            </w:pPr>
            <w:r w:rsidRPr="007500EA">
              <w:rPr>
                <w:rFonts w:eastAsia="Calibri"/>
                <w:b/>
              </w:rPr>
              <w:t xml:space="preserve">Neatsižvelgta. </w:t>
            </w:r>
            <w:r w:rsidRPr="007500EA">
              <w:rPr>
                <w:rFonts w:eastAsia="Calibri"/>
              </w:rPr>
              <w:t>P</w:t>
            </w:r>
            <w:r w:rsidRPr="007500EA">
              <w:t xml:space="preserve">atvirtintų įmonių sąrašas, kuris taikomas užsieniečiams išduodant nacionalines vizas, taikomas užsieniečiui atvykstant iš mažesnės nelegalios migracijos rizikos šalių, t. y. tų trečiųjų šalių piliečiams, kuriems </w:t>
            </w:r>
            <w:r w:rsidRPr="007500EA">
              <w:rPr>
                <w:iCs/>
              </w:rPr>
              <w:t xml:space="preserve">pagal </w:t>
            </w:r>
            <w:r w:rsidRPr="007500EA">
              <w:t xml:space="preserve">Vizų režimo reglamentą taikomas bevizis režimas arba kurie turi pilietybę tokios užsienio valstybės, </w:t>
            </w:r>
            <w:r w:rsidRPr="007500EA">
              <w:rPr>
                <w:color w:val="000000"/>
              </w:rPr>
              <w:t xml:space="preserve">kuriai Lietuvos Respublika taiko nacionalinių vizų išdavimo lengvatas vienašališkai arba pagal tarptautinius susitarimus. Taigi šioje nuostatoje siūloma šią taisyklę taikyti ir toliau. </w:t>
            </w:r>
            <w:r w:rsidR="009A52DE" w:rsidRPr="007500EA">
              <w:rPr>
                <w:color w:val="000000"/>
              </w:rPr>
              <w:t>Ši informacija pateikta aiškinamajame rašte.</w:t>
            </w:r>
          </w:p>
        </w:tc>
      </w:tr>
      <w:tr w:rsidR="00313A4F" w:rsidRPr="007500EA" w:rsidTr="000B374E">
        <w:tc>
          <w:tcPr>
            <w:tcW w:w="1980" w:type="dxa"/>
            <w:vMerge/>
          </w:tcPr>
          <w:p w:rsidR="00313A4F" w:rsidRPr="007500EA" w:rsidRDefault="00313A4F" w:rsidP="00497E3C">
            <w:pPr>
              <w:rPr>
                <w:rFonts w:ascii="Times New Roman" w:hAnsi="Times New Roman" w:cs="Times New Roman"/>
                <w:sz w:val="24"/>
                <w:szCs w:val="24"/>
              </w:rPr>
            </w:pPr>
          </w:p>
        </w:tc>
        <w:tc>
          <w:tcPr>
            <w:tcW w:w="6237" w:type="dxa"/>
          </w:tcPr>
          <w:p w:rsidR="00313A4F" w:rsidRPr="007500EA" w:rsidRDefault="00313A4F" w:rsidP="00313A4F">
            <w:pPr>
              <w:tabs>
                <w:tab w:val="left" w:pos="1134"/>
              </w:tabs>
              <w:jc w:val="both"/>
              <w:rPr>
                <w:rFonts w:ascii="Times New Roman" w:hAnsi="Times New Roman" w:cs="Times New Roman"/>
                <w:color w:val="000000"/>
                <w:sz w:val="24"/>
                <w:szCs w:val="24"/>
              </w:rPr>
            </w:pPr>
            <w:r w:rsidRPr="007500EA">
              <w:rPr>
                <w:rFonts w:ascii="Times New Roman" w:hAnsi="Times New Roman" w:cs="Times New Roman"/>
                <w:color w:val="000000"/>
                <w:sz w:val="24"/>
                <w:szCs w:val="24"/>
              </w:rPr>
              <w:t>4. Abejojame, ar tikslinga Projekto 24 straipsnio 2 dalimi keisti UTPĮ 133 straipsnio 5 dalį, nes nieko naujo iš esmės neįtvirtinama.</w:t>
            </w:r>
          </w:p>
        </w:tc>
        <w:tc>
          <w:tcPr>
            <w:tcW w:w="6521" w:type="dxa"/>
          </w:tcPr>
          <w:p w:rsidR="00313A4F" w:rsidRPr="007500EA" w:rsidRDefault="0040238B" w:rsidP="00D26A89">
            <w:pPr>
              <w:ind w:right="-50"/>
              <w:jc w:val="both"/>
              <w:rPr>
                <w:rFonts w:ascii="Times New Roman" w:eastAsia="Calibri" w:hAnsi="Times New Roman" w:cs="Times New Roman"/>
                <w:b/>
                <w:sz w:val="24"/>
                <w:szCs w:val="24"/>
              </w:rPr>
            </w:pPr>
            <w:r w:rsidRPr="007500EA">
              <w:rPr>
                <w:rFonts w:ascii="Times New Roman" w:hAnsi="Times New Roman" w:cs="Times New Roman"/>
                <w:b/>
                <w:color w:val="000000" w:themeColor="text1"/>
                <w:sz w:val="24"/>
                <w:szCs w:val="24"/>
              </w:rPr>
              <w:t>Neatsižvelgta.</w:t>
            </w:r>
            <w:r w:rsidRPr="007500EA">
              <w:rPr>
                <w:rFonts w:ascii="Times New Roman" w:hAnsi="Times New Roman" w:cs="Times New Roman"/>
                <w:color w:val="000000" w:themeColor="text1"/>
                <w:sz w:val="24"/>
                <w:szCs w:val="24"/>
              </w:rPr>
              <w:t xml:space="preserve"> </w:t>
            </w:r>
            <w:r w:rsidRPr="007500EA">
              <w:rPr>
                <w:rFonts w:ascii="Times New Roman" w:hAnsi="Times New Roman" w:cs="Times New Roman"/>
                <w:color w:val="000000"/>
                <w:sz w:val="24"/>
                <w:szCs w:val="24"/>
              </w:rPr>
              <w:t xml:space="preserve">Įstatyme nustatyta, kad užsieniečiui gali būti uždrausta atvykti į Lietuvos Respubliką ilgesniam kaip 5 metų laikotarpiui, jeigu jis gali kelti grėsmę valstybės saugumui ar viešajai tvarkai. Taigi, nuostata dėl uždraudimo užsieniečiui atvykti į Lietuvos Respubliką dėl grėsmės valstybės saugumui ar viešajai tvarkai priežasčių nėra imperatyvi. UTPĮ projekte siūloma nustatyti imperatyvią nuostatą siekiant, </w:t>
            </w:r>
            <w:r w:rsidRPr="007500EA">
              <w:rPr>
                <w:rFonts w:ascii="Times New Roman" w:hAnsi="Times New Roman" w:cs="Times New Roman"/>
                <w:color w:val="000000" w:themeColor="text1"/>
                <w:sz w:val="24"/>
                <w:szCs w:val="24"/>
              </w:rPr>
              <w:t>kad tuo atveju, kai užsieniečio buvimas Lietuvos Respublikoje gali kelti grėsmę valstybės saugumui ar viešajai tvarkai, nebūtų galimybės priimti kitokį sprendimą nei uždraudimas atvykti į Lietuvos Respubliką. Grėsmė valstybės saugumui ir viešajai tvarkai yra labai rimti pagrindai, tad</w:t>
            </w:r>
            <w:r w:rsidR="00D96ADE">
              <w:rPr>
                <w:rFonts w:ascii="Times New Roman" w:hAnsi="Times New Roman" w:cs="Times New Roman"/>
                <w:color w:val="000000" w:themeColor="text1"/>
                <w:sz w:val="24"/>
                <w:szCs w:val="24"/>
              </w:rPr>
              <w:t>,</w:t>
            </w:r>
            <w:r w:rsidRPr="007500EA">
              <w:rPr>
                <w:rFonts w:ascii="Times New Roman" w:hAnsi="Times New Roman" w:cs="Times New Roman"/>
                <w:color w:val="000000" w:themeColor="text1"/>
                <w:sz w:val="24"/>
                <w:szCs w:val="24"/>
              </w:rPr>
              <w:t xml:space="preserve"> siekiant aiškumo</w:t>
            </w:r>
            <w:r w:rsidR="00D26A89" w:rsidRPr="007500EA">
              <w:rPr>
                <w:rFonts w:ascii="Times New Roman" w:hAnsi="Times New Roman" w:cs="Times New Roman"/>
                <w:color w:val="000000" w:themeColor="text1"/>
                <w:sz w:val="24"/>
                <w:szCs w:val="24"/>
              </w:rPr>
              <w:t>,</w:t>
            </w:r>
            <w:r w:rsidRPr="007500EA">
              <w:rPr>
                <w:rFonts w:ascii="Times New Roman" w:hAnsi="Times New Roman" w:cs="Times New Roman"/>
                <w:color w:val="000000" w:themeColor="text1"/>
                <w:sz w:val="24"/>
                <w:szCs w:val="24"/>
              </w:rPr>
              <w:t xml:space="preserve"> vengiant skirtingo interpretavimo</w:t>
            </w:r>
            <w:r w:rsidR="00D26A89" w:rsidRPr="007500EA">
              <w:rPr>
                <w:rFonts w:ascii="Times New Roman" w:hAnsi="Times New Roman" w:cs="Times New Roman"/>
                <w:color w:val="000000" w:themeColor="text1"/>
                <w:sz w:val="24"/>
                <w:szCs w:val="24"/>
              </w:rPr>
              <w:t xml:space="preserve"> ir subjektyvaus vertinimo</w:t>
            </w:r>
            <w:r w:rsidRPr="007500EA">
              <w:rPr>
                <w:rFonts w:ascii="Times New Roman" w:hAnsi="Times New Roman" w:cs="Times New Roman"/>
                <w:color w:val="000000" w:themeColor="text1"/>
                <w:sz w:val="24"/>
                <w:szCs w:val="24"/>
              </w:rPr>
              <w:t>, siūloma nustatyti imperatyvą. Š</w:t>
            </w:r>
            <w:r w:rsidR="00E8257E" w:rsidRPr="007500EA">
              <w:rPr>
                <w:rFonts w:ascii="Times New Roman" w:hAnsi="Times New Roman" w:cs="Times New Roman"/>
                <w:color w:val="000000" w:themeColor="text1"/>
                <w:sz w:val="24"/>
                <w:szCs w:val="24"/>
              </w:rPr>
              <w:t>į</w:t>
            </w:r>
            <w:r w:rsidRPr="007500EA">
              <w:rPr>
                <w:rFonts w:ascii="Times New Roman" w:hAnsi="Times New Roman" w:cs="Times New Roman"/>
                <w:color w:val="000000" w:themeColor="text1"/>
                <w:sz w:val="24"/>
                <w:szCs w:val="24"/>
              </w:rPr>
              <w:t xml:space="preserve"> </w:t>
            </w:r>
            <w:r w:rsidR="00D96ADE">
              <w:rPr>
                <w:rFonts w:ascii="Times New Roman" w:hAnsi="Times New Roman" w:cs="Times New Roman"/>
                <w:color w:val="000000" w:themeColor="text1"/>
                <w:sz w:val="24"/>
                <w:szCs w:val="24"/>
              </w:rPr>
              <w:t>pa</w:t>
            </w:r>
            <w:r w:rsidRPr="007500EA">
              <w:rPr>
                <w:rFonts w:ascii="Times New Roman" w:hAnsi="Times New Roman" w:cs="Times New Roman"/>
                <w:color w:val="000000" w:themeColor="text1"/>
                <w:sz w:val="24"/>
                <w:szCs w:val="24"/>
              </w:rPr>
              <w:t>siūlym</w:t>
            </w:r>
            <w:r w:rsidR="00E8257E" w:rsidRPr="007500EA">
              <w:rPr>
                <w:rFonts w:ascii="Times New Roman" w:hAnsi="Times New Roman" w:cs="Times New Roman"/>
                <w:color w:val="000000" w:themeColor="text1"/>
                <w:sz w:val="24"/>
                <w:szCs w:val="24"/>
              </w:rPr>
              <w:t>ą</w:t>
            </w:r>
            <w:r w:rsidRPr="007500EA">
              <w:rPr>
                <w:rFonts w:ascii="Times New Roman" w:hAnsi="Times New Roman" w:cs="Times New Roman"/>
                <w:color w:val="000000" w:themeColor="text1"/>
                <w:sz w:val="24"/>
                <w:szCs w:val="24"/>
              </w:rPr>
              <w:t xml:space="preserve"> </w:t>
            </w:r>
            <w:r w:rsidR="00E8257E" w:rsidRPr="007500EA">
              <w:rPr>
                <w:rFonts w:ascii="Times New Roman" w:hAnsi="Times New Roman" w:cs="Times New Roman"/>
                <w:color w:val="000000" w:themeColor="text1"/>
                <w:sz w:val="24"/>
                <w:szCs w:val="24"/>
              </w:rPr>
              <w:t>pateikė</w:t>
            </w:r>
            <w:r w:rsidRPr="007500EA">
              <w:rPr>
                <w:rFonts w:ascii="Times New Roman" w:hAnsi="Times New Roman" w:cs="Times New Roman"/>
                <w:color w:val="000000" w:themeColor="text1"/>
                <w:sz w:val="24"/>
                <w:szCs w:val="24"/>
              </w:rPr>
              <w:t xml:space="preserve"> Valstybės saugumo departamentas. </w:t>
            </w:r>
          </w:p>
        </w:tc>
      </w:tr>
    </w:tbl>
    <w:p w:rsidR="00CA4BFF" w:rsidRPr="007500EA" w:rsidRDefault="00CA4BFF" w:rsidP="003447EE">
      <w:pPr>
        <w:spacing w:after="0" w:line="240" w:lineRule="auto"/>
        <w:rPr>
          <w:rFonts w:ascii="Times New Roman" w:hAnsi="Times New Roman" w:cs="Times New Roman"/>
          <w:b/>
          <w:sz w:val="24"/>
          <w:szCs w:val="24"/>
        </w:rPr>
      </w:pPr>
    </w:p>
    <w:sectPr w:rsidR="00CA4BFF" w:rsidRPr="007500EA" w:rsidSect="00AB06C5">
      <w:headerReference w:type="default" r:id="rId8"/>
      <w:pgSz w:w="15840" w:h="12240" w:orient="landscape"/>
      <w:pgMar w:top="1134" w:right="567"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567" w:rsidRDefault="00B90567" w:rsidP="00DC72AF">
      <w:pPr>
        <w:spacing w:after="0" w:line="240" w:lineRule="auto"/>
      </w:pPr>
      <w:r>
        <w:separator/>
      </w:r>
    </w:p>
  </w:endnote>
  <w:endnote w:type="continuationSeparator" w:id="0">
    <w:p w:rsidR="00B90567" w:rsidRDefault="00B90567" w:rsidP="00DC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567" w:rsidRDefault="00B90567" w:rsidP="00DC72AF">
      <w:pPr>
        <w:spacing w:after="0" w:line="240" w:lineRule="auto"/>
      </w:pPr>
      <w:r>
        <w:separator/>
      </w:r>
    </w:p>
  </w:footnote>
  <w:footnote w:type="continuationSeparator" w:id="0">
    <w:p w:rsidR="00B90567" w:rsidRDefault="00B90567" w:rsidP="00DC7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692450"/>
      <w:docPartObj>
        <w:docPartGallery w:val="Page Numbers (Top of Page)"/>
        <w:docPartUnique/>
      </w:docPartObj>
    </w:sdtPr>
    <w:sdtEndPr/>
    <w:sdtContent>
      <w:p w:rsidR="00B205CC" w:rsidRDefault="00705921">
        <w:pPr>
          <w:pStyle w:val="Antrats"/>
          <w:jc w:val="center"/>
        </w:pPr>
        <w:r>
          <w:rPr>
            <w:noProof/>
          </w:rPr>
          <w:fldChar w:fldCharType="begin"/>
        </w:r>
        <w:r>
          <w:rPr>
            <w:noProof/>
          </w:rPr>
          <w:instrText>PAGE   \* MERGEFORMAT</w:instrText>
        </w:r>
        <w:r>
          <w:rPr>
            <w:noProof/>
          </w:rPr>
          <w:fldChar w:fldCharType="separate"/>
        </w:r>
        <w:r w:rsidR="00AB06C5">
          <w:rPr>
            <w:noProof/>
          </w:rPr>
          <w:t>7</w:t>
        </w:r>
        <w:r>
          <w:rPr>
            <w:noProof/>
          </w:rPr>
          <w:fldChar w:fldCharType="end"/>
        </w:r>
      </w:p>
    </w:sdtContent>
  </w:sdt>
  <w:p w:rsidR="00B205CC" w:rsidRDefault="00B205C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B0C84"/>
    <w:multiLevelType w:val="hybridMultilevel"/>
    <w:tmpl w:val="4E6E5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E20E7"/>
    <w:multiLevelType w:val="multilevel"/>
    <w:tmpl w:val="01127F0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CC705C"/>
    <w:multiLevelType w:val="hybridMultilevel"/>
    <w:tmpl w:val="F5460D2A"/>
    <w:lvl w:ilvl="0" w:tplc="C4FEBEFA">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3ACE2A46"/>
    <w:multiLevelType w:val="multilevel"/>
    <w:tmpl w:val="7D42C24C"/>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6055F96"/>
    <w:multiLevelType w:val="hybridMultilevel"/>
    <w:tmpl w:val="DE1A45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D4408"/>
    <w:multiLevelType w:val="hybridMultilevel"/>
    <w:tmpl w:val="7EB0B96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9E"/>
    <w:rsid w:val="00017C9F"/>
    <w:rsid w:val="0002287E"/>
    <w:rsid w:val="00022FA2"/>
    <w:rsid w:val="00025CED"/>
    <w:rsid w:val="000547A9"/>
    <w:rsid w:val="00057D7F"/>
    <w:rsid w:val="000603B9"/>
    <w:rsid w:val="000671EF"/>
    <w:rsid w:val="00067D08"/>
    <w:rsid w:val="00070761"/>
    <w:rsid w:val="00086CC9"/>
    <w:rsid w:val="000870D5"/>
    <w:rsid w:val="00092494"/>
    <w:rsid w:val="000A309B"/>
    <w:rsid w:val="000A3BB2"/>
    <w:rsid w:val="000B374E"/>
    <w:rsid w:val="000C31CE"/>
    <w:rsid w:val="000D31D1"/>
    <w:rsid w:val="000D6D5B"/>
    <w:rsid w:val="000F0031"/>
    <w:rsid w:val="000F3A7C"/>
    <w:rsid w:val="0010067D"/>
    <w:rsid w:val="00100F7A"/>
    <w:rsid w:val="001036C5"/>
    <w:rsid w:val="00113E43"/>
    <w:rsid w:val="00116278"/>
    <w:rsid w:val="00122D71"/>
    <w:rsid w:val="00127098"/>
    <w:rsid w:val="00127AD4"/>
    <w:rsid w:val="00127C19"/>
    <w:rsid w:val="00131ED6"/>
    <w:rsid w:val="001324CC"/>
    <w:rsid w:val="00144DB6"/>
    <w:rsid w:val="00160DE4"/>
    <w:rsid w:val="001640CF"/>
    <w:rsid w:val="00190203"/>
    <w:rsid w:val="00195452"/>
    <w:rsid w:val="001A28B4"/>
    <w:rsid w:val="001B0AB9"/>
    <w:rsid w:val="001B25E6"/>
    <w:rsid w:val="001B4490"/>
    <w:rsid w:val="001B508A"/>
    <w:rsid w:val="001B64D0"/>
    <w:rsid w:val="001C20E6"/>
    <w:rsid w:val="001C7DF9"/>
    <w:rsid w:val="001D3AEC"/>
    <w:rsid w:val="001F6111"/>
    <w:rsid w:val="0020162C"/>
    <w:rsid w:val="00203E70"/>
    <w:rsid w:val="0020766B"/>
    <w:rsid w:val="00214499"/>
    <w:rsid w:val="00215210"/>
    <w:rsid w:val="0021689A"/>
    <w:rsid w:val="0022009A"/>
    <w:rsid w:val="00223BD8"/>
    <w:rsid w:val="002471E2"/>
    <w:rsid w:val="002501FD"/>
    <w:rsid w:val="00263104"/>
    <w:rsid w:val="002649BD"/>
    <w:rsid w:val="00264EE1"/>
    <w:rsid w:val="00266F2B"/>
    <w:rsid w:val="00281145"/>
    <w:rsid w:val="002830E6"/>
    <w:rsid w:val="002834B1"/>
    <w:rsid w:val="002B3ECE"/>
    <w:rsid w:val="002C4D77"/>
    <w:rsid w:val="002C7DCB"/>
    <w:rsid w:val="002D20DE"/>
    <w:rsid w:val="002E4DF7"/>
    <w:rsid w:val="002F267D"/>
    <w:rsid w:val="002F5010"/>
    <w:rsid w:val="003041A1"/>
    <w:rsid w:val="00305DBD"/>
    <w:rsid w:val="0030750C"/>
    <w:rsid w:val="00312DDD"/>
    <w:rsid w:val="00313A4F"/>
    <w:rsid w:val="00316BA3"/>
    <w:rsid w:val="00327EDB"/>
    <w:rsid w:val="00332CB9"/>
    <w:rsid w:val="003361A6"/>
    <w:rsid w:val="00337788"/>
    <w:rsid w:val="003447EE"/>
    <w:rsid w:val="00351767"/>
    <w:rsid w:val="00351CC0"/>
    <w:rsid w:val="00352A23"/>
    <w:rsid w:val="00355DBF"/>
    <w:rsid w:val="00366DE9"/>
    <w:rsid w:val="003705FF"/>
    <w:rsid w:val="00387D7D"/>
    <w:rsid w:val="00387EA5"/>
    <w:rsid w:val="0039410D"/>
    <w:rsid w:val="003A01FD"/>
    <w:rsid w:val="003A6E8C"/>
    <w:rsid w:val="003C007B"/>
    <w:rsid w:val="0040238B"/>
    <w:rsid w:val="0040536D"/>
    <w:rsid w:val="00412E91"/>
    <w:rsid w:val="0041520B"/>
    <w:rsid w:val="00422499"/>
    <w:rsid w:val="00432CD9"/>
    <w:rsid w:val="00435695"/>
    <w:rsid w:val="0044185B"/>
    <w:rsid w:val="00443272"/>
    <w:rsid w:val="00452140"/>
    <w:rsid w:val="0047142F"/>
    <w:rsid w:val="00482084"/>
    <w:rsid w:val="00497E3C"/>
    <w:rsid w:val="004A181B"/>
    <w:rsid w:val="004A46F2"/>
    <w:rsid w:val="004A59FA"/>
    <w:rsid w:val="004A5D55"/>
    <w:rsid w:val="004C2561"/>
    <w:rsid w:val="004D21DA"/>
    <w:rsid w:val="004D6159"/>
    <w:rsid w:val="004E20E2"/>
    <w:rsid w:val="0050783A"/>
    <w:rsid w:val="005122FF"/>
    <w:rsid w:val="00561E93"/>
    <w:rsid w:val="00563D7F"/>
    <w:rsid w:val="0056497A"/>
    <w:rsid w:val="005658FF"/>
    <w:rsid w:val="0057179C"/>
    <w:rsid w:val="00572D17"/>
    <w:rsid w:val="00573F93"/>
    <w:rsid w:val="005852C6"/>
    <w:rsid w:val="00590DCE"/>
    <w:rsid w:val="00593DF0"/>
    <w:rsid w:val="00594803"/>
    <w:rsid w:val="005A1AAD"/>
    <w:rsid w:val="005C3BB4"/>
    <w:rsid w:val="005C6F6C"/>
    <w:rsid w:val="005D7C96"/>
    <w:rsid w:val="005E4649"/>
    <w:rsid w:val="005E50F4"/>
    <w:rsid w:val="005E7B26"/>
    <w:rsid w:val="00606D41"/>
    <w:rsid w:val="00613C5B"/>
    <w:rsid w:val="0061410D"/>
    <w:rsid w:val="00614742"/>
    <w:rsid w:val="00617B9E"/>
    <w:rsid w:val="006213EE"/>
    <w:rsid w:val="00660346"/>
    <w:rsid w:val="00666EE9"/>
    <w:rsid w:val="006677FB"/>
    <w:rsid w:val="00676910"/>
    <w:rsid w:val="00682FD8"/>
    <w:rsid w:val="006907B7"/>
    <w:rsid w:val="00693A22"/>
    <w:rsid w:val="00694E05"/>
    <w:rsid w:val="006975E6"/>
    <w:rsid w:val="006C412F"/>
    <w:rsid w:val="006C4BF0"/>
    <w:rsid w:val="006E2AB8"/>
    <w:rsid w:val="006E3593"/>
    <w:rsid w:val="006E7F9A"/>
    <w:rsid w:val="00705921"/>
    <w:rsid w:val="00715D86"/>
    <w:rsid w:val="00733AE1"/>
    <w:rsid w:val="007424A8"/>
    <w:rsid w:val="00742E47"/>
    <w:rsid w:val="00747FA0"/>
    <w:rsid w:val="007500EA"/>
    <w:rsid w:val="0076232D"/>
    <w:rsid w:val="00773581"/>
    <w:rsid w:val="00774612"/>
    <w:rsid w:val="007748C6"/>
    <w:rsid w:val="00791A6F"/>
    <w:rsid w:val="007C0948"/>
    <w:rsid w:val="007D5FB2"/>
    <w:rsid w:val="007E2880"/>
    <w:rsid w:val="007E6C30"/>
    <w:rsid w:val="007F5ECF"/>
    <w:rsid w:val="007F6833"/>
    <w:rsid w:val="008076CF"/>
    <w:rsid w:val="00807DCA"/>
    <w:rsid w:val="0081180E"/>
    <w:rsid w:val="008120C5"/>
    <w:rsid w:val="00833427"/>
    <w:rsid w:val="0084456D"/>
    <w:rsid w:val="0085576D"/>
    <w:rsid w:val="00860B7C"/>
    <w:rsid w:val="00862182"/>
    <w:rsid w:val="00865FCC"/>
    <w:rsid w:val="008679FA"/>
    <w:rsid w:val="008844A5"/>
    <w:rsid w:val="00884BA3"/>
    <w:rsid w:val="00885928"/>
    <w:rsid w:val="008976DA"/>
    <w:rsid w:val="008C41B7"/>
    <w:rsid w:val="008D6443"/>
    <w:rsid w:val="008D6B76"/>
    <w:rsid w:val="008E2676"/>
    <w:rsid w:val="008E26BE"/>
    <w:rsid w:val="008E7CD1"/>
    <w:rsid w:val="0090375E"/>
    <w:rsid w:val="00945ECE"/>
    <w:rsid w:val="00950367"/>
    <w:rsid w:val="00952206"/>
    <w:rsid w:val="00954852"/>
    <w:rsid w:val="00964D10"/>
    <w:rsid w:val="00974E86"/>
    <w:rsid w:val="009924FE"/>
    <w:rsid w:val="00993280"/>
    <w:rsid w:val="00994C0F"/>
    <w:rsid w:val="009950F0"/>
    <w:rsid w:val="00995B57"/>
    <w:rsid w:val="009A52DE"/>
    <w:rsid w:val="009B0949"/>
    <w:rsid w:val="009B2B8E"/>
    <w:rsid w:val="009C3716"/>
    <w:rsid w:val="009C70D3"/>
    <w:rsid w:val="009E4DAD"/>
    <w:rsid w:val="00A17C15"/>
    <w:rsid w:val="00A2194C"/>
    <w:rsid w:val="00A37F46"/>
    <w:rsid w:val="00A418CC"/>
    <w:rsid w:val="00A4626C"/>
    <w:rsid w:val="00A524B4"/>
    <w:rsid w:val="00A53DBF"/>
    <w:rsid w:val="00A55D80"/>
    <w:rsid w:val="00A65B89"/>
    <w:rsid w:val="00A73F0F"/>
    <w:rsid w:val="00A76EAC"/>
    <w:rsid w:val="00A84487"/>
    <w:rsid w:val="00A85397"/>
    <w:rsid w:val="00AB06C5"/>
    <w:rsid w:val="00AB6945"/>
    <w:rsid w:val="00AC5529"/>
    <w:rsid w:val="00AE3D47"/>
    <w:rsid w:val="00AE56BA"/>
    <w:rsid w:val="00AF5124"/>
    <w:rsid w:val="00AF74AB"/>
    <w:rsid w:val="00B01C07"/>
    <w:rsid w:val="00B120E6"/>
    <w:rsid w:val="00B205CC"/>
    <w:rsid w:val="00B220CC"/>
    <w:rsid w:val="00B22B6D"/>
    <w:rsid w:val="00B2641D"/>
    <w:rsid w:val="00B36F86"/>
    <w:rsid w:val="00B44E4D"/>
    <w:rsid w:val="00B52B1F"/>
    <w:rsid w:val="00B632F1"/>
    <w:rsid w:val="00B70F0C"/>
    <w:rsid w:val="00B76E3F"/>
    <w:rsid w:val="00B863FB"/>
    <w:rsid w:val="00B90567"/>
    <w:rsid w:val="00B95802"/>
    <w:rsid w:val="00BA2B69"/>
    <w:rsid w:val="00BB78B2"/>
    <w:rsid w:val="00BB7A79"/>
    <w:rsid w:val="00BD2B49"/>
    <w:rsid w:val="00BD4FF3"/>
    <w:rsid w:val="00BE14E7"/>
    <w:rsid w:val="00BE352C"/>
    <w:rsid w:val="00BE3D4D"/>
    <w:rsid w:val="00BE43E8"/>
    <w:rsid w:val="00BF25B6"/>
    <w:rsid w:val="00BF3ACD"/>
    <w:rsid w:val="00C01A7A"/>
    <w:rsid w:val="00C04C60"/>
    <w:rsid w:val="00C0544B"/>
    <w:rsid w:val="00C07002"/>
    <w:rsid w:val="00C13065"/>
    <w:rsid w:val="00C2721E"/>
    <w:rsid w:val="00C31555"/>
    <w:rsid w:val="00C33B6A"/>
    <w:rsid w:val="00C346FF"/>
    <w:rsid w:val="00C35EEB"/>
    <w:rsid w:val="00C41BDD"/>
    <w:rsid w:val="00C44A27"/>
    <w:rsid w:val="00C47825"/>
    <w:rsid w:val="00C57EF9"/>
    <w:rsid w:val="00C62015"/>
    <w:rsid w:val="00C7326F"/>
    <w:rsid w:val="00C75F3F"/>
    <w:rsid w:val="00C76A35"/>
    <w:rsid w:val="00C775C7"/>
    <w:rsid w:val="00C84099"/>
    <w:rsid w:val="00C94E74"/>
    <w:rsid w:val="00CA4BFF"/>
    <w:rsid w:val="00CA59EB"/>
    <w:rsid w:val="00CA5D1D"/>
    <w:rsid w:val="00CA6F66"/>
    <w:rsid w:val="00CA75F0"/>
    <w:rsid w:val="00CB2EC2"/>
    <w:rsid w:val="00CB4A85"/>
    <w:rsid w:val="00CC5F52"/>
    <w:rsid w:val="00CC71A3"/>
    <w:rsid w:val="00CC79C9"/>
    <w:rsid w:val="00CC7B71"/>
    <w:rsid w:val="00CF30E7"/>
    <w:rsid w:val="00CF624A"/>
    <w:rsid w:val="00D00771"/>
    <w:rsid w:val="00D0497E"/>
    <w:rsid w:val="00D244F4"/>
    <w:rsid w:val="00D26A89"/>
    <w:rsid w:val="00D26B95"/>
    <w:rsid w:val="00D36BE2"/>
    <w:rsid w:val="00D37928"/>
    <w:rsid w:val="00D429AA"/>
    <w:rsid w:val="00D6079B"/>
    <w:rsid w:val="00D610C3"/>
    <w:rsid w:val="00D616CB"/>
    <w:rsid w:val="00D80863"/>
    <w:rsid w:val="00D859BF"/>
    <w:rsid w:val="00D96ADE"/>
    <w:rsid w:val="00D9765C"/>
    <w:rsid w:val="00DA0FDC"/>
    <w:rsid w:val="00DA26FC"/>
    <w:rsid w:val="00DA5567"/>
    <w:rsid w:val="00DB232C"/>
    <w:rsid w:val="00DC72AF"/>
    <w:rsid w:val="00DD1811"/>
    <w:rsid w:val="00DD2C64"/>
    <w:rsid w:val="00DE6935"/>
    <w:rsid w:val="00E12717"/>
    <w:rsid w:val="00E372DC"/>
    <w:rsid w:val="00E47A20"/>
    <w:rsid w:val="00E60E96"/>
    <w:rsid w:val="00E618B7"/>
    <w:rsid w:val="00E71FA5"/>
    <w:rsid w:val="00E813B2"/>
    <w:rsid w:val="00E8257E"/>
    <w:rsid w:val="00E86822"/>
    <w:rsid w:val="00EA3236"/>
    <w:rsid w:val="00EA67FB"/>
    <w:rsid w:val="00EB0C2F"/>
    <w:rsid w:val="00EB346A"/>
    <w:rsid w:val="00EB5CA8"/>
    <w:rsid w:val="00EC5B1E"/>
    <w:rsid w:val="00ED1D8F"/>
    <w:rsid w:val="00EE7A28"/>
    <w:rsid w:val="00EF344B"/>
    <w:rsid w:val="00EF5A4A"/>
    <w:rsid w:val="00F022E4"/>
    <w:rsid w:val="00F04936"/>
    <w:rsid w:val="00F13115"/>
    <w:rsid w:val="00F22594"/>
    <w:rsid w:val="00F36955"/>
    <w:rsid w:val="00F667BA"/>
    <w:rsid w:val="00F81BED"/>
    <w:rsid w:val="00F85967"/>
    <w:rsid w:val="00F91505"/>
    <w:rsid w:val="00FA1747"/>
    <w:rsid w:val="00FA3D3A"/>
    <w:rsid w:val="00FA6574"/>
    <w:rsid w:val="00FA6D83"/>
    <w:rsid w:val="00FB2264"/>
    <w:rsid w:val="00FC110C"/>
    <w:rsid w:val="00FC6E67"/>
    <w:rsid w:val="00FD0AC1"/>
    <w:rsid w:val="00FD48C2"/>
    <w:rsid w:val="00FD5CAA"/>
    <w:rsid w:val="00FD7D63"/>
    <w:rsid w:val="00FE20D1"/>
    <w:rsid w:val="00FF0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92C18-2501-4767-94A2-33B9DC7C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24C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A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3695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styleId="Debesliotekstas">
    <w:name w:val="Balloon Text"/>
    <w:basedOn w:val="prastasis"/>
    <w:link w:val="DebesliotekstasDiagrama"/>
    <w:uiPriority w:val="99"/>
    <w:semiHidden/>
    <w:unhideWhenUsed/>
    <w:rsid w:val="00160D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DE4"/>
    <w:rPr>
      <w:rFonts w:ascii="Segoe UI" w:hAnsi="Segoe UI" w:cs="Segoe UI"/>
      <w:sz w:val="18"/>
      <w:szCs w:val="18"/>
    </w:rPr>
  </w:style>
  <w:style w:type="character" w:styleId="Komentaronuoroda">
    <w:name w:val="annotation reference"/>
    <w:basedOn w:val="Numatytasispastraiposriftas"/>
    <w:uiPriority w:val="99"/>
    <w:semiHidden/>
    <w:unhideWhenUsed/>
    <w:rsid w:val="003041A1"/>
    <w:rPr>
      <w:sz w:val="16"/>
      <w:szCs w:val="16"/>
    </w:rPr>
  </w:style>
  <w:style w:type="paragraph" w:styleId="Komentarotekstas">
    <w:name w:val="annotation text"/>
    <w:basedOn w:val="prastasis"/>
    <w:link w:val="KomentarotekstasDiagrama"/>
    <w:uiPriority w:val="99"/>
    <w:semiHidden/>
    <w:unhideWhenUsed/>
    <w:rsid w:val="003041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041A1"/>
    <w:rPr>
      <w:sz w:val="20"/>
      <w:szCs w:val="20"/>
    </w:rPr>
  </w:style>
  <w:style w:type="paragraph" w:styleId="Komentarotema">
    <w:name w:val="annotation subject"/>
    <w:basedOn w:val="Komentarotekstas"/>
    <w:next w:val="Komentarotekstas"/>
    <w:link w:val="KomentarotemaDiagrama"/>
    <w:uiPriority w:val="99"/>
    <w:semiHidden/>
    <w:unhideWhenUsed/>
    <w:rsid w:val="003041A1"/>
    <w:rPr>
      <w:b/>
      <w:bCs/>
    </w:rPr>
  </w:style>
  <w:style w:type="character" w:customStyle="1" w:styleId="KomentarotemaDiagrama">
    <w:name w:val="Komentaro tema Diagrama"/>
    <w:basedOn w:val="KomentarotekstasDiagrama"/>
    <w:link w:val="Komentarotema"/>
    <w:uiPriority w:val="99"/>
    <w:semiHidden/>
    <w:rsid w:val="003041A1"/>
    <w:rPr>
      <w:b/>
      <w:bCs/>
      <w:sz w:val="20"/>
      <w:szCs w:val="20"/>
    </w:rPr>
  </w:style>
  <w:style w:type="paragraph" w:styleId="Pagrindinistekstas">
    <w:name w:val="Body Text"/>
    <w:basedOn w:val="prastasis"/>
    <w:link w:val="PagrindinistekstasDiagrama"/>
    <w:uiPriority w:val="99"/>
    <w:semiHidden/>
    <w:unhideWhenUsed/>
    <w:rsid w:val="003041A1"/>
    <w:pPr>
      <w:spacing w:after="120"/>
    </w:pPr>
  </w:style>
  <w:style w:type="character" w:customStyle="1" w:styleId="PagrindinistekstasDiagrama">
    <w:name w:val="Pagrindinis tekstas Diagrama"/>
    <w:basedOn w:val="Numatytasispastraiposriftas"/>
    <w:link w:val="Pagrindinistekstas"/>
    <w:uiPriority w:val="99"/>
    <w:semiHidden/>
    <w:rsid w:val="003041A1"/>
  </w:style>
  <w:style w:type="paragraph" w:styleId="HTMLiankstoformatuotas">
    <w:name w:val="HTML Preformatted"/>
    <w:basedOn w:val="prastasis"/>
    <w:link w:val="HTMLiankstoformatuotasDiagrama"/>
    <w:uiPriority w:val="99"/>
    <w:semiHidden/>
    <w:unhideWhenUsed/>
    <w:rsid w:val="00CC79C9"/>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C79C9"/>
    <w:rPr>
      <w:rFonts w:ascii="Consolas" w:hAnsi="Consolas" w:cs="Consolas"/>
      <w:sz w:val="20"/>
      <w:szCs w:val="20"/>
    </w:rPr>
  </w:style>
  <w:style w:type="paragraph" w:styleId="Antrats">
    <w:name w:val="header"/>
    <w:aliases w:val=" Char,Char,Char Char Char Char"/>
    <w:basedOn w:val="prastasis"/>
    <w:link w:val="AntratsDiagrama"/>
    <w:uiPriority w:val="99"/>
    <w:rsid w:val="00DD2C64"/>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 Char Diagrama,Char Diagrama,Char Char Char Char Diagrama"/>
    <w:basedOn w:val="Numatytasispastraiposriftas"/>
    <w:link w:val="Antrats"/>
    <w:uiPriority w:val="99"/>
    <w:rsid w:val="00DD2C64"/>
    <w:rPr>
      <w:rFonts w:ascii="Times New Roman" w:eastAsia="Times New Roman" w:hAnsi="Times New Roman" w:cs="Times New Roman"/>
      <w:sz w:val="24"/>
      <w:szCs w:val="20"/>
      <w:lang w:val="lt-LT"/>
    </w:rPr>
  </w:style>
  <w:style w:type="character" w:styleId="Hipersaitas">
    <w:name w:val="Hyperlink"/>
    <w:rsid w:val="00DD2C64"/>
    <w:rPr>
      <w:color w:val="0000FF"/>
      <w:u w:val="single"/>
    </w:rPr>
  </w:style>
  <w:style w:type="paragraph" w:styleId="Pagrindiniotekstotrauka2">
    <w:name w:val="Body Text Indent 2"/>
    <w:basedOn w:val="prastasis"/>
    <w:link w:val="Pagrindiniotekstotrauka2Diagrama"/>
    <w:rsid w:val="00BD4FF3"/>
    <w:pPr>
      <w:spacing w:after="120" w:line="480" w:lineRule="auto"/>
      <w:ind w:left="283"/>
    </w:pPr>
    <w:rPr>
      <w:rFonts w:ascii="Times New Roman" w:eastAsia="Times New Roman" w:hAnsi="Times New Roman" w:cs="Times New Roman"/>
      <w:sz w:val="24"/>
      <w:szCs w:val="20"/>
      <w:lang w:val="en-GB"/>
    </w:rPr>
  </w:style>
  <w:style w:type="character" w:customStyle="1" w:styleId="Pagrindiniotekstotrauka2Diagrama">
    <w:name w:val="Pagrindinio teksto įtrauka 2 Diagrama"/>
    <w:basedOn w:val="Numatytasispastraiposriftas"/>
    <w:link w:val="Pagrindiniotekstotrauka2"/>
    <w:rsid w:val="00BD4FF3"/>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DC72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2AF"/>
  </w:style>
  <w:style w:type="paragraph" w:styleId="Sraopastraipa">
    <w:name w:val="List Paragraph"/>
    <w:basedOn w:val="prastasis"/>
    <w:uiPriority w:val="34"/>
    <w:qFormat/>
    <w:rsid w:val="007424A8"/>
    <w:pPr>
      <w:spacing w:after="0" w:line="240" w:lineRule="auto"/>
      <w:ind w:left="720"/>
      <w:contextualSpacing/>
      <w:jc w:val="both"/>
    </w:pPr>
    <w:rPr>
      <w:rFonts w:ascii="Times New Roman" w:eastAsia="Times New Roman" w:hAnsi="Times New Roman" w:cs="Times New Roman"/>
      <w:sz w:val="24"/>
      <w:szCs w:val="20"/>
    </w:rPr>
  </w:style>
  <w:style w:type="paragraph" w:customStyle="1" w:styleId="prastasis1">
    <w:name w:val="Įprastasis1"/>
    <w:basedOn w:val="prastasis"/>
    <w:qFormat/>
    <w:rsid w:val="006213EE"/>
    <w:pPr>
      <w:spacing w:beforeAutospacing="1" w:after="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8076CF"/>
    <w:pPr>
      <w:spacing w:after="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1927">
      <w:bodyDiv w:val="1"/>
      <w:marLeft w:val="225"/>
      <w:marRight w:val="225"/>
      <w:marTop w:val="0"/>
      <w:marBottom w:val="0"/>
      <w:divBdr>
        <w:top w:val="none" w:sz="0" w:space="0" w:color="auto"/>
        <w:left w:val="none" w:sz="0" w:space="0" w:color="auto"/>
        <w:bottom w:val="none" w:sz="0" w:space="0" w:color="auto"/>
        <w:right w:val="none" w:sz="0" w:space="0" w:color="auto"/>
      </w:divBdr>
    </w:div>
    <w:div w:id="172888839">
      <w:bodyDiv w:val="1"/>
      <w:marLeft w:val="0"/>
      <w:marRight w:val="0"/>
      <w:marTop w:val="0"/>
      <w:marBottom w:val="0"/>
      <w:divBdr>
        <w:top w:val="none" w:sz="0" w:space="0" w:color="auto"/>
        <w:left w:val="none" w:sz="0" w:space="0" w:color="auto"/>
        <w:bottom w:val="none" w:sz="0" w:space="0" w:color="auto"/>
        <w:right w:val="none" w:sz="0" w:space="0" w:color="auto"/>
      </w:divBdr>
    </w:div>
    <w:div w:id="211498306">
      <w:bodyDiv w:val="1"/>
      <w:marLeft w:val="0"/>
      <w:marRight w:val="0"/>
      <w:marTop w:val="0"/>
      <w:marBottom w:val="0"/>
      <w:divBdr>
        <w:top w:val="none" w:sz="0" w:space="0" w:color="auto"/>
        <w:left w:val="none" w:sz="0" w:space="0" w:color="auto"/>
        <w:bottom w:val="none" w:sz="0" w:space="0" w:color="auto"/>
        <w:right w:val="none" w:sz="0" w:space="0" w:color="auto"/>
      </w:divBdr>
    </w:div>
    <w:div w:id="254825206">
      <w:bodyDiv w:val="1"/>
      <w:marLeft w:val="225"/>
      <w:marRight w:val="225"/>
      <w:marTop w:val="0"/>
      <w:marBottom w:val="0"/>
      <w:divBdr>
        <w:top w:val="none" w:sz="0" w:space="0" w:color="auto"/>
        <w:left w:val="none" w:sz="0" w:space="0" w:color="auto"/>
        <w:bottom w:val="none" w:sz="0" w:space="0" w:color="auto"/>
        <w:right w:val="none" w:sz="0" w:space="0" w:color="auto"/>
      </w:divBdr>
    </w:div>
    <w:div w:id="331758000">
      <w:bodyDiv w:val="1"/>
      <w:marLeft w:val="225"/>
      <w:marRight w:val="225"/>
      <w:marTop w:val="0"/>
      <w:marBottom w:val="0"/>
      <w:divBdr>
        <w:top w:val="none" w:sz="0" w:space="0" w:color="auto"/>
        <w:left w:val="none" w:sz="0" w:space="0" w:color="auto"/>
        <w:bottom w:val="none" w:sz="0" w:space="0" w:color="auto"/>
        <w:right w:val="none" w:sz="0" w:space="0" w:color="auto"/>
      </w:divBdr>
    </w:div>
    <w:div w:id="713231511">
      <w:bodyDiv w:val="1"/>
      <w:marLeft w:val="225"/>
      <w:marRight w:val="225"/>
      <w:marTop w:val="0"/>
      <w:marBottom w:val="0"/>
      <w:divBdr>
        <w:top w:val="none" w:sz="0" w:space="0" w:color="auto"/>
        <w:left w:val="none" w:sz="0" w:space="0" w:color="auto"/>
        <w:bottom w:val="none" w:sz="0" w:space="0" w:color="auto"/>
        <w:right w:val="none" w:sz="0" w:space="0" w:color="auto"/>
      </w:divBdr>
    </w:div>
    <w:div w:id="926041739">
      <w:bodyDiv w:val="1"/>
      <w:marLeft w:val="0"/>
      <w:marRight w:val="0"/>
      <w:marTop w:val="0"/>
      <w:marBottom w:val="0"/>
      <w:divBdr>
        <w:top w:val="none" w:sz="0" w:space="0" w:color="auto"/>
        <w:left w:val="none" w:sz="0" w:space="0" w:color="auto"/>
        <w:bottom w:val="none" w:sz="0" w:space="0" w:color="auto"/>
        <w:right w:val="none" w:sz="0" w:space="0" w:color="auto"/>
      </w:divBdr>
      <w:divsChild>
        <w:div w:id="1901282971">
          <w:marLeft w:val="0"/>
          <w:marRight w:val="0"/>
          <w:marTop w:val="0"/>
          <w:marBottom w:val="0"/>
          <w:divBdr>
            <w:top w:val="none" w:sz="0" w:space="0" w:color="auto"/>
            <w:left w:val="none" w:sz="0" w:space="0" w:color="auto"/>
            <w:bottom w:val="none" w:sz="0" w:space="0" w:color="auto"/>
            <w:right w:val="none" w:sz="0" w:space="0" w:color="auto"/>
          </w:divBdr>
          <w:divsChild>
            <w:div w:id="91168399">
              <w:marLeft w:val="0"/>
              <w:marRight w:val="0"/>
              <w:marTop w:val="0"/>
              <w:marBottom w:val="0"/>
              <w:divBdr>
                <w:top w:val="none" w:sz="0" w:space="0" w:color="auto"/>
                <w:left w:val="none" w:sz="0" w:space="0" w:color="auto"/>
                <w:bottom w:val="none" w:sz="0" w:space="0" w:color="auto"/>
                <w:right w:val="none" w:sz="0" w:space="0" w:color="auto"/>
              </w:divBdr>
              <w:divsChild>
                <w:div w:id="314644645">
                  <w:marLeft w:val="0"/>
                  <w:marRight w:val="0"/>
                  <w:marTop w:val="0"/>
                  <w:marBottom w:val="0"/>
                  <w:divBdr>
                    <w:top w:val="none" w:sz="0" w:space="0" w:color="auto"/>
                    <w:left w:val="none" w:sz="0" w:space="0" w:color="auto"/>
                    <w:bottom w:val="none" w:sz="0" w:space="0" w:color="auto"/>
                    <w:right w:val="none" w:sz="0" w:space="0" w:color="auto"/>
                  </w:divBdr>
                  <w:divsChild>
                    <w:div w:id="1645158322">
                      <w:marLeft w:val="0"/>
                      <w:marRight w:val="0"/>
                      <w:marTop w:val="0"/>
                      <w:marBottom w:val="0"/>
                      <w:divBdr>
                        <w:top w:val="none" w:sz="0" w:space="0" w:color="auto"/>
                        <w:left w:val="none" w:sz="0" w:space="0" w:color="auto"/>
                        <w:bottom w:val="none" w:sz="0" w:space="0" w:color="auto"/>
                        <w:right w:val="none" w:sz="0" w:space="0" w:color="auto"/>
                      </w:divBdr>
                      <w:divsChild>
                        <w:div w:id="231815171">
                          <w:marLeft w:val="0"/>
                          <w:marRight w:val="0"/>
                          <w:marTop w:val="0"/>
                          <w:marBottom w:val="0"/>
                          <w:divBdr>
                            <w:top w:val="none" w:sz="0" w:space="0" w:color="auto"/>
                            <w:left w:val="none" w:sz="0" w:space="0" w:color="auto"/>
                            <w:bottom w:val="none" w:sz="0" w:space="0" w:color="auto"/>
                            <w:right w:val="none" w:sz="0" w:space="0" w:color="auto"/>
                          </w:divBdr>
                          <w:divsChild>
                            <w:div w:id="376470197">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9377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180778">
      <w:bodyDiv w:val="1"/>
      <w:marLeft w:val="0"/>
      <w:marRight w:val="0"/>
      <w:marTop w:val="0"/>
      <w:marBottom w:val="0"/>
      <w:divBdr>
        <w:top w:val="none" w:sz="0" w:space="0" w:color="auto"/>
        <w:left w:val="none" w:sz="0" w:space="0" w:color="auto"/>
        <w:bottom w:val="none" w:sz="0" w:space="0" w:color="auto"/>
        <w:right w:val="none" w:sz="0" w:space="0" w:color="auto"/>
      </w:divBdr>
    </w:div>
    <w:div w:id="982468540">
      <w:bodyDiv w:val="1"/>
      <w:marLeft w:val="0"/>
      <w:marRight w:val="0"/>
      <w:marTop w:val="0"/>
      <w:marBottom w:val="0"/>
      <w:divBdr>
        <w:top w:val="none" w:sz="0" w:space="0" w:color="auto"/>
        <w:left w:val="none" w:sz="0" w:space="0" w:color="auto"/>
        <w:bottom w:val="none" w:sz="0" w:space="0" w:color="auto"/>
        <w:right w:val="none" w:sz="0" w:space="0" w:color="auto"/>
      </w:divBdr>
    </w:div>
    <w:div w:id="1092093973">
      <w:bodyDiv w:val="1"/>
      <w:marLeft w:val="225"/>
      <w:marRight w:val="225"/>
      <w:marTop w:val="0"/>
      <w:marBottom w:val="0"/>
      <w:divBdr>
        <w:top w:val="none" w:sz="0" w:space="0" w:color="auto"/>
        <w:left w:val="none" w:sz="0" w:space="0" w:color="auto"/>
        <w:bottom w:val="none" w:sz="0" w:space="0" w:color="auto"/>
        <w:right w:val="none" w:sz="0" w:space="0" w:color="auto"/>
      </w:divBdr>
    </w:div>
    <w:div w:id="1120030111">
      <w:bodyDiv w:val="1"/>
      <w:marLeft w:val="0"/>
      <w:marRight w:val="0"/>
      <w:marTop w:val="0"/>
      <w:marBottom w:val="0"/>
      <w:divBdr>
        <w:top w:val="none" w:sz="0" w:space="0" w:color="auto"/>
        <w:left w:val="none" w:sz="0" w:space="0" w:color="auto"/>
        <w:bottom w:val="none" w:sz="0" w:space="0" w:color="auto"/>
        <w:right w:val="none" w:sz="0" w:space="0" w:color="auto"/>
      </w:divBdr>
    </w:div>
    <w:div w:id="1443769210">
      <w:bodyDiv w:val="1"/>
      <w:marLeft w:val="0"/>
      <w:marRight w:val="0"/>
      <w:marTop w:val="0"/>
      <w:marBottom w:val="0"/>
      <w:divBdr>
        <w:top w:val="none" w:sz="0" w:space="0" w:color="auto"/>
        <w:left w:val="none" w:sz="0" w:space="0" w:color="auto"/>
        <w:bottom w:val="none" w:sz="0" w:space="0" w:color="auto"/>
        <w:right w:val="none" w:sz="0" w:space="0" w:color="auto"/>
      </w:divBdr>
    </w:div>
    <w:div w:id="1565530486">
      <w:bodyDiv w:val="1"/>
      <w:marLeft w:val="0"/>
      <w:marRight w:val="0"/>
      <w:marTop w:val="0"/>
      <w:marBottom w:val="0"/>
      <w:divBdr>
        <w:top w:val="none" w:sz="0" w:space="0" w:color="auto"/>
        <w:left w:val="none" w:sz="0" w:space="0" w:color="auto"/>
        <w:bottom w:val="none" w:sz="0" w:space="0" w:color="auto"/>
        <w:right w:val="none" w:sz="0" w:space="0" w:color="auto"/>
      </w:divBdr>
      <w:divsChild>
        <w:div w:id="1910263155">
          <w:marLeft w:val="0"/>
          <w:marRight w:val="0"/>
          <w:marTop w:val="0"/>
          <w:marBottom w:val="0"/>
          <w:divBdr>
            <w:top w:val="none" w:sz="0" w:space="0" w:color="auto"/>
            <w:left w:val="none" w:sz="0" w:space="0" w:color="auto"/>
            <w:bottom w:val="none" w:sz="0" w:space="0" w:color="auto"/>
            <w:right w:val="none" w:sz="0" w:space="0" w:color="auto"/>
          </w:divBdr>
        </w:div>
      </w:divsChild>
    </w:div>
    <w:div w:id="1889992777">
      <w:bodyDiv w:val="1"/>
      <w:marLeft w:val="225"/>
      <w:marRight w:val="225"/>
      <w:marTop w:val="0"/>
      <w:marBottom w:val="0"/>
      <w:divBdr>
        <w:top w:val="none" w:sz="0" w:space="0" w:color="auto"/>
        <w:left w:val="none" w:sz="0" w:space="0" w:color="auto"/>
        <w:bottom w:val="none" w:sz="0" w:space="0" w:color="auto"/>
        <w:right w:val="none" w:sz="0" w:space="0" w:color="auto"/>
      </w:divBdr>
    </w:div>
    <w:div w:id="1968928174">
      <w:bodyDiv w:val="1"/>
      <w:marLeft w:val="225"/>
      <w:marRight w:val="225"/>
      <w:marTop w:val="0"/>
      <w:marBottom w:val="0"/>
      <w:divBdr>
        <w:top w:val="none" w:sz="0" w:space="0" w:color="auto"/>
        <w:left w:val="none" w:sz="0" w:space="0" w:color="auto"/>
        <w:bottom w:val="none" w:sz="0" w:space="0" w:color="auto"/>
        <w:right w:val="none" w:sz="0" w:space="0" w:color="auto"/>
      </w:divBdr>
    </w:div>
    <w:div w:id="2000426239">
      <w:bodyDiv w:val="1"/>
      <w:marLeft w:val="0"/>
      <w:marRight w:val="0"/>
      <w:marTop w:val="0"/>
      <w:marBottom w:val="0"/>
      <w:divBdr>
        <w:top w:val="none" w:sz="0" w:space="0" w:color="auto"/>
        <w:left w:val="none" w:sz="0" w:space="0" w:color="auto"/>
        <w:bottom w:val="none" w:sz="0" w:space="0" w:color="auto"/>
        <w:right w:val="none" w:sz="0" w:space="0" w:color="auto"/>
      </w:divBdr>
    </w:div>
    <w:div w:id="2090731410">
      <w:bodyDiv w:val="1"/>
      <w:marLeft w:val="0"/>
      <w:marRight w:val="0"/>
      <w:marTop w:val="0"/>
      <w:marBottom w:val="0"/>
      <w:divBdr>
        <w:top w:val="none" w:sz="0" w:space="0" w:color="auto"/>
        <w:left w:val="none" w:sz="0" w:space="0" w:color="auto"/>
        <w:bottom w:val="none" w:sz="0" w:space="0" w:color="auto"/>
        <w:right w:val="none" w:sz="0" w:space="0" w:color="auto"/>
      </w:divBdr>
    </w:div>
    <w:div w:id="2119064270">
      <w:bodyDiv w:val="1"/>
      <w:marLeft w:val="0"/>
      <w:marRight w:val="0"/>
      <w:marTop w:val="0"/>
      <w:marBottom w:val="0"/>
      <w:divBdr>
        <w:top w:val="none" w:sz="0" w:space="0" w:color="auto"/>
        <w:left w:val="none" w:sz="0" w:space="0" w:color="auto"/>
        <w:bottom w:val="none" w:sz="0" w:space="0" w:color="auto"/>
        <w:right w:val="none" w:sz="0" w:space="0" w:color="auto"/>
      </w:divBdr>
    </w:div>
    <w:div w:id="213046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D1621-4C38-4B21-9E28-C0F861AC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12268</Words>
  <Characters>6993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fn00029</dc:creator>
  <cp:lastModifiedBy>Rūta Jasulaitienė</cp:lastModifiedBy>
  <cp:revision>2</cp:revision>
  <cp:lastPrinted>2016-02-02T07:15:00Z</cp:lastPrinted>
  <dcterms:created xsi:type="dcterms:W3CDTF">2019-03-28T09:33:00Z</dcterms:created>
  <dcterms:modified xsi:type="dcterms:W3CDTF">2019-03-28T09:33:00Z</dcterms:modified>
</cp:coreProperties>
</file>