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70" w:rsidRPr="00EF7D13" w:rsidRDefault="00B07370" w:rsidP="00CF45A6">
      <w:pPr>
        <w:widowControl w:val="0"/>
        <w:jc w:val="center"/>
        <w:rPr>
          <w:b/>
        </w:rPr>
      </w:pPr>
      <w:r w:rsidRPr="00EF7D13">
        <w:rPr>
          <w:b/>
        </w:rPr>
        <w:t>INFORMACIJA APIE UŽIMTUMO IR SOCIALINĖS POLITIKOS KLAUSIMUS,</w:t>
      </w:r>
    </w:p>
    <w:p w:rsidR="005F1BA8" w:rsidRPr="00EF7D13" w:rsidRDefault="00B07370" w:rsidP="00CF45A6">
      <w:pPr>
        <w:widowControl w:val="0"/>
        <w:jc w:val="center"/>
        <w:rPr>
          <w:b/>
        </w:rPr>
      </w:pPr>
      <w:r w:rsidRPr="00EF7D13">
        <w:rPr>
          <w:b/>
        </w:rPr>
        <w:t xml:space="preserve">KURIE BUS SVARSTOMI </w:t>
      </w:r>
      <w:proofErr w:type="gramStart"/>
      <w:r w:rsidRPr="00EF7D13">
        <w:rPr>
          <w:b/>
        </w:rPr>
        <w:t>EUROPOS SĄJUNGOS</w:t>
      </w:r>
      <w:proofErr w:type="gramEnd"/>
      <w:r w:rsidRPr="00EF7D13">
        <w:rPr>
          <w:b/>
        </w:rPr>
        <w:t xml:space="preserve"> TARYBOS (</w:t>
      </w:r>
      <w:r w:rsidRPr="00EF7D13">
        <w:rPr>
          <w:b/>
          <w:u w:val="single"/>
        </w:rPr>
        <w:t>UŽIMTUMO</w:t>
      </w:r>
      <w:r w:rsidRPr="00EF7D13">
        <w:rPr>
          <w:b/>
        </w:rPr>
        <w:t xml:space="preserve">, </w:t>
      </w:r>
      <w:r w:rsidRPr="00EF7D13">
        <w:rPr>
          <w:b/>
          <w:u w:val="single"/>
        </w:rPr>
        <w:t>SOCIALINĖS POLITIKOS</w:t>
      </w:r>
      <w:r w:rsidRPr="00EF7D13">
        <w:rPr>
          <w:b/>
        </w:rPr>
        <w:t>, SVEIKATOS IR VARTOTOJŲ REIKALŲ)</w:t>
      </w:r>
    </w:p>
    <w:p w:rsidR="00B07370" w:rsidRPr="00EF7D13" w:rsidRDefault="00B07370" w:rsidP="00CF45A6">
      <w:pPr>
        <w:widowControl w:val="0"/>
        <w:jc w:val="center"/>
        <w:rPr>
          <w:b/>
        </w:rPr>
      </w:pPr>
      <w:r w:rsidRPr="00EF7D13">
        <w:rPr>
          <w:b/>
        </w:rPr>
        <w:t xml:space="preserve">POSĖDYJE </w:t>
      </w:r>
      <w:r w:rsidR="009A5844" w:rsidRPr="00EF7D13">
        <w:rPr>
          <w:b/>
        </w:rPr>
        <w:t xml:space="preserve">2019 M. </w:t>
      </w:r>
      <w:r w:rsidR="001F67B7" w:rsidRPr="00EF7D13">
        <w:rPr>
          <w:b/>
        </w:rPr>
        <w:t>BIRŽELIO 13</w:t>
      </w:r>
      <w:r w:rsidR="009A5844" w:rsidRPr="00EF7D13">
        <w:rPr>
          <w:b/>
        </w:rPr>
        <w:t xml:space="preserve"> D.</w:t>
      </w:r>
    </w:p>
    <w:p w:rsidR="00B07370" w:rsidRPr="00EF7D13" w:rsidRDefault="00B07370" w:rsidP="00CF45A6">
      <w:pPr>
        <w:widowControl w:val="0"/>
        <w:jc w:val="both"/>
        <w:rPr>
          <w:b/>
        </w:rPr>
      </w:pPr>
    </w:p>
    <w:p w:rsidR="005F1BA8" w:rsidRPr="008F5415" w:rsidRDefault="009A5844" w:rsidP="008F5415">
      <w:pPr>
        <w:jc w:val="both"/>
      </w:pPr>
      <w:r w:rsidRPr="008F5415">
        <w:t xml:space="preserve">2019 m. </w:t>
      </w:r>
      <w:r w:rsidR="001F67B7" w:rsidRPr="008F5415">
        <w:t>birželio 13</w:t>
      </w:r>
      <w:r w:rsidRPr="008F5415">
        <w:t xml:space="preserve"> d. </w:t>
      </w:r>
      <w:r w:rsidR="005F1BA8" w:rsidRPr="008F5415">
        <w:t>vyksiančios ES Tarybos posėdžio darbotvarkėje numatyti socialinės politikos ir užimtumo srities klausimai:</w:t>
      </w:r>
    </w:p>
    <w:p w:rsidR="00F92209" w:rsidRPr="008F5415" w:rsidRDefault="00F92209" w:rsidP="008F5415">
      <w:pPr>
        <w:jc w:val="both"/>
      </w:pPr>
    </w:p>
    <w:p w:rsidR="005F1BA8" w:rsidRPr="008F5415" w:rsidRDefault="005F1BA8" w:rsidP="008F5415">
      <w:pPr>
        <w:jc w:val="both"/>
      </w:pPr>
      <w:r w:rsidRPr="008F5415">
        <w:t>1. Darbotvarkės priėmimas</w:t>
      </w:r>
    </w:p>
    <w:p w:rsidR="005F1BA8" w:rsidRPr="008F5415" w:rsidRDefault="005F1BA8" w:rsidP="008F5415">
      <w:pPr>
        <w:jc w:val="both"/>
      </w:pPr>
      <w:r w:rsidRPr="008F5415">
        <w:t xml:space="preserve">2. A punktų patvirtinimas </w:t>
      </w:r>
    </w:p>
    <w:p w:rsidR="005F1BA8" w:rsidRPr="008F5415" w:rsidRDefault="0038756A" w:rsidP="008F5415">
      <w:pPr>
        <w:jc w:val="both"/>
      </w:pPr>
      <w:r w:rsidRPr="008F5415">
        <w:t xml:space="preserve">a) </w:t>
      </w:r>
      <w:r w:rsidR="005F1BA8" w:rsidRPr="008F5415">
        <w:t xml:space="preserve">Ne teisėkūros procedūros punktų sąrašas </w:t>
      </w:r>
    </w:p>
    <w:p w:rsidR="005F1BA8" w:rsidRDefault="0038756A" w:rsidP="008F5415">
      <w:pPr>
        <w:jc w:val="both"/>
      </w:pPr>
      <w:r w:rsidRPr="008F5415">
        <w:t xml:space="preserve">b) </w:t>
      </w:r>
      <w:r w:rsidR="005F1BA8" w:rsidRPr="008F5415">
        <w:t>Teisėkūros procedūros punktų sąrašas (viešas svarstymas pagal Europos Sąjungos sutarties 16 straipsnio 8 dalį)</w:t>
      </w:r>
    </w:p>
    <w:p w:rsidR="0033741B" w:rsidRPr="008F5415" w:rsidRDefault="0033741B" w:rsidP="008F5415">
      <w:pPr>
        <w:jc w:val="both"/>
      </w:pPr>
    </w:p>
    <w:p w:rsidR="000A478D" w:rsidRPr="008F5415" w:rsidRDefault="000A478D" w:rsidP="008F5415">
      <w:pPr>
        <w:pStyle w:val="TableTitle"/>
        <w:spacing w:before="0"/>
        <w:jc w:val="both"/>
        <w:rPr>
          <w:szCs w:val="24"/>
        </w:rPr>
      </w:pPr>
      <w:r w:rsidRPr="008F5415">
        <w:rPr>
          <w:szCs w:val="24"/>
        </w:rPr>
        <w:t>Teisėkūros procedūra priimamų aktų svarstymas</w:t>
      </w:r>
    </w:p>
    <w:p w:rsidR="000A478D" w:rsidRPr="008F5415" w:rsidRDefault="000A478D" w:rsidP="008F5415">
      <w:pPr>
        <w:pStyle w:val="TableTitle"/>
        <w:spacing w:before="0"/>
        <w:jc w:val="both"/>
        <w:rPr>
          <w:szCs w:val="24"/>
          <w:u w:val="none"/>
        </w:rPr>
      </w:pPr>
      <w:r w:rsidRPr="008F5415">
        <w:rPr>
          <w:szCs w:val="24"/>
          <w:u w:val="none"/>
        </w:rPr>
        <w:t>(Viešas svarstymas pagal Europos Sąjungos sutarties 16 straipsnio 8 dalį)</w:t>
      </w:r>
    </w:p>
    <w:p w:rsidR="001F67B7" w:rsidRPr="008F5415" w:rsidRDefault="001F67B7" w:rsidP="008F5415">
      <w:pPr>
        <w:jc w:val="both"/>
        <w:rPr>
          <w:b/>
          <w:color w:val="FF0000"/>
        </w:rPr>
      </w:pPr>
    </w:p>
    <w:p w:rsidR="000A478D" w:rsidRPr="008F5415" w:rsidRDefault="000A478D" w:rsidP="008F5415">
      <w:pPr>
        <w:widowControl w:val="0"/>
        <w:jc w:val="both"/>
        <w:rPr>
          <w:b/>
        </w:rPr>
      </w:pPr>
      <w:r w:rsidRPr="008F5415">
        <w:rPr>
          <w:b/>
        </w:rPr>
        <w:t>Direktyva dėl vienodo požiūrio (19 straipsnis)</w:t>
      </w:r>
    </w:p>
    <w:p w:rsidR="0067329B" w:rsidRPr="008F5415" w:rsidRDefault="0067329B" w:rsidP="008F5415">
      <w:pPr>
        <w:widowControl w:val="0"/>
        <w:jc w:val="both"/>
        <w:rPr>
          <w:rFonts w:eastAsia="Calibri"/>
          <w:i/>
        </w:rPr>
      </w:pPr>
      <w:r w:rsidRPr="008F5415">
        <w:rPr>
          <w:rFonts w:eastAsia="Calibri"/>
          <w:i/>
        </w:rPr>
        <w:t xml:space="preserve">= </w:t>
      </w:r>
      <w:r w:rsidR="000A478D" w:rsidRPr="008F5415">
        <w:rPr>
          <w:rFonts w:eastAsia="Calibri"/>
          <w:i/>
        </w:rPr>
        <w:t>Pažangos ataskaita</w:t>
      </w:r>
    </w:p>
    <w:p w:rsidR="00585A70" w:rsidRPr="008F5415" w:rsidRDefault="00585A70" w:rsidP="008F5415">
      <w:pPr>
        <w:jc w:val="both"/>
        <w:rPr>
          <w:b/>
          <w:bCs/>
        </w:rPr>
      </w:pPr>
      <w:r w:rsidRPr="008F5415">
        <w:rPr>
          <w:b/>
          <w:bCs/>
        </w:rPr>
        <w:t>Klausimo esmė</w:t>
      </w:r>
    </w:p>
    <w:p w:rsidR="00585A70" w:rsidRPr="008F5415" w:rsidRDefault="00585A70" w:rsidP="008F5415">
      <w:pPr>
        <w:jc w:val="both"/>
      </w:pPr>
      <w:r w:rsidRPr="008F5415">
        <w:t xml:space="preserve">2008 m. liepos 2 d. Komisija pateikė pasiūlymą dėl Tarybos direktyvos, kuria įgyvendinamas vienodo požiūrio į asmenis, nepaisant jų religijos ar tikėjimo, negalios, amžiaus arba seksualinės orientacijos, principas (toliau – Direktyva). </w:t>
      </w:r>
    </w:p>
    <w:p w:rsidR="00585A70" w:rsidRPr="005F1C99" w:rsidRDefault="00585A70" w:rsidP="008F5415">
      <w:pPr>
        <w:jc w:val="both"/>
      </w:pPr>
      <w:r w:rsidRPr="005F1C99">
        <w:t>Pateiktas pasiūlymas dėl Direktyvos papildytų ES įstatyminę bazę šiose srityse: socialinės apsaugos, sveikatos apsaugos, švietimo, paslaugų bei prekių gavimo ir aprūpinimo būstu</w:t>
      </w:r>
      <w:r w:rsidR="00D04569" w:rsidRPr="005F1C99">
        <w:t xml:space="preserve"> </w:t>
      </w:r>
      <w:r w:rsidR="00A3303E" w:rsidRPr="005F1C99">
        <w:t xml:space="preserve">išskyrus </w:t>
      </w:r>
      <w:r w:rsidR="00A479B0" w:rsidRPr="005F1C99">
        <w:t>užimtumo ir profesinėje srityse</w:t>
      </w:r>
      <w:r w:rsidR="00D04569" w:rsidRPr="005F1C99">
        <w:t>.</w:t>
      </w:r>
    </w:p>
    <w:p w:rsidR="00585A70" w:rsidRPr="008F5415" w:rsidRDefault="00585A70" w:rsidP="008F5415">
      <w:pPr>
        <w:jc w:val="both"/>
        <w:rPr>
          <w:strike/>
        </w:rPr>
      </w:pPr>
      <w:r w:rsidRPr="008F5415">
        <w:t xml:space="preserve">Tarybai teikiamoje </w:t>
      </w:r>
      <w:r w:rsidR="0033741B">
        <w:t>Direktyvos p</w:t>
      </w:r>
      <w:r w:rsidRPr="008F5415">
        <w:t xml:space="preserve">ažangos ataskaitoje atlikta nemažai pakeitimų, tačiau didžiąją dalį jų sudaro techninio pobūdžio korekcijos. </w:t>
      </w:r>
    </w:p>
    <w:p w:rsidR="00585A70" w:rsidRPr="008F5415" w:rsidRDefault="00585A70" w:rsidP="008F5415">
      <w:pPr>
        <w:jc w:val="both"/>
        <w:rPr>
          <w:b/>
          <w:bCs/>
        </w:rPr>
      </w:pPr>
      <w:r w:rsidRPr="008F5415">
        <w:rPr>
          <w:b/>
          <w:bCs/>
        </w:rPr>
        <w:t xml:space="preserve">Lietuvos pozicija </w:t>
      </w:r>
    </w:p>
    <w:p w:rsidR="00283447" w:rsidRPr="008F5415" w:rsidRDefault="00283447" w:rsidP="00283447">
      <w:pPr>
        <w:jc w:val="both"/>
      </w:pPr>
      <w:r w:rsidRPr="008F5415">
        <w:t xml:space="preserve">Dėkojame Rumunijai už pastangas ir indėlį siekiant atsižvelgti į </w:t>
      </w:r>
      <w:r>
        <w:t>v</w:t>
      </w:r>
      <w:r w:rsidRPr="008F5415">
        <w:t>alstybių narių pateiktas pastabas tobulinant Direktyvos, kuria siekiama stiprinti ir plėtoti lygių galimybių politiką ir bendras socialines vertybes Europos Sąjungoje, pasiūlymo tekstą.</w:t>
      </w:r>
    </w:p>
    <w:p w:rsidR="00585A70" w:rsidRPr="008F5415" w:rsidRDefault="00585A70" w:rsidP="008F5415">
      <w:pPr>
        <w:jc w:val="both"/>
      </w:pPr>
      <w:r w:rsidRPr="008F5415">
        <w:t xml:space="preserve">Lietuva pritaria Rumunijos parengtai </w:t>
      </w:r>
      <w:r w:rsidR="0033741B">
        <w:t xml:space="preserve">Direktyvos </w:t>
      </w:r>
      <w:r w:rsidRPr="008F5415">
        <w:t>pažangos ataskaitai, kurioje aptariama pažanga tobulinant Direktyvos pasiūlymo sąvokas, tobulinant tekstą dėl vienodo požiūrio įgyvendinimo teikiant finansines paslaugas bei prieigos prie prekių ir paslaugų bei prieinamumo klausimais.</w:t>
      </w:r>
    </w:p>
    <w:p w:rsidR="00283447" w:rsidRPr="002215AB" w:rsidRDefault="00585A70" w:rsidP="008F5415">
      <w:pPr>
        <w:jc w:val="both"/>
      </w:pPr>
      <w:r w:rsidRPr="002215AB">
        <w:t xml:space="preserve">Lietuva pabrėžia, jog siekiant vieningai priimti Direktyvą, būtinas visų </w:t>
      </w:r>
      <w:r w:rsidR="0033741B" w:rsidRPr="002215AB">
        <w:t>v</w:t>
      </w:r>
      <w:r w:rsidRPr="002215AB">
        <w:t xml:space="preserve">alstybių narių </w:t>
      </w:r>
      <w:r w:rsidR="00283447" w:rsidRPr="002215AB">
        <w:t>susivienijimas tolesniam darbui, kad būtų išdiskutuoti visi pasiūlymai ir atsirastų konkretūs kompromisiniai sprendimai.</w:t>
      </w:r>
    </w:p>
    <w:p w:rsidR="00585A70" w:rsidRPr="008F5415" w:rsidRDefault="00585A70" w:rsidP="008F5415">
      <w:pPr>
        <w:jc w:val="both"/>
        <w:rPr>
          <w:color w:val="1F497D"/>
        </w:rPr>
      </w:pPr>
    </w:p>
    <w:p w:rsidR="001F67B7" w:rsidRPr="008F5415" w:rsidRDefault="000A478D" w:rsidP="008F5415">
      <w:pPr>
        <w:jc w:val="both"/>
        <w:rPr>
          <w:b/>
          <w:bCs/>
          <w:u w:val="single"/>
        </w:rPr>
      </w:pPr>
      <w:r w:rsidRPr="008F5415">
        <w:rPr>
          <w:b/>
          <w:bCs/>
          <w:u w:val="single"/>
        </w:rPr>
        <w:t>Su teisėkūros procedūra nesusijusi veikla</w:t>
      </w:r>
    </w:p>
    <w:p w:rsidR="000A478D" w:rsidRPr="008F5415" w:rsidRDefault="000A478D" w:rsidP="008F5415">
      <w:pPr>
        <w:jc w:val="both"/>
        <w:rPr>
          <w:b/>
          <w:bCs/>
          <w:u w:val="single"/>
        </w:rPr>
      </w:pPr>
    </w:p>
    <w:p w:rsidR="00DC2D1C" w:rsidRPr="00C04492" w:rsidRDefault="00DC2D1C" w:rsidP="00DC2D1C">
      <w:pPr>
        <w:jc w:val="both"/>
        <w:rPr>
          <w:b/>
        </w:rPr>
      </w:pPr>
      <w:r w:rsidRPr="00A6407D">
        <w:rPr>
          <w:b/>
        </w:rPr>
        <w:t xml:space="preserve">2019 m. Europos semestras. </w:t>
      </w:r>
      <w:r w:rsidRPr="00C04492">
        <w:rPr>
          <w:b/>
        </w:rPr>
        <w:t xml:space="preserve">Horizontalus </w:t>
      </w:r>
      <w:r w:rsidR="00A66C73" w:rsidRPr="00C04492">
        <w:rPr>
          <w:b/>
        </w:rPr>
        <w:t xml:space="preserve">Europos Semestro </w:t>
      </w:r>
      <w:r w:rsidRPr="00C04492">
        <w:rPr>
          <w:b/>
        </w:rPr>
        <w:t>aspekt</w:t>
      </w:r>
      <w:r w:rsidR="00A66C73" w:rsidRPr="00C04492">
        <w:rPr>
          <w:b/>
        </w:rPr>
        <w:t>as</w:t>
      </w:r>
      <w:r w:rsidRPr="00C04492">
        <w:rPr>
          <w:b/>
        </w:rPr>
        <w:t>, susij</w:t>
      </w:r>
      <w:r w:rsidR="00A66C73" w:rsidRPr="00C04492">
        <w:rPr>
          <w:b/>
        </w:rPr>
        <w:t>ęs</w:t>
      </w:r>
      <w:r w:rsidRPr="00C04492">
        <w:rPr>
          <w:b/>
        </w:rPr>
        <w:t xml:space="preserve"> su užimtumu ir socialine politika</w:t>
      </w:r>
    </w:p>
    <w:p w:rsidR="00DC2D1C" w:rsidRPr="008F5415" w:rsidRDefault="00DC2D1C" w:rsidP="00DC2D1C">
      <w:pPr>
        <w:widowControl w:val="0"/>
        <w:jc w:val="both"/>
        <w:rPr>
          <w:i/>
        </w:rPr>
      </w:pPr>
      <w:r w:rsidRPr="008F5415">
        <w:rPr>
          <w:rFonts w:eastAsia="Calibri"/>
          <w:i/>
        </w:rPr>
        <w:t>=</w:t>
      </w:r>
      <w:r w:rsidRPr="008F5415">
        <w:rPr>
          <w:i/>
          <w:iCs/>
        </w:rPr>
        <w:t xml:space="preserve"> Politiniai debatai</w:t>
      </w:r>
    </w:p>
    <w:p w:rsidR="00DC2D1C" w:rsidRPr="00573105" w:rsidRDefault="00DC2D1C" w:rsidP="00DC2D1C">
      <w:pPr>
        <w:widowControl w:val="0"/>
        <w:jc w:val="both"/>
        <w:rPr>
          <w:b/>
        </w:rPr>
      </w:pPr>
      <w:r w:rsidRPr="00573105">
        <w:rPr>
          <w:b/>
        </w:rPr>
        <w:t>Klausimo esmė</w:t>
      </w:r>
    </w:p>
    <w:p w:rsidR="00DC2D1C" w:rsidRPr="00573105" w:rsidRDefault="00DC2D1C" w:rsidP="00DC2D1C">
      <w:pPr>
        <w:jc w:val="both"/>
        <w:rPr>
          <w:u w:val="single"/>
        </w:rPr>
      </w:pPr>
      <w:r w:rsidRPr="00573105">
        <w:rPr>
          <w:u w:val="single"/>
        </w:rPr>
        <w:t>Tarybos posėdyje 2019 m. birželio 13 d. ministrai kviečiami diskutuoti šiais klausimais:</w:t>
      </w:r>
    </w:p>
    <w:p w:rsidR="00DC2D1C" w:rsidRPr="00573105" w:rsidRDefault="00DC2D1C" w:rsidP="00DC2D1C">
      <w:pPr>
        <w:jc w:val="both"/>
      </w:pPr>
      <w:r>
        <w:t xml:space="preserve">1. </w:t>
      </w:r>
      <w:r w:rsidRPr="00573105">
        <w:t>Ar Europos semestras yra veiksminga priemonė, užtikrinanti, kad valstybės narės koordinuotai gerintų savo užimtumo ir socialinės apsaugos rezultatus, taip pat siekdamos strategijos „Europa 2020“ tikslų?</w:t>
      </w:r>
    </w:p>
    <w:p w:rsidR="00DC2D1C" w:rsidRPr="00573105" w:rsidRDefault="00DC2D1C" w:rsidP="00DC2D1C">
      <w:pPr>
        <w:jc w:val="both"/>
      </w:pPr>
      <w:r>
        <w:lastRenderedPageBreak/>
        <w:t xml:space="preserve">2. </w:t>
      </w:r>
      <w:r w:rsidRPr="00573105">
        <w:t>Kaip būtų galima toliau koreguoti semestro procesą, kad būtų sustiprintas jos socialinis aspektas, taip pat užtikrinant, kad kitose politikos srityse būtų tinkamai atsižvelgiama į socialinius aspektus?</w:t>
      </w:r>
    </w:p>
    <w:p w:rsidR="00DC2D1C" w:rsidRPr="00573105" w:rsidRDefault="00DC2D1C" w:rsidP="00DC2D1C">
      <w:pPr>
        <w:jc w:val="both"/>
      </w:pPr>
      <w:r>
        <w:t xml:space="preserve">3. </w:t>
      </w:r>
      <w:r w:rsidRPr="00573105">
        <w:t xml:space="preserve">Kokiomis priemonėmis valstybės narės galėtų padidinti atsakomybę už Europos semestro procesą, kad būtų pagerintas veiksmingas </w:t>
      </w:r>
      <w:r w:rsidR="00F50FF2" w:rsidRPr="00573105">
        <w:t xml:space="preserve">ir koordinuotas </w:t>
      </w:r>
      <w:proofErr w:type="spellStart"/>
      <w:r w:rsidR="00F50FF2" w:rsidRPr="00573105">
        <w:t>CSRs</w:t>
      </w:r>
      <w:proofErr w:type="spellEnd"/>
      <w:r w:rsidR="00F50FF2" w:rsidRPr="00573105">
        <w:t>, ir nacionalinių</w:t>
      </w:r>
      <w:r w:rsidRPr="00573105">
        <w:t xml:space="preserve"> reformų įgyvendinimas?</w:t>
      </w:r>
    </w:p>
    <w:p w:rsidR="00DC2D1C" w:rsidRPr="008F5415" w:rsidRDefault="00DC2D1C" w:rsidP="00DC2D1C">
      <w:pPr>
        <w:jc w:val="both"/>
        <w:rPr>
          <w:b/>
        </w:rPr>
      </w:pPr>
      <w:r w:rsidRPr="008F5415">
        <w:rPr>
          <w:b/>
        </w:rPr>
        <w:t>Lietuvos pozicija</w:t>
      </w:r>
    </w:p>
    <w:p w:rsidR="00F50FF2" w:rsidRPr="00F50FF2" w:rsidRDefault="00F50FF2" w:rsidP="00F50FF2">
      <w:pPr>
        <w:jc w:val="both"/>
        <w:rPr>
          <w:b/>
        </w:rPr>
      </w:pPr>
      <w:r w:rsidRPr="00F50FF2">
        <w:rPr>
          <w:b/>
        </w:rPr>
        <w:t>Planuojama pasisakyti pagal preliminarias tezes:</w:t>
      </w:r>
    </w:p>
    <w:p w:rsidR="0078149C" w:rsidRPr="00362EA7" w:rsidRDefault="0078149C" w:rsidP="00362EA7">
      <w:pPr>
        <w:pStyle w:val="Sraopastraipa"/>
        <w:numPr>
          <w:ilvl w:val="0"/>
          <w:numId w:val="37"/>
        </w:numPr>
        <w:jc w:val="both"/>
        <w:rPr>
          <w:rFonts w:ascii="Times New Roman" w:hAnsi="Times New Roman"/>
          <w:sz w:val="24"/>
        </w:rPr>
      </w:pPr>
      <w:r w:rsidRPr="00362EA7">
        <w:rPr>
          <w:rFonts w:ascii="Times New Roman" w:hAnsi="Times New Roman"/>
          <w:sz w:val="24"/>
        </w:rPr>
        <w:t>Europos Semestras svarbus įrankis, padedantis mums planuoti ir įgyvendinti nacionalines reformas. Manome, kad jis turi būti plačiau išnaudojamas ir pasitelkiamas, kuomet priimami svarbūs sprendimai nacionaliniu lygmeniu. Be to, Lietuva visada pasisako už tolimesnį Europos Semestro proceso tobulinimą.</w:t>
      </w:r>
    </w:p>
    <w:p w:rsidR="00362EA7" w:rsidRPr="00362EA7" w:rsidRDefault="0078149C" w:rsidP="00362EA7">
      <w:pPr>
        <w:pStyle w:val="Sraopastraipa"/>
        <w:numPr>
          <w:ilvl w:val="0"/>
          <w:numId w:val="37"/>
        </w:numPr>
        <w:jc w:val="both"/>
        <w:rPr>
          <w:rFonts w:ascii="Times New Roman" w:hAnsi="Times New Roman"/>
          <w:sz w:val="24"/>
        </w:rPr>
      </w:pPr>
      <w:r w:rsidRPr="00362EA7">
        <w:rPr>
          <w:rFonts w:ascii="Times New Roman" w:hAnsi="Times New Roman"/>
          <w:sz w:val="24"/>
        </w:rPr>
        <w:t>Valstybėms narėms pateiktos rekomendacijos atkreipia dėmesį  į esminius kiekvienos šalies iššūkius. Lietuva sutinka, su Komisijos rekomendacija, kad didelė žmonių, kuriems gresia skurdas arba socialinė atskirtis, dalis ir didelė pajamų nelygybė tebėra svarbūs iššūkiai mūsų šalyje.</w:t>
      </w:r>
    </w:p>
    <w:p w:rsidR="0078149C" w:rsidRPr="00362EA7" w:rsidRDefault="00362EA7" w:rsidP="00362EA7">
      <w:pPr>
        <w:pStyle w:val="Sraopastraipa"/>
        <w:numPr>
          <w:ilvl w:val="0"/>
          <w:numId w:val="37"/>
        </w:numPr>
        <w:jc w:val="both"/>
        <w:rPr>
          <w:rFonts w:ascii="Times New Roman" w:hAnsi="Times New Roman"/>
          <w:sz w:val="24"/>
        </w:rPr>
      </w:pPr>
      <w:r w:rsidRPr="00362EA7">
        <w:rPr>
          <w:rFonts w:ascii="Times New Roman" w:hAnsi="Times New Roman"/>
          <w:sz w:val="24"/>
        </w:rPr>
        <w:t>S</w:t>
      </w:r>
      <w:r w:rsidR="0078149C" w:rsidRPr="00362EA7">
        <w:rPr>
          <w:rFonts w:ascii="Times New Roman" w:hAnsi="Times New Roman"/>
          <w:sz w:val="24"/>
        </w:rPr>
        <w:t xml:space="preserve">iekiant mažinti skurdo ir socialinės atskirties riziką priimtos naujos reformos, pavyzdžiui, įvesti vaiko pinigai ir indeksuojamos socialinio draudimo pensijos turės didelę įtaką sprendžiant problemas ir kovojant su skurdo rizika bei socialine atskirtimi mūsų šalyje ir </w:t>
      </w:r>
      <w:r w:rsidR="00FE5EB1">
        <w:rPr>
          <w:rFonts w:ascii="Times New Roman" w:hAnsi="Times New Roman"/>
          <w:sz w:val="24"/>
        </w:rPr>
        <w:t xml:space="preserve">statistiniai rodikliai </w:t>
      </w:r>
      <w:r w:rsidR="0078149C" w:rsidRPr="00362EA7">
        <w:rPr>
          <w:rFonts w:ascii="Times New Roman" w:hAnsi="Times New Roman"/>
          <w:sz w:val="24"/>
        </w:rPr>
        <w:t xml:space="preserve">atsispindės </w:t>
      </w:r>
      <w:r w:rsidR="00FE5EB1">
        <w:rPr>
          <w:rFonts w:ascii="Times New Roman" w:hAnsi="Times New Roman"/>
          <w:sz w:val="24"/>
        </w:rPr>
        <w:t>po kelerių metų</w:t>
      </w:r>
      <w:r w:rsidR="0078149C" w:rsidRPr="00362EA7">
        <w:rPr>
          <w:rFonts w:ascii="Times New Roman" w:hAnsi="Times New Roman"/>
          <w:sz w:val="24"/>
        </w:rPr>
        <w:t>.</w:t>
      </w:r>
    </w:p>
    <w:p w:rsidR="0078149C" w:rsidRPr="00362EA7" w:rsidRDefault="0078149C" w:rsidP="00362EA7">
      <w:pPr>
        <w:jc w:val="both"/>
        <w:rPr>
          <w:b/>
        </w:rPr>
      </w:pPr>
    </w:p>
    <w:p w:rsidR="000A478D" w:rsidRPr="00F50FF2" w:rsidRDefault="000A478D" w:rsidP="008F5415">
      <w:pPr>
        <w:jc w:val="both"/>
        <w:rPr>
          <w:b/>
          <w:bCs/>
        </w:rPr>
      </w:pPr>
      <w:r w:rsidRPr="00F50FF2">
        <w:rPr>
          <w:b/>
          <w:bCs/>
        </w:rPr>
        <w:t>Tarybos išvados „Vyrų ir moterų darbo užmokesčio skirtumo panaikinimas. Pagrindinė politika ir priemonės“</w:t>
      </w:r>
    </w:p>
    <w:p w:rsidR="00BE3F9D" w:rsidRPr="008F5415" w:rsidRDefault="00BE3F9D" w:rsidP="008F5415">
      <w:pPr>
        <w:jc w:val="both"/>
        <w:rPr>
          <w:i/>
          <w:iCs/>
        </w:rPr>
      </w:pPr>
      <w:r w:rsidRPr="008F5415">
        <w:rPr>
          <w:i/>
          <w:iCs/>
        </w:rPr>
        <w:t>= Priėmimas</w:t>
      </w:r>
    </w:p>
    <w:p w:rsidR="00BE3F9D" w:rsidRPr="008F5415" w:rsidRDefault="00BE3F9D" w:rsidP="008F5415">
      <w:pPr>
        <w:jc w:val="both"/>
        <w:rPr>
          <w:b/>
          <w:bCs/>
        </w:rPr>
      </w:pPr>
      <w:r w:rsidRPr="008F5415">
        <w:rPr>
          <w:b/>
          <w:bCs/>
        </w:rPr>
        <w:t>Klausimo esmė</w:t>
      </w:r>
    </w:p>
    <w:p w:rsidR="00BE3F9D" w:rsidRPr="008F5415" w:rsidRDefault="00BE3F9D" w:rsidP="008F5415">
      <w:pPr>
        <w:jc w:val="both"/>
      </w:pPr>
      <w:r w:rsidRPr="008F5415">
        <w:t>Išvadų projektas parengtas atsižvelgiant į Europos lyčių lygybės instituto (EIGE) tyrimą „</w:t>
      </w:r>
      <w:proofErr w:type="spellStart"/>
      <w:r w:rsidRPr="008F5415">
        <w:rPr>
          <w:i/>
          <w:iCs/>
        </w:rPr>
        <w:t>Tackling</w:t>
      </w:r>
      <w:proofErr w:type="spellEnd"/>
      <w:r w:rsidRPr="008F5415">
        <w:rPr>
          <w:i/>
          <w:iCs/>
        </w:rPr>
        <w:t xml:space="preserve"> </w:t>
      </w:r>
      <w:proofErr w:type="spellStart"/>
      <w:r w:rsidRPr="008F5415">
        <w:rPr>
          <w:i/>
          <w:iCs/>
        </w:rPr>
        <w:t>the</w:t>
      </w:r>
      <w:proofErr w:type="spellEnd"/>
      <w:r w:rsidRPr="008F5415">
        <w:rPr>
          <w:i/>
          <w:iCs/>
        </w:rPr>
        <w:t xml:space="preserve"> </w:t>
      </w:r>
      <w:proofErr w:type="spellStart"/>
      <w:r w:rsidRPr="008F5415">
        <w:rPr>
          <w:i/>
          <w:iCs/>
        </w:rPr>
        <w:t>gender</w:t>
      </w:r>
      <w:proofErr w:type="spellEnd"/>
      <w:r w:rsidRPr="008F5415">
        <w:rPr>
          <w:i/>
          <w:iCs/>
        </w:rPr>
        <w:t xml:space="preserve"> </w:t>
      </w:r>
      <w:proofErr w:type="spellStart"/>
      <w:r w:rsidRPr="008F5415">
        <w:rPr>
          <w:i/>
          <w:iCs/>
        </w:rPr>
        <w:t>pay</w:t>
      </w:r>
      <w:proofErr w:type="spellEnd"/>
      <w:r w:rsidRPr="008F5415">
        <w:rPr>
          <w:i/>
          <w:iCs/>
        </w:rPr>
        <w:t xml:space="preserve"> </w:t>
      </w:r>
      <w:proofErr w:type="spellStart"/>
      <w:r w:rsidRPr="008F5415">
        <w:rPr>
          <w:i/>
          <w:iCs/>
        </w:rPr>
        <w:t>gap</w:t>
      </w:r>
      <w:proofErr w:type="spellEnd"/>
      <w:r w:rsidRPr="008F5415">
        <w:rPr>
          <w:i/>
          <w:iCs/>
        </w:rPr>
        <w:t xml:space="preserve">: </w:t>
      </w:r>
      <w:proofErr w:type="spellStart"/>
      <w:r w:rsidRPr="008F5415">
        <w:rPr>
          <w:i/>
          <w:iCs/>
        </w:rPr>
        <w:t>not</w:t>
      </w:r>
      <w:proofErr w:type="spellEnd"/>
      <w:r w:rsidRPr="008F5415">
        <w:rPr>
          <w:i/>
          <w:iCs/>
        </w:rPr>
        <w:t xml:space="preserve"> </w:t>
      </w:r>
      <w:proofErr w:type="spellStart"/>
      <w:r w:rsidRPr="008F5415">
        <w:rPr>
          <w:i/>
          <w:iCs/>
        </w:rPr>
        <w:t>without</w:t>
      </w:r>
      <w:proofErr w:type="spellEnd"/>
      <w:r w:rsidRPr="008F5415">
        <w:rPr>
          <w:i/>
          <w:iCs/>
        </w:rPr>
        <w:t xml:space="preserve"> a </w:t>
      </w:r>
      <w:proofErr w:type="spellStart"/>
      <w:r w:rsidRPr="008F5415">
        <w:rPr>
          <w:i/>
          <w:iCs/>
        </w:rPr>
        <w:t>better</w:t>
      </w:r>
      <w:proofErr w:type="spellEnd"/>
      <w:r w:rsidRPr="008F5415">
        <w:rPr>
          <w:i/>
          <w:iCs/>
        </w:rPr>
        <w:t xml:space="preserve"> </w:t>
      </w:r>
      <w:proofErr w:type="spellStart"/>
      <w:r w:rsidRPr="008F5415">
        <w:rPr>
          <w:i/>
          <w:iCs/>
        </w:rPr>
        <w:t>work-life</w:t>
      </w:r>
      <w:proofErr w:type="spellEnd"/>
      <w:r w:rsidRPr="008F5415">
        <w:rPr>
          <w:i/>
          <w:iCs/>
        </w:rPr>
        <w:t xml:space="preserve"> </w:t>
      </w:r>
      <w:proofErr w:type="spellStart"/>
      <w:r w:rsidRPr="008F5415">
        <w:rPr>
          <w:i/>
          <w:iCs/>
        </w:rPr>
        <w:t>balance</w:t>
      </w:r>
      <w:proofErr w:type="spellEnd"/>
      <w:r w:rsidRPr="008F5415">
        <w:t xml:space="preserve">“, kuris atskleidė, kad </w:t>
      </w:r>
      <w:r w:rsidR="00D04569" w:rsidRPr="008F5415">
        <w:t xml:space="preserve">keturis kartus daugiau </w:t>
      </w:r>
      <w:r w:rsidR="00D04569">
        <w:t>moterų</w:t>
      </w:r>
      <w:r w:rsidRPr="008F5415">
        <w:t xml:space="preserve"> </w:t>
      </w:r>
      <w:r w:rsidR="00D04569">
        <w:t>nei vyrų</w:t>
      </w:r>
      <w:r w:rsidRPr="008F5415">
        <w:t xml:space="preserve">, dirba ne pilną darbo dieną ar su laikinomis darbo sutartimis. Be to, dirbančių moterų ekonominio neaktyvumo lygis yra beveik du kartus didesnis nei vyrų. Kas penkta moteris, susidurianti su skurdu, nėra aktyvi darbo rinkoje dėl tenkančių priežiūros ar </w:t>
      </w:r>
      <w:r w:rsidR="00D04569" w:rsidRPr="00D04569">
        <w:t>šeiminių</w:t>
      </w:r>
      <w:r w:rsidRPr="00D04569">
        <w:t xml:space="preserve"> įsipareigojimų</w:t>
      </w:r>
      <w:r w:rsidRPr="008F5415">
        <w:t xml:space="preserve">. Tokia situacija susiklosto dėl prieinamų ir kokybiškų vaikų priežiūros paslaugų trūkumo, taip pat dėl kitų globojamų </w:t>
      </w:r>
      <w:r w:rsidR="00D04569">
        <w:t xml:space="preserve">asmenų </w:t>
      </w:r>
      <w:r w:rsidRPr="008F5415">
        <w:t xml:space="preserve">priežiūros </w:t>
      </w:r>
      <w:r w:rsidR="0033741B">
        <w:t xml:space="preserve">bei </w:t>
      </w:r>
      <w:r w:rsidRPr="008F5415">
        <w:t>kitų priemonių stokos, tokių kaip lanksčios darbo sąlygos siekiant supaprastinti darbo, šeimos ir asmeninio gyvenimo įsipareigojimų derinimą.</w:t>
      </w:r>
    </w:p>
    <w:p w:rsidR="00BE3F9D" w:rsidRDefault="00BE3F9D" w:rsidP="008F5415">
      <w:pPr>
        <w:jc w:val="both"/>
      </w:pPr>
      <w:r w:rsidRPr="008F5415">
        <w:t xml:space="preserve">Atsižvelgiant į tai </w:t>
      </w:r>
      <w:r w:rsidR="0033741B">
        <w:t xml:space="preserve">valstybės </w:t>
      </w:r>
      <w:r w:rsidRPr="008F5415">
        <w:t>narės raginamos:</w:t>
      </w:r>
    </w:p>
    <w:p w:rsidR="00792BFA" w:rsidRPr="00792BFA" w:rsidRDefault="00792BFA" w:rsidP="00792BFA">
      <w:pPr>
        <w:pStyle w:val="Sraopastraipa"/>
        <w:numPr>
          <w:ilvl w:val="0"/>
          <w:numId w:val="35"/>
        </w:numPr>
        <w:tabs>
          <w:tab w:val="left" w:pos="709"/>
        </w:tabs>
        <w:ind w:left="0" w:firstLine="426"/>
        <w:contextualSpacing w:val="0"/>
        <w:jc w:val="both"/>
        <w:rPr>
          <w:rFonts w:ascii="Times New Roman" w:hAnsi="Times New Roman"/>
          <w:sz w:val="24"/>
          <w:szCs w:val="24"/>
        </w:rPr>
      </w:pPr>
      <w:r w:rsidRPr="00792BFA">
        <w:rPr>
          <w:rFonts w:ascii="Times New Roman" w:hAnsi="Times New Roman"/>
          <w:sz w:val="24"/>
          <w:szCs w:val="24"/>
        </w:rPr>
        <w:t>Imtis priemonių ir pagerinti egzistuojančias priemones ar įvesti naujas, siekiant užtikrinti efektyvų vienodo užmokesčio už tą patį ar vienodos vertės darbą principo įgyvendinimą</w:t>
      </w:r>
    </w:p>
    <w:p w:rsidR="00BE3F9D" w:rsidRPr="008F5415" w:rsidRDefault="00BE3F9D" w:rsidP="008F5415">
      <w:pPr>
        <w:pStyle w:val="Sraopastraipa"/>
        <w:numPr>
          <w:ilvl w:val="0"/>
          <w:numId w:val="35"/>
        </w:numPr>
        <w:tabs>
          <w:tab w:val="left" w:pos="709"/>
        </w:tabs>
        <w:ind w:left="0" w:firstLine="426"/>
        <w:contextualSpacing w:val="0"/>
        <w:jc w:val="both"/>
        <w:rPr>
          <w:rFonts w:ascii="Times New Roman" w:hAnsi="Times New Roman"/>
          <w:sz w:val="24"/>
          <w:szCs w:val="24"/>
        </w:rPr>
      </w:pPr>
      <w:r w:rsidRPr="008F5415">
        <w:rPr>
          <w:rFonts w:ascii="Times New Roman" w:hAnsi="Times New Roman"/>
          <w:sz w:val="24"/>
          <w:szCs w:val="24"/>
        </w:rPr>
        <w:t xml:space="preserve">Imtis efektyvių priemonių siekiant panaikinti segregacijos darbo rinkoje ir darbo užmokesčio tarp lyčių skirtumus. </w:t>
      </w:r>
    </w:p>
    <w:p w:rsidR="00BE3F9D" w:rsidRPr="008F5415" w:rsidRDefault="00BE3F9D" w:rsidP="008F5415">
      <w:pPr>
        <w:pStyle w:val="Sraopastraipa"/>
        <w:numPr>
          <w:ilvl w:val="0"/>
          <w:numId w:val="35"/>
        </w:numPr>
        <w:tabs>
          <w:tab w:val="left" w:pos="709"/>
        </w:tabs>
        <w:ind w:left="0" w:firstLine="426"/>
        <w:contextualSpacing w:val="0"/>
        <w:jc w:val="both"/>
        <w:rPr>
          <w:rFonts w:ascii="Times New Roman" w:hAnsi="Times New Roman"/>
          <w:sz w:val="24"/>
          <w:szCs w:val="24"/>
        </w:rPr>
      </w:pPr>
      <w:r w:rsidRPr="008F5415">
        <w:rPr>
          <w:rFonts w:ascii="Times New Roman" w:hAnsi="Times New Roman"/>
          <w:sz w:val="24"/>
          <w:szCs w:val="24"/>
        </w:rPr>
        <w:t>Imtis priemonių siekiant tiek moterims, tiek vyrams sudaryti palankesnes sąlygas derinti profesinį, šeiminį ir asmeninį gyvenimą, taip skatinant vienodą vyrų ir moterų pasidalijimą pri</w:t>
      </w:r>
      <w:r w:rsidR="00B2673E">
        <w:rPr>
          <w:rFonts w:ascii="Times New Roman" w:hAnsi="Times New Roman"/>
          <w:sz w:val="24"/>
          <w:szCs w:val="24"/>
        </w:rPr>
        <w:t>ežiūros ir namų ūkio pareigomis</w:t>
      </w:r>
      <w:r w:rsidRPr="008F5415">
        <w:rPr>
          <w:rFonts w:ascii="Times New Roman" w:hAnsi="Times New Roman"/>
          <w:sz w:val="24"/>
          <w:szCs w:val="24"/>
        </w:rPr>
        <w:t xml:space="preserve">. </w:t>
      </w:r>
    </w:p>
    <w:p w:rsidR="00BE3F9D" w:rsidRPr="008F5415" w:rsidRDefault="00BE3F9D" w:rsidP="008F5415">
      <w:pPr>
        <w:pStyle w:val="Sraopastraipa"/>
        <w:numPr>
          <w:ilvl w:val="0"/>
          <w:numId w:val="35"/>
        </w:numPr>
        <w:tabs>
          <w:tab w:val="left" w:pos="709"/>
        </w:tabs>
        <w:ind w:left="0" w:firstLine="426"/>
        <w:contextualSpacing w:val="0"/>
        <w:jc w:val="both"/>
        <w:rPr>
          <w:rFonts w:ascii="Times New Roman" w:hAnsi="Times New Roman"/>
          <w:sz w:val="24"/>
          <w:szCs w:val="24"/>
        </w:rPr>
      </w:pPr>
      <w:r w:rsidRPr="008F5415">
        <w:rPr>
          <w:rFonts w:ascii="Times New Roman" w:hAnsi="Times New Roman"/>
          <w:sz w:val="24"/>
          <w:szCs w:val="24"/>
        </w:rPr>
        <w:t xml:space="preserve">Savo nacionalinėse darnaus vystymosi strategijose </w:t>
      </w:r>
      <w:r w:rsidR="00D04569" w:rsidRPr="008F5415">
        <w:rPr>
          <w:rFonts w:ascii="Times New Roman" w:hAnsi="Times New Roman"/>
          <w:sz w:val="24"/>
          <w:szCs w:val="24"/>
        </w:rPr>
        <w:t xml:space="preserve">įtraukti </w:t>
      </w:r>
      <w:r w:rsidRPr="008F5415">
        <w:rPr>
          <w:rFonts w:ascii="Times New Roman" w:hAnsi="Times New Roman"/>
          <w:sz w:val="24"/>
          <w:szCs w:val="24"/>
        </w:rPr>
        <w:t>į konkrečias priemones, skirtas moterims ir mergaitėms, pagal Jungtinių Taut</w:t>
      </w:r>
      <w:r w:rsidR="00D04569">
        <w:rPr>
          <w:rFonts w:ascii="Times New Roman" w:hAnsi="Times New Roman"/>
          <w:sz w:val="24"/>
          <w:szCs w:val="24"/>
        </w:rPr>
        <w:t>ų Darnaus vystymosi darbotvarkę</w:t>
      </w:r>
      <w:r w:rsidRPr="008F5415">
        <w:rPr>
          <w:rFonts w:ascii="Times New Roman" w:hAnsi="Times New Roman"/>
          <w:sz w:val="24"/>
          <w:szCs w:val="24"/>
        </w:rPr>
        <w:t xml:space="preserve"> iki 2030 m. ir stebėti visų atitinkamų nuo</w:t>
      </w:r>
      <w:r w:rsidR="00D04569">
        <w:rPr>
          <w:rFonts w:ascii="Times New Roman" w:hAnsi="Times New Roman"/>
          <w:sz w:val="24"/>
          <w:szCs w:val="24"/>
        </w:rPr>
        <w:t>statų įgyvendinimą</w:t>
      </w:r>
      <w:r w:rsidRPr="008F5415">
        <w:rPr>
          <w:rFonts w:ascii="Times New Roman" w:hAnsi="Times New Roman"/>
          <w:sz w:val="24"/>
          <w:szCs w:val="24"/>
        </w:rPr>
        <w:t>.</w:t>
      </w:r>
    </w:p>
    <w:p w:rsidR="00BE3F9D" w:rsidRPr="008F5415" w:rsidRDefault="00BE3F9D" w:rsidP="008F5415">
      <w:pPr>
        <w:jc w:val="both"/>
        <w:rPr>
          <w:b/>
          <w:bCs/>
        </w:rPr>
      </w:pPr>
      <w:r w:rsidRPr="008F5415">
        <w:rPr>
          <w:b/>
          <w:bCs/>
        </w:rPr>
        <w:t>Lietuvos pozicija</w:t>
      </w:r>
    </w:p>
    <w:p w:rsidR="00BE3F9D" w:rsidRPr="008F5415" w:rsidRDefault="00BE3F9D" w:rsidP="008F5415">
      <w:pPr>
        <w:jc w:val="both"/>
      </w:pPr>
      <w:r w:rsidRPr="008F5415">
        <w:t>Lietuva pritaria Tarybos išvadų projektui.</w:t>
      </w:r>
    </w:p>
    <w:p w:rsidR="00BE3F9D" w:rsidRPr="008F5415" w:rsidRDefault="00BE3F9D" w:rsidP="008F5415">
      <w:pPr>
        <w:jc w:val="both"/>
      </w:pPr>
      <w:r w:rsidRPr="008F5415">
        <w:t>Nors moterų nedarbo lygis</w:t>
      </w:r>
      <w:r w:rsidR="00072DC3">
        <w:t xml:space="preserve"> Lietuvoje</w:t>
      </w:r>
      <w:r w:rsidRPr="008F5415">
        <w:t xml:space="preserve"> mažesnis nei vyrų ir moterų aktyvumas darbo rinkoje lenkia vyrus, tačiau Lietuvoje darbo užmokesčio atotrūkis išlieka problema. 2017 m. duomenimis darbo užmokesčio atotrūkis tarp moterų ir vyrų siekė 15,2 proc. Didžiausias jis buvo finansinės ir draudimo veiklos įmonėse – 38,1 proc., informacijos ir ryšių – 28,2 proc. </w:t>
      </w:r>
    </w:p>
    <w:p w:rsidR="00BE3F9D" w:rsidRPr="008F5415" w:rsidRDefault="00BE3F9D" w:rsidP="008F5415">
      <w:pPr>
        <w:jc w:val="both"/>
      </w:pPr>
      <w:r w:rsidRPr="008F5415">
        <w:lastRenderedPageBreak/>
        <w:t>2018 m. duomenimis iš visų įstaigų vadovų 62,5 proc. sudarė vyrai. Moterims vis dar tenka didesnė našta rūpinantis šeimos nariais. 2017 m. duomenims 31,3 proc. moterų yra ties skurdo ir socialinės atskirties riba.</w:t>
      </w:r>
    </w:p>
    <w:p w:rsidR="00BE3F9D" w:rsidRPr="008F5415" w:rsidRDefault="00BE3F9D" w:rsidP="008F5415">
      <w:pPr>
        <w:jc w:val="both"/>
        <w:rPr>
          <w:b/>
          <w:bCs/>
        </w:rPr>
      </w:pPr>
    </w:p>
    <w:p w:rsidR="000A478D" w:rsidRPr="008F5415" w:rsidRDefault="00442E0D" w:rsidP="008F5415">
      <w:pPr>
        <w:jc w:val="both"/>
        <w:rPr>
          <w:b/>
        </w:rPr>
      </w:pPr>
      <w:r w:rsidRPr="008F5415">
        <w:rPr>
          <w:b/>
        </w:rPr>
        <w:t>Tarybos i</w:t>
      </w:r>
      <w:r w:rsidR="000A478D" w:rsidRPr="008F5415">
        <w:rPr>
          <w:b/>
        </w:rPr>
        <w:t>švados „Kintantis darbo pasaulis: naujų darbo formų apmąstymas ir poveikis darbuotojų saugai ir sveikatai“</w:t>
      </w:r>
    </w:p>
    <w:p w:rsidR="0092354A" w:rsidRPr="008F5415" w:rsidRDefault="0092354A" w:rsidP="008F5415">
      <w:pPr>
        <w:widowControl w:val="0"/>
        <w:jc w:val="both"/>
        <w:rPr>
          <w:i/>
        </w:rPr>
      </w:pPr>
      <w:r w:rsidRPr="008F5415">
        <w:rPr>
          <w:rFonts w:eastAsia="Calibri"/>
          <w:i/>
        </w:rPr>
        <w:t>=</w:t>
      </w:r>
      <w:r w:rsidRPr="008F5415">
        <w:rPr>
          <w:i/>
          <w:iCs/>
        </w:rPr>
        <w:t xml:space="preserve"> </w:t>
      </w:r>
      <w:r w:rsidRPr="008F5415">
        <w:rPr>
          <w:i/>
        </w:rPr>
        <w:t>Priėmimas</w:t>
      </w:r>
    </w:p>
    <w:p w:rsidR="00846678" w:rsidRPr="008F5415" w:rsidRDefault="00846678" w:rsidP="008F5415">
      <w:pPr>
        <w:widowControl w:val="0"/>
        <w:jc w:val="both"/>
        <w:rPr>
          <w:b/>
        </w:rPr>
      </w:pPr>
      <w:r w:rsidRPr="008F5415">
        <w:rPr>
          <w:b/>
        </w:rPr>
        <w:t>Klausimo esmė</w:t>
      </w:r>
    </w:p>
    <w:p w:rsidR="0092354A" w:rsidRPr="008F5415" w:rsidRDefault="0092354A" w:rsidP="00B2673E">
      <w:pPr>
        <w:jc w:val="both"/>
      </w:pPr>
      <w:r w:rsidRPr="008F5415">
        <w:t>Taryba atsižvelgdama į besikeičiančias darbo sąlygas, veikiamas technologinės pažangos, demografinių pokyčių, skaitmeninimo, robotizavimo, dirbtinio intelekto naudojimo ir skaitmeninių platformų ekonomikos vystymosi, siekdama užtikrinti deramas ir tinkamas darbo sąlygas ir aukštą darbuotojų saugos ir sveikatos lygį, pateikė Tarybos išvad</w:t>
      </w:r>
      <w:r w:rsidR="00B2673E">
        <w:t>ų</w:t>
      </w:r>
      <w:r w:rsidRPr="008F5415">
        <w:t xml:space="preserve"> „</w:t>
      </w:r>
      <w:r w:rsidR="00B2673E">
        <w:t>Kintantis darbo pasaulis: naujų darbo formų apmąstymas ir poveikis darbuotojų saugai ir sveikatai</w:t>
      </w:r>
      <w:r w:rsidRPr="008F5415">
        <w:t xml:space="preserve">“ pasiūlymą (toliau – Pasiūlymas). </w:t>
      </w:r>
    </w:p>
    <w:p w:rsidR="0092354A" w:rsidRPr="0098110A" w:rsidRDefault="0092354A" w:rsidP="008F5415">
      <w:pPr>
        <w:jc w:val="both"/>
      </w:pPr>
      <w:r w:rsidRPr="008F5415">
        <w:t xml:space="preserve">Pasiūlymu Taryba </w:t>
      </w:r>
      <w:r w:rsidRPr="008F5415">
        <w:rPr>
          <w:bCs/>
        </w:rPr>
        <w:t>pabrėžia</w:t>
      </w:r>
      <w:r w:rsidRPr="008F5415">
        <w:t>, kad svarbu darbuotoj</w:t>
      </w:r>
      <w:r w:rsidR="00072DC3">
        <w:t>ams</w:t>
      </w:r>
      <w:r w:rsidRPr="008F5415">
        <w:t xml:space="preserve">, </w:t>
      </w:r>
      <w:r w:rsidR="00283447">
        <w:t>kurie dirba n</w:t>
      </w:r>
      <w:r w:rsidR="00283447" w:rsidRPr="00283447">
        <w:t>aujos</w:t>
      </w:r>
      <w:r w:rsidR="00283447">
        <w:t>e</w:t>
      </w:r>
      <w:r w:rsidR="00283447" w:rsidRPr="00283447">
        <w:t xml:space="preserve"> užimtumo formos</w:t>
      </w:r>
      <w:r w:rsidR="00283447">
        <w:t>e, kurios</w:t>
      </w:r>
      <w:r w:rsidR="00283447" w:rsidRPr="00283447">
        <w:t xml:space="preserve"> </w:t>
      </w:r>
      <w:r w:rsidR="00283447">
        <w:t xml:space="preserve">keičia </w:t>
      </w:r>
      <w:r w:rsidR="00283447" w:rsidRPr="00283447">
        <w:t>tradicinius darbo santykius</w:t>
      </w:r>
      <w:r w:rsidR="0098110A">
        <w:t xml:space="preserve"> </w:t>
      </w:r>
      <w:r w:rsidR="0098110A" w:rsidRPr="008F5415">
        <w:t>nustatyti</w:t>
      </w:r>
      <w:r w:rsidR="0098110A">
        <w:t xml:space="preserve"> </w:t>
      </w:r>
      <w:r w:rsidRPr="008F5415">
        <w:t xml:space="preserve">saugos ir sveikatos užtikrinimo priemones; nustatyti darbuotojų gerovei, kylančius </w:t>
      </w:r>
      <w:r w:rsidR="00072DC3">
        <w:t xml:space="preserve">riziką </w:t>
      </w:r>
      <w:r w:rsidRPr="008F5415">
        <w:t xml:space="preserve">dėl naujų darbo formų, naujo darbo organizavimo ir naujų profesijų; būtina užtikrinti ES </w:t>
      </w:r>
      <w:r w:rsidR="00072DC3">
        <w:t>teisės aktų veiksmingą įgyvendinimą</w:t>
      </w:r>
      <w:r w:rsidRPr="008F5415">
        <w:rPr>
          <w:i/>
        </w:rPr>
        <w:t xml:space="preserve">, </w:t>
      </w:r>
      <w:proofErr w:type="spellStart"/>
      <w:r w:rsidRPr="008F5415">
        <w:rPr>
          <w:i/>
        </w:rPr>
        <w:t>inter</w:t>
      </w:r>
      <w:proofErr w:type="spellEnd"/>
      <w:r w:rsidRPr="008F5415">
        <w:rPr>
          <w:i/>
        </w:rPr>
        <w:t xml:space="preserve"> </w:t>
      </w:r>
      <w:proofErr w:type="spellStart"/>
      <w:r w:rsidRPr="008F5415">
        <w:rPr>
          <w:i/>
        </w:rPr>
        <w:t>alia</w:t>
      </w:r>
      <w:proofErr w:type="spellEnd"/>
      <w:r w:rsidRPr="008F5415">
        <w:t>, tais atvejais, kai darbuotojai turi netipinius darbo santykius ir dirba naujų formų darbą</w:t>
      </w:r>
      <w:r w:rsidR="00AE1ED5" w:rsidRPr="008F5415">
        <w:t>.</w:t>
      </w:r>
    </w:p>
    <w:p w:rsidR="0092354A" w:rsidRPr="008F5415" w:rsidRDefault="0092354A" w:rsidP="008F5415">
      <w:pPr>
        <w:jc w:val="both"/>
        <w:rPr>
          <w:b/>
          <w:bCs/>
        </w:rPr>
      </w:pPr>
      <w:r w:rsidRPr="008F5415">
        <w:rPr>
          <w:b/>
          <w:bCs/>
        </w:rPr>
        <w:t xml:space="preserve">Lietuvos pozicija </w:t>
      </w:r>
    </w:p>
    <w:p w:rsidR="00AE1ED5" w:rsidRDefault="0092354A" w:rsidP="008F5415">
      <w:pPr>
        <w:jc w:val="both"/>
      </w:pPr>
      <w:r w:rsidRPr="008F5415">
        <w:t>Palankiai vertiname Tarybos teikiamą Pasiūlymą.</w:t>
      </w:r>
    </w:p>
    <w:p w:rsidR="004F33BF" w:rsidRPr="008F5415" w:rsidRDefault="004F33BF" w:rsidP="008F5415">
      <w:pPr>
        <w:jc w:val="both"/>
        <w:rPr>
          <w:b/>
        </w:rPr>
      </w:pPr>
    </w:p>
    <w:p w:rsidR="00172592" w:rsidRDefault="00172592" w:rsidP="00172592">
      <w:pPr>
        <w:jc w:val="both"/>
        <w:rPr>
          <w:b/>
          <w:bCs/>
        </w:rPr>
      </w:pPr>
      <w:r>
        <w:rPr>
          <w:b/>
          <w:bCs/>
        </w:rPr>
        <w:t>Tarybos išvados dėl Europos Audito Rūmų specialiosios ataskaitos Nr. 5/2019 „Europos pagalbos labiausiai skurstantiems asmenims fondas (EPLSAF). Parama vertinga, bet kol kas nenustatyta, kiek ja prisidedama mažinant skurdą“</w:t>
      </w:r>
    </w:p>
    <w:p w:rsidR="00172592" w:rsidRDefault="00172592" w:rsidP="00172592">
      <w:pPr>
        <w:jc w:val="both"/>
        <w:rPr>
          <w:i/>
          <w:iCs/>
        </w:rPr>
      </w:pPr>
      <w:r>
        <w:rPr>
          <w:i/>
          <w:iCs/>
        </w:rPr>
        <w:t>= Priėmimas</w:t>
      </w:r>
    </w:p>
    <w:p w:rsidR="00172592" w:rsidRDefault="00172592" w:rsidP="00172592">
      <w:pPr>
        <w:jc w:val="both"/>
        <w:rPr>
          <w:b/>
          <w:bCs/>
        </w:rPr>
      </w:pPr>
      <w:r>
        <w:rPr>
          <w:b/>
          <w:bCs/>
        </w:rPr>
        <w:t>Klausimo esmė</w:t>
      </w:r>
    </w:p>
    <w:p w:rsidR="00172592" w:rsidRDefault="00172592" w:rsidP="00172592">
      <w:pPr>
        <w:jc w:val="both"/>
      </w:pPr>
      <w:r>
        <w:t>Pateiktose Tarybos išvadose yra dėl Europos Audito Rūmų (toliau – EAR) specialiosios ataskaitos dėl Europos pagalbos labiausiai skurstantiems asmenims fondo (toliau – EPLSAF) įgyvendinimo 2014</w:t>
      </w:r>
      <w:proofErr w:type="gramStart"/>
      <w:r>
        <w:t>-</w:t>
      </w:r>
      <w:proofErr w:type="gramEnd"/>
      <w:r>
        <w:t>2020 programavimo laikotarpiu ir rekomendacijos dėl Komisijos pasiūlymo po 2020 m. integruoti EPLSAF į naująjį ESF+, kuriame numatyti konkretūs kovos su materialiniu nepritekliumi tikslai.</w:t>
      </w:r>
    </w:p>
    <w:p w:rsidR="00172592" w:rsidRDefault="00172592" w:rsidP="00172592">
      <w:pPr>
        <w:jc w:val="both"/>
      </w:pPr>
      <w:r>
        <w:t>Komisija pasiūlė būsimuoju programavimo laikotarpiu po 2020 m. integruoti EPLSAF į naująjį ESF+, kuriame numatyti konkretūs kovos su materialiniu nepritekliumi tikslai.</w:t>
      </w:r>
    </w:p>
    <w:p w:rsidR="00172592" w:rsidRDefault="00172592" w:rsidP="00172592">
      <w:pPr>
        <w:autoSpaceDE w:val="0"/>
        <w:autoSpaceDN w:val="0"/>
        <w:jc w:val="both"/>
        <w:rPr>
          <w:rFonts w:ascii="TimesNewRomanPSMT" w:hAnsi="TimesNewRomanPSMT"/>
          <w:color w:val="000000"/>
          <w:sz w:val="23"/>
          <w:szCs w:val="23"/>
        </w:rPr>
      </w:pPr>
      <w:r>
        <w:t xml:space="preserve">Komisija taip pat pasiūlė, kad </w:t>
      </w:r>
      <w:r>
        <w:rPr>
          <w:rFonts w:ascii="TimesNewRomanPSMT" w:hAnsi="TimesNewRomanPSMT"/>
          <w:color w:val="000000"/>
          <w:sz w:val="23"/>
          <w:szCs w:val="23"/>
        </w:rPr>
        <w:t>valstybės narės, siekdamos bendro ES lygmens tikslo, kovai su materialiniu nepritekliumi turėtų skirti tam tikrą procentinę savo ESF+ lėšų dalį.</w:t>
      </w:r>
    </w:p>
    <w:p w:rsidR="00172592" w:rsidRDefault="00172592" w:rsidP="00172592">
      <w:pPr>
        <w:jc w:val="both"/>
      </w:pPr>
      <w:r>
        <w:t xml:space="preserve">Apibendrinant EAR mano, kad EPLSAF yra tinkama priemonė, tačiau Europos Sąjungos Taryba atkreipia dėmesį į tris galutines rekomendacijas: tikslingesniam pagalbos maistu skyrimui; socialinės </w:t>
      </w:r>
      <w:proofErr w:type="spellStart"/>
      <w:r>
        <w:t>įtraukties</w:t>
      </w:r>
      <w:proofErr w:type="spellEnd"/>
      <w:r>
        <w:t xml:space="preserve"> priemonių pagrindinės materialinės pagalbos gavėjams užtikrinimui; galutinių EPLSAF paramos gavėjų socialinės </w:t>
      </w:r>
      <w:proofErr w:type="spellStart"/>
      <w:r>
        <w:t>įtraukties</w:t>
      </w:r>
      <w:proofErr w:type="spellEnd"/>
      <w:r>
        <w:t xml:space="preserve"> vertinimo gerinimui.</w:t>
      </w:r>
    </w:p>
    <w:p w:rsidR="00172592" w:rsidRDefault="00172592" w:rsidP="00172592">
      <w:pPr>
        <w:jc w:val="both"/>
        <w:rPr>
          <w:b/>
          <w:bCs/>
        </w:rPr>
      </w:pPr>
      <w:r>
        <w:rPr>
          <w:b/>
          <w:bCs/>
        </w:rPr>
        <w:t xml:space="preserve">Lietuvos pozicija </w:t>
      </w:r>
    </w:p>
    <w:p w:rsidR="00172592" w:rsidRDefault="00172592" w:rsidP="00172592">
      <w:pPr>
        <w:autoSpaceDE w:val="0"/>
        <w:autoSpaceDN w:val="0"/>
        <w:jc w:val="both"/>
      </w:pPr>
      <w:r>
        <w:t xml:space="preserve">Dėkojame EAR už pateiktas įžvalgas dėl šio programavimo laikotarpio ir rekomendacijų ateičiai. </w:t>
      </w:r>
    </w:p>
    <w:p w:rsidR="00172592" w:rsidRDefault="00172592" w:rsidP="00172592">
      <w:pPr>
        <w:autoSpaceDE w:val="0"/>
        <w:autoSpaceDN w:val="0"/>
        <w:jc w:val="both"/>
      </w:pPr>
      <w:r>
        <w:t xml:space="preserve">Sutinkame su pateiktomis tarybos išvadomis, kuriose atkreipiamas dėmesys į baigiamąsias EAR rekomendacijas ir pasiūlymą būsimoje daugiametėje finansinėje programoje EPLSAF įtraukti į ESF+, kad būtų lengviau derinti pagalbą maistu ir materialinę pagalbą su socialine </w:t>
      </w:r>
      <w:proofErr w:type="spellStart"/>
      <w:r>
        <w:t>įtrauktimi</w:t>
      </w:r>
      <w:proofErr w:type="spellEnd"/>
      <w:r>
        <w:t xml:space="preserve"> ir aktyviomis priemonėmis, taip pat toliau stiprinti paramos socialinės </w:t>
      </w:r>
      <w:proofErr w:type="spellStart"/>
      <w:r>
        <w:t>įtraukties</w:t>
      </w:r>
      <w:proofErr w:type="spellEnd"/>
      <w:r>
        <w:t xml:space="preserve"> aspektą ir padėti integruotai išbristi iš skurdo.</w:t>
      </w:r>
    </w:p>
    <w:p w:rsidR="001E2EAD" w:rsidRDefault="00172592" w:rsidP="00172592">
      <w:pPr>
        <w:autoSpaceDE w:val="0"/>
        <w:autoSpaceDN w:val="0"/>
        <w:jc w:val="both"/>
      </w:pPr>
      <w:r>
        <w:t>Sveikiname integruotą požiūrį dėl naujojo ESF + reglamento po 2020 m. ir tikimės, kad tokiu būdu bus sukurta daugiau sinergijos ir užtikrintas skirtingų ES fondų papildomumas. Itin tikimės, kad supaprastintas programavimas ir valdymas sumažins viešųjų institucijų ir naudos gavėjų administracinę naštą.</w:t>
      </w:r>
    </w:p>
    <w:p w:rsidR="0074594C" w:rsidRDefault="0074594C" w:rsidP="0074594C">
      <w:pPr>
        <w:jc w:val="both"/>
        <w:rPr>
          <w:rStyle w:val="tlid-translation"/>
          <w:b/>
        </w:rPr>
      </w:pPr>
      <w:r w:rsidRPr="0074594C">
        <w:rPr>
          <w:rStyle w:val="tlid-translation"/>
          <w:b/>
        </w:rPr>
        <w:lastRenderedPageBreak/>
        <w:t xml:space="preserve">Europos darbo institucijos būstinės vietos atranka </w:t>
      </w:r>
    </w:p>
    <w:p w:rsidR="0074594C" w:rsidRDefault="0074594C" w:rsidP="0074594C">
      <w:pPr>
        <w:jc w:val="both"/>
        <w:rPr>
          <w:i/>
          <w:iCs/>
        </w:rPr>
      </w:pPr>
      <w:r>
        <w:rPr>
          <w:i/>
          <w:iCs/>
        </w:rPr>
        <w:t>= Balsavimas</w:t>
      </w:r>
    </w:p>
    <w:p w:rsidR="0074594C" w:rsidRDefault="0074594C" w:rsidP="0074594C">
      <w:pPr>
        <w:jc w:val="both"/>
        <w:rPr>
          <w:b/>
          <w:bCs/>
        </w:rPr>
      </w:pPr>
      <w:r>
        <w:rPr>
          <w:b/>
          <w:bCs/>
        </w:rPr>
        <w:t>Klausimo esmė</w:t>
      </w:r>
    </w:p>
    <w:p w:rsidR="0074594C" w:rsidRPr="0074594C" w:rsidRDefault="0074594C" w:rsidP="0074594C">
      <w:pPr>
        <w:jc w:val="both"/>
      </w:pPr>
      <w:r w:rsidRPr="0074594C">
        <w:rPr>
          <w:bCs/>
        </w:rPr>
        <w:t xml:space="preserve">Europos Parlamento ir Tarybos reglamentas, kuriuo įsteigiama Europos darbo institucija (toliau </w:t>
      </w:r>
      <w:proofErr w:type="gramStart"/>
      <w:r w:rsidRPr="0074594C">
        <w:rPr>
          <w:bCs/>
        </w:rPr>
        <w:t>-</w:t>
      </w:r>
      <w:proofErr w:type="gramEnd"/>
      <w:r w:rsidRPr="0074594C">
        <w:rPr>
          <w:bCs/>
        </w:rPr>
        <w:t xml:space="preserve"> ELA),</w:t>
      </w:r>
      <w:r w:rsidRPr="0074594C">
        <w:rPr>
          <w:b/>
          <w:bCs/>
        </w:rPr>
        <w:t xml:space="preserve"> </w:t>
      </w:r>
      <w:r w:rsidRPr="0074594C">
        <w:t xml:space="preserve">kurios pagrindinis tikslas – padėti asmenims, verslui ir valstybėms narėms gauti didžiausią naudą iš laisvo asmenų judėjimo ir užtikrinti teisingą darbo jėgos </w:t>
      </w:r>
      <w:proofErr w:type="spellStart"/>
      <w:r w:rsidRPr="0074594C">
        <w:t>judumą</w:t>
      </w:r>
      <w:proofErr w:type="spellEnd"/>
      <w:r w:rsidRPr="0074594C">
        <w:t>.</w:t>
      </w:r>
    </w:p>
    <w:p w:rsidR="0074594C" w:rsidRPr="0074594C" w:rsidRDefault="0074594C" w:rsidP="0074594C">
      <w:pPr>
        <w:jc w:val="both"/>
      </w:pPr>
      <w:r w:rsidRPr="0074594C">
        <w:t xml:space="preserve">Balsavimas </w:t>
      </w:r>
      <w:r w:rsidR="003C27A1">
        <w:t xml:space="preserve">dėl ELA būstinės </w:t>
      </w:r>
      <w:r w:rsidRPr="0074594C">
        <w:t xml:space="preserve">vyks birželio 13 d. </w:t>
      </w:r>
      <w:bookmarkStart w:id="0" w:name="_GoBack"/>
      <w:r w:rsidRPr="0074594C">
        <w:t xml:space="preserve">EPSCO </w:t>
      </w:r>
      <w:bookmarkEnd w:id="0"/>
      <w:r w:rsidRPr="0074594C">
        <w:t xml:space="preserve">Tarybos (Liuksemburge) paraštėse. Slaptu balsavimu ir kiekviena </w:t>
      </w:r>
      <w:r w:rsidR="00334DF8">
        <w:t>valstybė narė</w:t>
      </w:r>
      <w:r w:rsidRPr="0074594C">
        <w:t xml:space="preserve"> turės 1 balsą.</w:t>
      </w:r>
      <w:r w:rsidRPr="0074594C">
        <w:rPr>
          <w:b/>
          <w:bCs/>
        </w:rPr>
        <w:t xml:space="preserve"> </w:t>
      </w:r>
      <w:r w:rsidRPr="0074594C">
        <w:rPr>
          <w:bCs/>
        </w:rPr>
        <w:t>Galutiniame balsavime dėl ELA būstinės varžosi: Bulgarija/Sofija, Kipras/Nikosija, Latvija/Ryga ir Slovakija/Bratislava</w:t>
      </w:r>
      <w:r w:rsidRPr="0074594C">
        <w:t>.</w:t>
      </w:r>
    </w:p>
    <w:p w:rsidR="0074594C" w:rsidRDefault="0074594C" w:rsidP="0074594C">
      <w:pPr>
        <w:jc w:val="both"/>
        <w:rPr>
          <w:b/>
          <w:bCs/>
        </w:rPr>
      </w:pPr>
      <w:r>
        <w:rPr>
          <w:b/>
          <w:bCs/>
        </w:rPr>
        <w:t xml:space="preserve">Lietuvos pozicija </w:t>
      </w:r>
    </w:p>
    <w:p w:rsidR="0074594C" w:rsidRDefault="0074594C" w:rsidP="0074594C">
      <w:pPr>
        <w:jc w:val="both"/>
        <w:rPr>
          <w:bCs/>
        </w:rPr>
      </w:pPr>
      <w:r w:rsidRPr="0074594C">
        <w:rPr>
          <w:bCs/>
        </w:rPr>
        <w:t>Įvertinus administracinius, logistinius ir politinius aspektus, siūlome paremti Latvijos kandidatūrą dėl ELA būstinės įsteigimo Rygoje.</w:t>
      </w:r>
      <w:r w:rsidR="003C27A1">
        <w:rPr>
          <w:bCs/>
        </w:rPr>
        <w:t xml:space="preserve"> </w:t>
      </w:r>
      <w:r w:rsidRPr="0074594C">
        <w:rPr>
          <w:bCs/>
        </w:rPr>
        <w:t>Patogi Rygos geografinė padėtis ir išplėtota transporto infrastruktūra užtikrina gerą susisiekimą su Lietuva. Latvija savo pasiūlymuose teigia, kad turi didelę patirtį, susijusią su ELA veikla. Latvijos aukšto lygio ekspertai aktyviai dalyvauja ir yra išrinkti į vadovaujančias pareigas Europos nedeklaruoto darbo platformoje, Užimtumo komitete ir Europos viešųjų užimtumo tarnybų tinkle.</w:t>
      </w:r>
      <w:r w:rsidR="003C27A1">
        <w:rPr>
          <w:bCs/>
        </w:rPr>
        <w:t xml:space="preserve"> </w:t>
      </w:r>
      <w:r w:rsidRPr="0074594C">
        <w:rPr>
          <w:bCs/>
        </w:rPr>
        <w:t>ELA būstinei Latvija siūlo tris pastatų variantus, pirmenybę teikdama vienam.</w:t>
      </w:r>
    </w:p>
    <w:p w:rsidR="0074594C" w:rsidRPr="0074594C" w:rsidRDefault="0074594C" w:rsidP="0074594C">
      <w:pPr>
        <w:jc w:val="both"/>
        <w:rPr>
          <w:bCs/>
        </w:rPr>
      </w:pPr>
      <w:r w:rsidRPr="0074594C">
        <w:rPr>
          <w:bCs/>
        </w:rPr>
        <w:t>Jeigu vyks 2 balsavimo etapas, ir jame nebus Latvijos, siūlome palaikyti Slovakiją. Mūsų nuomone, Bulgarijai ir Kiprui administracine ir organizacine prasme trūksta patirties, ir jie dar nepasirengę turėti agentūros.</w:t>
      </w:r>
    </w:p>
    <w:p w:rsidR="0074594C" w:rsidRDefault="0074594C" w:rsidP="0074594C">
      <w:pPr>
        <w:jc w:val="both"/>
        <w:rPr>
          <w:b/>
          <w:bCs/>
        </w:rPr>
      </w:pPr>
    </w:p>
    <w:p w:rsidR="0074594C" w:rsidRPr="000615DA" w:rsidRDefault="0074594C" w:rsidP="0074594C">
      <w:pPr>
        <w:autoSpaceDE w:val="0"/>
        <w:autoSpaceDN w:val="0"/>
        <w:jc w:val="both"/>
        <w:rPr>
          <w:rStyle w:val="tlid-translation"/>
          <w:b/>
        </w:rPr>
      </w:pPr>
    </w:p>
    <w:sectPr w:rsidR="0074594C" w:rsidRPr="000615DA" w:rsidSect="008B2FD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94" w:rsidRDefault="00641B94" w:rsidP="00A5018D">
      <w:r>
        <w:separator/>
      </w:r>
    </w:p>
  </w:endnote>
  <w:endnote w:type="continuationSeparator" w:id="0">
    <w:p w:rsidR="00641B94" w:rsidRDefault="00641B9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5" w:usb1="00000000" w:usb2="00000000" w:usb3="00000000" w:csb0="00000002"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jc w:val="right"/>
    </w:pPr>
    <w:r>
      <w:fldChar w:fldCharType="begin"/>
    </w:r>
    <w:r>
      <w:instrText>PAGE   \* MERGEFORMAT</w:instrText>
    </w:r>
    <w:r>
      <w:fldChar w:fldCharType="separate"/>
    </w:r>
    <w:r w:rsidR="00334DF8">
      <w:rPr>
        <w:noProof/>
      </w:rPr>
      <w:t>4</w:t>
    </w:r>
    <w:r>
      <w:fldChar w:fldCharType="end"/>
    </w:r>
  </w:p>
  <w:p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94" w:rsidRDefault="00641B94" w:rsidP="00A5018D">
      <w:r>
        <w:separator/>
      </w:r>
    </w:p>
  </w:footnote>
  <w:footnote w:type="continuationSeparator" w:id="0">
    <w:p w:rsidR="00641B94" w:rsidRDefault="00641B9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1C30E9"/>
    <w:multiLevelType w:val="hybridMultilevel"/>
    <w:tmpl w:val="536854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6F967FB"/>
    <w:multiLevelType w:val="hybridMultilevel"/>
    <w:tmpl w:val="BF8285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1">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331734B"/>
    <w:multiLevelType w:val="hybridMultilevel"/>
    <w:tmpl w:val="BBD6BA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1">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2">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9">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7"/>
  </w:num>
  <w:num w:numId="3">
    <w:abstractNumId w:val="28"/>
  </w:num>
  <w:num w:numId="4">
    <w:abstractNumId w:val="10"/>
  </w:num>
  <w:num w:numId="5">
    <w:abstractNumId w:val="23"/>
  </w:num>
  <w:num w:numId="6">
    <w:abstractNumId w:val="24"/>
  </w:num>
  <w:num w:numId="7">
    <w:abstractNumId w:val="8"/>
  </w:num>
  <w:num w:numId="8">
    <w:abstractNumId w:val="18"/>
  </w:num>
  <w:num w:numId="9">
    <w:abstractNumId w:val="16"/>
  </w:num>
  <w:num w:numId="10">
    <w:abstractNumId w:val="20"/>
  </w:num>
  <w:num w:numId="11">
    <w:abstractNumId w:val="2"/>
  </w:num>
  <w:num w:numId="12">
    <w:abstractNumId w:val="31"/>
  </w:num>
  <w:num w:numId="13">
    <w:abstractNumId w:val="28"/>
  </w:num>
  <w:num w:numId="14">
    <w:abstractNumId w:val="28"/>
  </w:num>
  <w:num w:numId="15">
    <w:abstractNumId w:val="0"/>
  </w:num>
  <w:num w:numId="16">
    <w:abstractNumId w:val="17"/>
  </w:num>
  <w:num w:numId="17">
    <w:abstractNumId w:val="3"/>
  </w:num>
  <w:num w:numId="18">
    <w:abstractNumId w:val="25"/>
  </w:num>
  <w:num w:numId="19">
    <w:abstractNumId w:val="14"/>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1"/>
  </w:num>
  <w:num w:numId="26">
    <w:abstractNumId w:val="11"/>
  </w:num>
  <w:num w:numId="27">
    <w:abstractNumId w:val="6"/>
  </w:num>
  <w:num w:numId="28">
    <w:abstractNumId w:val="9"/>
  </w:num>
  <w:num w:numId="29">
    <w:abstractNumId w:val="30"/>
  </w:num>
  <w:num w:numId="30">
    <w:abstractNumId w:val="5"/>
  </w:num>
  <w:num w:numId="31">
    <w:abstractNumId w:val="22"/>
  </w:num>
  <w:num w:numId="32">
    <w:abstractNumId w:val="12"/>
  </w:num>
  <w:num w:numId="33">
    <w:abstractNumId w:val="12"/>
  </w:num>
  <w:num w:numId="34">
    <w:abstractNumId w:val="29"/>
  </w:num>
  <w:num w:numId="35">
    <w:abstractNumId w:val="7"/>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120C"/>
    <w:rsid w:val="0004259D"/>
    <w:rsid w:val="00045756"/>
    <w:rsid w:val="00061595"/>
    <w:rsid w:val="000615DA"/>
    <w:rsid w:val="00061DAB"/>
    <w:rsid w:val="00072DC3"/>
    <w:rsid w:val="00075F50"/>
    <w:rsid w:val="00086147"/>
    <w:rsid w:val="00095792"/>
    <w:rsid w:val="000A478D"/>
    <w:rsid w:val="000C030B"/>
    <w:rsid w:val="000E10F9"/>
    <w:rsid w:val="000E4B54"/>
    <w:rsid w:val="000F378A"/>
    <w:rsid w:val="000F6963"/>
    <w:rsid w:val="0011062B"/>
    <w:rsid w:val="00113F2D"/>
    <w:rsid w:val="00131BB5"/>
    <w:rsid w:val="00133186"/>
    <w:rsid w:val="00137D92"/>
    <w:rsid w:val="0014588E"/>
    <w:rsid w:val="00157764"/>
    <w:rsid w:val="001670C6"/>
    <w:rsid w:val="00172592"/>
    <w:rsid w:val="00172BC3"/>
    <w:rsid w:val="001820E8"/>
    <w:rsid w:val="00184725"/>
    <w:rsid w:val="001968DD"/>
    <w:rsid w:val="001A419F"/>
    <w:rsid w:val="001A7D76"/>
    <w:rsid w:val="001B0117"/>
    <w:rsid w:val="001C1262"/>
    <w:rsid w:val="001D2FC5"/>
    <w:rsid w:val="001E2EAD"/>
    <w:rsid w:val="001F3BFB"/>
    <w:rsid w:val="001F67B7"/>
    <w:rsid w:val="002010B5"/>
    <w:rsid w:val="0020788F"/>
    <w:rsid w:val="00212B66"/>
    <w:rsid w:val="00215073"/>
    <w:rsid w:val="002215AB"/>
    <w:rsid w:val="002274BB"/>
    <w:rsid w:val="00233223"/>
    <w:rsid w:val="00237E5C"/>
    <w:rsid w:val="00246D45"/>
    <w:rsid w:val="00272493"/>
    <w:rsid w:val="00276CA6"/>
    <w:rsid w:val="00276D51"/>
    <w:rsid w:val="00282835"/>
    <w:rsid w:val="00283447"/>
    <w:rsid w:val="00287360"/>
    <w:rsid w:val="00290795"/>
    <w:rsid w:val="002948E9"/>
    <w:rsid w:val="002A2FC6"/>
    <w:rsid w:val="002A5034"/>
    <w:rsid w:val="002A6A22"/>
    <w:rsid w:val="002B1A3E"/>
    <w:rsid w:val="002B327F"/>
    <w:rsid w:val="002B5A28"/>
    <w:rsid w:val="002C5A66"/>
    <w:rsid w:val="002E42F8"/>
    <w:rsid w:val="002E7E3F"/>
    <w:rsid w:val="002F1BDE"/>
    <w:rsid w:val="002F30DA"/>
    <w:rsid w:val="0030137A"/>
    <w:rsid w:val="00305D6B"/>
    <w:rsid w:val="0030638A"/>
    <w:rsid w:val="00323859"/>
    <w:rsid w:val="00334DF8"/>
    <w:rsid w:val="00336681"/>
    <w:rsid w:val="0033741B"/>
    <w:rsid w:val="003375C2"/>
    <w:rsid w:val="0034208A"/>
    <w:rsid w:val="0034240A"/>
    <w:rsid w:val="00360F9C"/>
    <w:rsid w:val="00362EA7"/>
    <w:rsid w:val="00371BDF"/>
    <w:rsid w:val="0038756A"/>
    <w:rsid w:val="003A3527"/>
    <w:rsid w:val="003A56F6"/>
    <w:rsid w:val="003A6376"/>
    <w:rsid w:val="003B0181"/>
    <w:rsid w:val="003C27A1"/>
    <w:rsid w:val="003E3CD0"/>
    <w:rsid w:val="003F3CD3"/>
    <w:rsid w:val="003F5915"/>
    <w:rsid w:val="003F5D60"/>
    <w:rsid w:val="004143DA"/>
    <w:rsid w:val="004279B7"/>
    <w:rsid w:val="004373D4"/>
    <w:rsid w:val="004413E8"/>
    <w:rsid w:val="00442E0D"/>
    <w:rsid w:val="00443237"/>
    <w:rsid w:val="004663B8"/>
    <w:rsid w:val="00470575"/>
    <w:rsid w:val="00492C19"/>
    <w:rsid w:val="00496B58"/>
    <w:rsid w:val="00497820"/>
    <w:rsid w:val="004A3F80"/>
    <w:rsid w:val="004B064F"/>
    <w:rsid w:val="004B2F38"/>
    <w:rsid w:val="004C0F1D"/>
    <w:rsid w:val="004D67E2"/>
    <w:rsid w:val="004E430B"/>
    <w:rsid w:val="004F0BC6"/>
    <w:rsid w:val="004F1C29"/>
    <w:rsid w:val="004F244E"/>
    <w:rsid w:val="004F33BF"/>
    <w:rsid w:val="004F6D58"/>
    <w:rsid w:val="00500D2A"/>
    <w:rsid w:val="0051241C"/>
    <w:rsid w:val="005212CF"/>
    <w:rsid w:val="005240BB"/>
    <w:rsid w:val="005330AF"/>
    <w:rsid w:val="00536522"/>
    <w:rsid w:val="005441C8"/>
    <w:rsid w:val="00550B3D"/>
    <w:rsid w:val="0055497F"/>
    <w:rsid w:val="005558CD"/>
    <w:rsid w:val="00555F8F"/>
    <w:rsid w:val="00576127"/>
    <w:rsid w:val="00585A70"/>
    <w:rsid w:val="00585C11"/>
    <w:rsid w:val="0058750E"/>
    <w:rsid w:val="005A1603"/>
    <w:rsid w:val="005B30A9"/>
    <w:rsid w:val="005C1EDC"/>
    <w:rsid w:val="005C744F"/>
    <w:rsid w:val="005D0AE4"/>
    <w:rsid w:val="005F1901"/>
    <w:rsid w:val="005F1BA8"/>
    <w:rsid w:val="005F1C99"/>
    <w:rsid w:val="005F1E38"/>
    <w:rsid w:val="005F5F24"/>
    <w:rsid w:val="00606918"/>
    <w:rsid w:val="00626C95"/>
    <w:rsid w:val="00633D1D"/>
    <w:rsid w:val="00641B94"/>
    <w:rsid w:val="00642DBA"/>
    <w:rsid w:val="00643C45"/>
    <w:rsid w:val="00644C66"/>
    <w:rsid w:val="00645426"/>
    <w:rsid w:val="00650150"/>
    <w:rsid w:val="0065233B"/>
    <w:rsid w:val="00662E6E"/>
    <w:rsid w:val="0066326B"/>
    <w:rsid w:val="00671E30"/>
    <w:rsid w:val="0067329B"/>
    <w:rsid w:val="0068399B"/>
    <w:rsid w:val="006966B4"/>
    <w:rsid w:val="006A008A"/>
    <w:rsid w:val="006A2850"/>
    <w:rsid w:val="006A59C2"/>
    <w:rsid w:val="006B6E06"/>
    <w:rsid w:val="006C1862"/>
    <w:rsid w:val="006C4DC7"/>
    <w:rsid w:val="006D76B7"/>
    <w:rsid w:val="006E0089"/>
    <w:rsid w:val="006E2A58"/>
    <w:rsid w:val="006E4132"/>
    <w:rsid w:val="006E56B6"/>
    <w:rsid w:val="007207A2"/>
    <w:rsid w:val="007218D0"/>
    <w:rsid w:val="0072542B"/>
    <w:rsid w:val="00726086"/>
    <w:rsid w:val="00726466"/>
    <w:rsid w:val="00730581"/>
    <w:rsid w:val="00733750"/>
    <w:rsid w:val="00735E60"/>
    <w:rsid w:val="007450B5"/>
    <w:rsid w:val="0074594C"/>
    <w:rsid w:val="00756553"/>
    <w:rsid w:val="00766988"/>
    <w:rsid w:val="00771A6E"/>
    <w:rsid w:val="007747CA"/>
    <w:rsid w:val="0078149C"/>
    <w:rsid w:val="00786120"/>
    <w:rsid w:val="007863A2"/>
    <w:rsid w:val="00786E51"/>
    <w:rsid w:val="00790F33"/>
    <w:rsid w:val="00792BFA"/>
    <w:rsid w:val="00793A24"/>
    <w:rsid w:val="007B1A5B"/>
    <w:rsid w:val="007B4EF2"/>
    <w:rsid w:val="007C174F"/>
    <w:rsid w:val="007E10AA"/>
    <w:rsid w:val="007E2D76"/>
    <w:rsid w:val="007F471B"/>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64F55"/>
    <w:rsid w:val="00873AEE"/>
    <w:rsid w:val="0088269B"/>
    <w:rsid w:val="00893043"/>
    <w:rsid w:val="008A2177"/>
    <w:rsid w:val="008A618F"/>
    <w:rsid w:val="008B1BFB"/>
    <w:rsid w:val="008B2FD8"/>
    <w:rsid w:val="008D21F4"/>
    <w:rsid w:val="008D2DFB"/>
    <w:rsid w:val="008D33E3"/>
    <w:rsid w:val="008D72CB"/>
    <w:rsid w:val="008E182B"/>
    <w:rsid w:val="008F3F77"/>
    <w:rsid w:val="008F5415"/>
    <w:rsid w:val="0090080F"/>
    <w:rsid w:val="0091150A"/>
    <w:rsid w:val="00921950"/>
    <w:rsid w:val="0092354A"/>
    <w:rsid w:val="0092502C"/>
    <w:rsid w:val="00935143"/>
    <w:rsid w:val="009428B2"/>
    <w:rsid w:val="00942F92"/>
    <w:rsid w:val="00952074"/>
    <w:rsid w:val="00960DE6"/>
    <w:rsid w:val="009640B4"/>
    <w:rsid w:val="00974C50"/>
    <w:rsid w:val="00976E93"/>
    <w:rsid w:val="00977F7E"/>
    <w:rsid w:val="0098110A"/>
    <w:rsid w:val="009904AC"/>
    <w:rsid w:val="00994AAB"/>
    <w:rsid w:val="00995381"/>
    <w:rsid w:val="009A5844"/>
    <w:rsid w:val="009C14C0"/>
    <w:rsid w:val="009C74BF"/>
    <w:rsid w:val="009D00A7"/>
    <w:rsid w:val="009D02B9"/>
    <w:rsid w:val="009D2732"/>
    <w:rsid w:val="009D6379"/>
    <w:rsid w:val="009D74FF"/>
    <w:rsid w:val="009E0133"/>
    <w:rsid w:val="009F1E22"/>
    <w:rsid w:val="009F3293"/>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D20"/>
    <w:rsid w:val="00A778F8"/>
    <w:rsid w:val="00A8240C"/>
    <w:rsid w:val="00A91EE1"/>
    <w:rsid w:val="00A93954"/>
    <w:rsid w:val="00A941AD"/>
    <w:rsid w:val="00A94B0F"/>
    <w:rsid w:val="00AA47F4"/>
    <w:rsid w:val="00AB3A16"/>
    <w:rsid w:val="00AB4605"/>
    <w:rsid w:val="00AB558D"/>
    <w:rsid w:val="00AE1ED5"/>
    <w:rsid w:val="00AE3F0C"/>
    <w:rsid w:val="00AE434F"/>
    <w:rsid w:val="00AE779A"/>
    <w:rsid w:val="00AF44CF"/>
    <w:rsid w:val="00B03344"/>
    <w:rsid w:val="00B07370"/>
    <w:rsid w:val="00B16FF7"/>
    <w:rsid w:val="00B24686"/>
    <w:rsid w:val="00B255F3"/>
    <w:rsid w:val="00B2673E"/>
    <w:rsid w:val="00B40F02"/>
    <w:rsid w:val="00B41FA4"/>
    <w:rsid w:val="00B55F9E"/>
    <w:rsid w:val="00B62A17"/>
    <w:rsid w:val="00B65580"/>
    <w:rsid w:val="00B71C7D"/>
    <w:rsid w:val="00B74160"/>
    <w:rsid w:val="00BA6A08"/>
    <w:rsid w:val="00BC26BB"/>
    <w:rsid w:val="00BC2E6C"/>
    <w:rsid w:val="00BC402C"/>
    <w:rsid w:val="00BD1F06"/>
    <w:rsid w:val="00BE3F9D"/>
    <w:rsid w:val="00BE682D"/>
    <w:rsid w:val="00BF4183"/>
    <w:rsid w:val="00BF77E5"/>
    <w:rsid w:val="00C015AD"/>
    <w:rsid w:val="00C04492"/>
    <w:rsid w:val="00C10CC5"/>
    <w:rsid w:val="00C113DD"/>
    <w:rsid w:val="00C12C89"/>
    <w:rsid w:val="00C26DFF"/>
    <w:rsid w:val="00C34D83"/>
    <w:rsid w:val="00C34DC6"/>
    <w:rsid w:val="00C3626A"/>
    <w:rsid w:val="00C42A78"/>
    <w:rsid w:val="00C42F16"/>
    <w:rsid w:val="00C47531"/>
    <w:rsid w:val="00C47701"/>
    <w:rsid w:val="00C47ED1"/>
    <w:rsid w:val="00C52206"/>
    <w:rsid w:val="00C63A3E"/>
    <w:rsid w:val="00C74B87"/>
    <w:rsid w:val="00C75B8B"/>
    <w:rsid w:val="00C810F3"/>
    <w:rsid w:val="00C87EC2"/>
    <w:rsid w:val="00C9797E"/>
    <w:rsid w:val="00CA6F44"/>
    <w:rsid w:val="00CB061F"/>
    <w:rsid w:val="00CB2522"/>
    <w:rsid w:val="00CB58AC"/>
    <w:rsid w:val="00CC1511"/>
    <w:rsid w:val="00CC455F"/>
    <w:rsid w:val="00CC694D"/>
    <w:rsid w:val="00CD2F43"/>
    <w:rsid w:val="00CD5D7A"/>
    <w:rsid w:val="00CE5A14"/>
    <w:rsid w:val="00CF05D8"/>
    <w:rsid w:val="00CF2752"/>
    <w:rsid w:val="00CF400F"/>
    <w:rsid w:val="00CF45A6"/>
    <w:rsid w:val="00D014D4"/>
    <w:rsid w:val="00D04569"/>
    <w:rsid w:val="00D167B1"/>
    <w:rsid w:val="00D250FA"/>
    <w:rsid w:val="00D256BB"/>
    <w:rsid w:val="00D305E5"/>
    <w:rsid w:val="00D3752C"/>
    <w:rsid w:val="00D6205E"/>
    <w:rsid w:val="00D621F2"/>
    <w:rsid w:val="00D66223"/>
    <w:rsid w:val="00D72D06"/>
    <w:rsid w:val="00D7761F"/>
    <w:rsid w:val="00D92049"/>
    <w:rsid w:val="00D92C8F"/>
    <w:rsid w:val="00DA33AA"/>
    <w:rsid w:val="00DA70C5"/>
    <w:rsid w:val="00DB54F6"/>
    <w:rsid w:val="00DC15F7"/>
    <w:rsid w:val="00DC2D1C"/>
    <w:rsid w:val="00DC2D81"/>
    <w:rsid w:val="00DD2E49"/>
    <w:rsid w:val="00DD4DC5"/>
    <w:rsid w:val="00DE2691"/>
    <w:rsid w:val="00DF1C31"/>
    <w:rsid w:val="00DF26F6"/>
    <w:rsid w:val="00E111D0"/>
    <w:rsid w:val="00E11A18"/>
    <w:rsid w:val="00E15FB0"/>
    <w:rsid w:val="00E16E8C"/>
    <w:rsid w:val="00E20B4C"/>
    <w:rsid w:val="00E21D63"/>
    <w:rsid w:val="00E30A8C"/>
    <w:rsid w:val="00E32A53"/>
    <w:rsid w:val="00E356A0"/>
    <w:rsid w:val="00E36CA4"/>
    <w:rsid w:val="00E4128F"/>
    <w:rsid w:val="00E47C38"/>
    <w:rsid w:val="00E75D07"/>
    <w:rsid w:val="00E84133"/>
    <w:rsid w:val="00E85253"/>
    <w:rsid w:val="00EA22D2"/>
    <w:rsid w:val="00EA2879"/>
    <w:rsid w:val="00EA4D3C"/>
    <w:rsid w:val="00EB0081"/>
    <w:rsid w:val="00EC07BA"/>
    <w:rsid w:val="00EC6D67"/>
    <w:rsid w:val="00EE1C6C"/>
    <w:rsid w:val="00EE4057"/>
    <w:rsid w:val="00EF513A"/>
    <w:rsid w:val="00EF59CD"/>
    <w:rsid w:val="00EF7D13"/>
    <w:rsid w:val="00F018FC"/>
    <w:rsid w:val="00F04EE6"/>
    <w:rsid w:val="00F0753F"/>
    <w:rsid w:val="00F07838"/>
    <w:rsid w:val="00F07FDB"/>
    <w:rsid w:val="00F15074"/>
    <w:rsid w:val="00F2051C"/>
    <w:rsid w:val="00F21BBB"/>
    <w:rsid w:val="00F26173"/>
    <w:rsid w:val="00F27851"/>
    <w:rsid w:val="00F32C99"/>
    <w:rsid w:val="00F41915"/>
    <w:rsid w:val="00F43E78"/>
    <w:rsid w:val="00F440EC"/>
    <w:rsid w:val="00F50FF2"/>
    <w:rsid w:val="00F517FF"/>
    <w:rsid w:val="00F5400C"/>
    <w:rsid w:val="00F54587"/>
    <w:rsid w:val="00F60D94"/>
    <w:rsid w:val="00F63CB1"/>
    <w:rsid w:val="00F66A14"/>
    <w:rsid w:val="00F90B6F"/>
    <w:rsid w:val="00F92209"/>
    <w:rsid w:val="00F934AA"/>
    <w:rsid w:val="00F96F13"/>
    <w:rsid w:val="00FA714A"/>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94EC-8C57-416A-B82F-68C4BCA9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7038</Words>
  <Characters>4012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2019-06-10T08:02:00Z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